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RAPPORT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217170</wp:posOffset>
            </wp:positionV>
            <wp:extent cx="200596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59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1325 Boylston Street, Suite 401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June 17, 2025</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are pleased to notify you that we will hold the 2025 annual meeting of our stockholders (the “Annual Meeting”) on June 17, 2025, at 9:30 a.m., Eastern Time, in a virtual meeting format, which will be conducted via live webcast. You may attend the Annual Meeting online, vote your shares electronically and submit questions by visiting </w:t>
      </w:r>
      <w:r>
        <w:rPr>
          <w:rFonts w:ascii="Times New Roman" w:cs="Times New Roman" w:eastAsia="Times New Roman" w:hAnsi="Times New Roman"/>
          <w:sz w:val="18"/>
          <w:szCs w:val="18"/>
          <w:i w:val="1"/>
          <w:iCs w:val="1"/>
          <w:color w:val="auto"/>
        </w:rPr>
        <w:t>www.virtualshareholdermeeting.com/RAPP2025.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131" w:lineRule="exact"/>
        <w:rPr>
          <w:sz w:val="20"/>
          <w:szCs w:val="20"/>
          <w:color w:val="auto"/>
        </w:rPr>
      </w:pPr>
    </w:p>
    <w:p>
      <w:pPr>
        <w:ind w:left="1080" w:right="4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Reid Huber, Ph.D., John Maraganore, Ph.D., and Wendy B. Young, Ph.D. as Class I Directors, each to serve until the 2028 annual meeting of our stockholders, and until his or her respective successor shall have been duly elected and qualified, or until his or her earlier death, resignation or removal;</w:t>
      </w:r>
    </w:p>
    <w:p>
      <w:pPr>
        <w:spacing w:after="0" w:line="81"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2025; and</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continuations, adjournments, and postponements thereof.</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the close of business on April 21, 2025 as the “record date” for the Annual Meeting. This means that you are entitled to notice of, and to vote at, the Annual Meeting or any continuations, adjournments, and postponements thereof if our stock records show that you owned our common stock at that time.</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Under the Securities and Exchange Commission rules that allow companies to furnish their proxy materials to stockholders over the Internet under the “notice and access” approach, we have elected to make our proxy materials available to our stockholders over the Internet. As a result, we are mailing to our stockholders a Notice of Internet Availability of Proxy Materials (“Notice”), instead of a paper copy of the accompanying proxy statement for the Annual Meeting and our annual report to our stockholders for the fiscal year ended December 31, 2024 (“2024 Annual Report”). This method allows us to provide our stockholders with the information they need on a more timely basis, while at the same time conserving natural resources and lowering the costs of printing and delivering our proxy materials. On or about April 24, 2025, we will commence sending to our stockholders the Notice, containing instructions on how to access our proxy statement for the Annual Meeting and our 2024 Annual Report online. The Notice also provides instructions on how to vote online or vote by phone and includes instructions on how to receive a paper copy of the proxy materials by mail if desired.</w:t>
      </w:r>
    </w:p>
    <w:p>
      <w:pPr>
        <w:spacing w:after="0" w:line="19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Your vote is important. Whether you plan to attend the Annual Meeting or not, it is important that your shares be represented. You may vote over the Internet, via telephone or by mail. You are urged to vote in accordance with the instructions set forth in this proxy statement. We encourage you to vote by proxy so that your shares will be represented and voted at the Annual Meeting, whether or not you can attend. You will need the 16-digit control number included with the Notice, on your proxy card or the instructions that accompany your proxy materials to attend the Annual Meeting virtually via the Internet. Submitting your vote via the Internet or by telephone or proxy card will not affect your right to vote online during the Annual Meeting.</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Thank you for your continued support of Rapport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179070</wp:posOffset>
            </wp:positionV>
            <wp:extent cx="1714500" cy="57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Abraham N. Ceesay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24, 2025</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0139"/>
          </w:cols>
          <w:pgMar w:left="320" w:top="48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PROXY STATEMENT FOR 2025 ANNUAL MEETING OF STOCKHOLDERS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58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INFORMATION ABOUT THE ANNUAL MEETING AND VOTING</w:t>
            </w:r>
          </w:p>
        </w:tc>
        <w:tc>
          <w:tcPr>
            <w:tcW w:w="3280" w:type="dxa"/>
            <w:vAlign w:val="bottom"/>
            <w:gridSpan w:val="3"/>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2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2780" w:type="dxa"/>
            <w:vAlign w:val="bottom"/>
            <w:tcBorders>
              <w:top w:val="single" w:sz="8" w:color="0000EE"/>
            </w:tcBorders>
            <w:gridSpan w:val="4"/>
          </w:tcPr>
          <w:p>
            <w:pPr>
              <w:spacing w:after="0"/>
              <w:rPr>
                <w:sz w:val="24"/>
                <w:szCs w:val="24"/>
                <w:color w:val="auto"/>
              </w:rPr>
            </w:pPr>
          </w:p>
        </w:tc>
        <w:tc>
          <w:tcPr>
            <w:tcW w:w="4040" w:type="dxa"/>
            <w:vAlign w:val="bottom"/>
            <w:gridSpan w:val="5"/>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120" w:type="dxa"/>
            <w:vAlign w:val="bottom"/>
          </w:tcPr>
          <w:p>
            <w:pPr>
              <w:spacing w:after="0"/>
              <w:rPr>
                <w:sz w:val="24"/>
                <w:szCs w:val="24"/>
                <w:color w:val="auto"/>
              </w:rPr>
            </w:pP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PROPOSAL 1 - ELECTION OF CLASS I DIRECTORS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2200" w:type="dxa"/>
            <w:vAlign w:val="bottom"/>
            <w:tcBorders>
              <w:top w:val="single" w:sz="8" w:color="0000EE"/>
            </w:tcBorders>
            <w:gridSpan w:val="4"/>
          </w:tcPr>
          <w:p>
            <w:pPr>
              <w:spacing w:after="0"/>
              <w:rPr>
                <w:sz w:val="24"/>
                <w:szCs w:val="24"/>
                <w:color w:val="auto"/>
              </w:rPr>
            </w:pPr>
          </w:p>
        </w:tc>
        <w:tc>
          <w:tcPr>
            <w:tcW w:w="5060" w:type="dxa"/>
            <w:vAlign w:val="bottom"/>
            <w:gridSpan w:val="6"/>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0" w:type="dxa"/>
            <w:vAlign w:val="bottom"/>
          </w:tcPr>
          <w:p>
            <w:pPr>
              <w:spacing w:after="0"/>
              <w:rPr>
                <w:sz w:val="24"/>
                <w:szCs w:val="24"/>
                <w:color w:val="auto"/>
              </w:rPr>
            </w:pPr>
          </w:p>
        </w:tc>
        <w:tc>
          <w:tcPr>
            <w:tcW w:w="2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6720" w:type="dxa"/>
            <w:vAlign w:val="bottom"/>
            <w:gridSpan w:val="8"/>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120" w:type="dxa"/>
            <w:vAlign w:val="bottom"/>
          </w:tcPr>
          <w:p>
            <w:pPr>
              <w:spacing w:after="0"/>
              <w:rPr>
                <w:sz w:val="24"/>
                <w:szCs w:val="24"/>
                <w:color w:val="auto"/>
              </w:rPr>
            </w:pP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356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120" w:type="dxa"/>
            <w:vAlign w:val="bottom"/>
          </w:tcPr>
          <w:p>
            <w:pPr>
              <w:spacing w:after="0"/>
              <w:rPr>
                <w:sz w:val="24"/>
                <w:szCs w:val="24"/>
                <w:color w:val="auto"/>
              </w:rPr>
            </w:pPr>
          </w:p>
        </w:tc>
        <w:tc>
          <w:tcPr>
            <w:tcW w:w="7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PROPOSAL 2 - RATIFICATION OF INDEPENDENT REGISTERED PUBLIC ACCOUNTING FIRM</w:t>
            </w:r>
          </w:p>
        </w:tc>
        <w:tc>
          <w:tcPr>
            <w:tcW w:w="16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120" w:type="dxa"/>
            <w:vAlign w:val="bottom"/>
          </w:tcPr>
          <w:p>
            <w:pPr>
              <w:spacing w:after="0"/>
              <w:rPr>
                <w:sz w:val="24"/>
                <w:szCs w:val="24"/>
                <w:color w:val="auto"/>
              </w:rPr>
            </w:pP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0" w:type="dxa"/>
            <w:vAlign w:val="bottom"/>
          </w:tcPr>
          <w:p>
            <w:pPr>
              <w:spacing w:after="0"/>
              <w:rPr>
                <w:sz w:val="24"/>
                <w:szCs w:val="24"/>
                <w:color w:val="auto"/>
              </w:rPr>
            </w:pPr>
          </w:p>
        </w:tc>
        <w:tc>
          <w:tcPr>
            <w:tcW w:w="67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244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gridSpan w:val="5"/>
          </w:tcPr>
          <w:p>
            <w:pPr>
              <w:jc w:val="center"/>
              <w:ind w:right="3280"/>
              <w:spacing w:after="0"/>
              <w:rPr>
                <w:sz w:val="20"/>
                <w:szCs w:val="20"/>
                <w:color w:val="auto"/>
              </w:rPr>
            </w:pPr>
            <w:r>
              <w:rPr>
                <w:rFonts w:ascii="Times New Roman" w:cs="Times New Roman" w:eastAsia="Times New Roman" w:hAnsi="Times New Roman"/>
                <w:sz w:val="18"/>
                <w:szCs w:val="18"/>
                <w:color w:val="auto"/>
                <w:w w:val="78"/>
              </w:rPr>
              <w:t>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217170</wp:posOffset>
            </wp:positionV>
            <wp:extent cx="2005965" cy="556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596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1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1325 Boylston Street, Suite 401</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9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17, 2025</w:t>
      </w:r>
    </w:p>
    <w:p>
      <w:pPr>
        <w:spacing w:after="0" w:line="20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of Rapport Therapeutics, Inc. (our “Board”) is soliciting proxies from stockholders for its use at the 2025 annual meeting of our stockholders (the “Annual Meeting”), and at any continuation, postponement, or adjournment of that meeting. The Annual Meeting is scheduled to be held on June 17, 2025, at 9:30 a.m., Eastern Time, in a virtual meeting format, which will be conducted via live webcast at </w:t>
      </w:r>
      <w:r>
        <w:rPr>
          <w:rFonts w:ascii="Times New Roman" w:cs="Times New Roman" w:eastAsia="Times New Roman" w:hAnsi="Times New Roman"/>
          <w:sz w:val="18"/>
          <w:szCs w:val="18"/>
          <w:i w:val="1"/>
          <w:iCs w:val="1"/>
          <w:color w:val="auto"/>
        </w:rPr>
        <w:t>www.virtualshareholdermeeting.com/RAPP2025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this proxy statement, “we,” “our,” “us,” the “Company,” and “Rapport” refer to Rapport Therapeutic, Inc. and, where appropriate, our subsidiary.</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Stockholders of record as of the close of business on April 21, 2025, which is the record date for the Annual Meeting, are entitled to participate in and vote at the Annual Meeting. To participate in the Annual Meeting, including to vote and ask questions, stockholders of record should go to the meeting website at www.virtualshareholdermeeting.com/RAPP2025 and enter the 16-digit control number provided in the Notice of Internet Availability of Proxy Materials or the proxy card. If your shares are held in street name and the voting instruction form or notice received from the broker, bank or other nominee that holds the shares indicates that you may vote those shares through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then you may access, participate in and vote at the Annual Meeting with the 16-digit access code indicated on that voting instruction form or notice. Otherwise, stockholders who hold their shares in street name should contact their bank, broker or other nominee and obtain a “legal proxy” in order to be able to access, participate in and vote at the Annual Meeting. Please see the “General Information” section of the proxy statement for more details regarding the logistics of the virtual Annual Meeting. You will not be able to attend the Annual Meeting in person.</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with respect to each of the matters set forth in the accompanying Notice. You may revoke your proxy at any time before it is exercised at the meeting by giving our corporate secretary written notice to that effect.</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or about April 24, 2025, we will commence sending the Notice of Internet Availability of Proxy Materials (“Notice”) to all stockholders of record entitled to notice of, and to vote at, the Annual Meeting.</w:t>
      </w:r>
    </w:p>
    <w:p>
      <w:pPr>
        <w:spacing w:after="0" w:line="374" w:lineRule="exact"/>
        <w:rPr>
          <w:sz w:val="20"/>
          <w:szCs w:val="20"/>
          <w:color w:val="auto"/>
        </w:rPr>
      </w:pPr>
    </w:p>
    <w:p>
      <w:pPr>
        <w:jc w:val="center"/>
        <w:ind w:left="440" w:right="3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STOCKHOLDER MEETING TO BE HELD ON JUNE 17, 2025</w:t>
      </w:r>
    </w:p>
    <w:p>
      <w:pPr>
        <w:spacing w:after="0" w:line="155"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proxy statement, the accompanying proxy card and our annual report to stockholders for the fiscal year ended December 31, 2024, which includes our audited financial statements,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To view these materials, please have your 16-digit control number available that appears on your Notice or proxy card. On this website, you can also elect to receive distributions of our proxy statements and annual reports to stockholders for future annual meetings by electronic delivery. For specific instructions on making such an election, please refer to the instructions on your proxy card or voting instruction form.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our Annual Report on Form 10-K for the fiscal year ended December 31, 2024 (“Annual Report on Form 10-K”), as filed with the Securities and Exchange Commission (the “SEC”)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or on the “SEC Filings” page of our investors website at </w:t>
      </w:r>
      <w:r>
        <w:rPr>
          <w:rFonts w:ascii="Times New Roman" w:cs="Times New Roman" w:eastAsia="Times New Roman" w:hAnsi="Times New Roman"/>
          <w:sz w:val="18"/>
          <w:szCs w:val="18"/>
          <w:b w:val="1"/>
          <w:bCs w:val="1"/>
          <w:i w:val="1"/>
          <w:iCs w:val="1"/>
          <w:color w:val="auto"/>
        </w:rPr>
        <w:t>www.investors.rapportrx.com</w:t>
      </w:r>
      <w:r>
        <w:rPr>
          <w:rFonts w:ascii="Times New Roman" w:cs="Times New Roman" w:eastAsia="Times New Roman" w:hAnsi="Times New Roman"/>
          <w:sz w:val="18"/>
          <w:szCs w:val="18"/>
          <w:b w:val="1"/>
          <w:bCs w:val="1"/>
          <w:color w:val="auto"/>
        </w:rPr>
        <w:t>. You may also obtain a printed copy of our Annual Report on Form 10-K, including our financial statements, except for the exhibits, free of charge, from us by following the instructions included on the Notice or by sending a written request to:</w:t>
      </w:r>
    </w:p>
    <w:p>
      <w:pPr>
        <w:spacing w:after="0" w:line="85" w:lineRule="exact"/>
        <w:rPr>
          <w:sz w:val="20"/>
          <w:szCs w:val="20"/>
          <w:color w:val="auto"/>
        </w:rPr>
      </w:pPr>
    </w:p>
    <w:p>
      <w:pPr>
        <w:ind w:left="1080" w:right="340" w:hanging="424"/>
        <w:spacing w:after="0" w:line="286" w:lineRule="auto"/>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Through May 30, 2025: Rapport Therapeutics, Inc., 1325 Boylston Street, Suite 401, Boston, MA 02215, Attention: Corporate Secretary.</w:t>
      </w:r>
    </w:p>
    <w:p>
      <w:pPr>
        <w:spacing w:after="0" w:line="60" w:lineRule="exact"/>
        <w:rPr>
          <w:rFonts w:ascii="Times New Roman" w:cs="Times New Roman" w:eastAsia="Times New Roman" w:hAnsi="Times New Roman"/>
          <w:sz w:val="18"/>
          <w:szCs w:val="18"/>
          <w:b w:val="1"/>
          <w:bCs w:val="1"/>
          <w:color w:val="auto"/>
        </w:rPr>
      </w:pPr>
    </w:p>
    <w:p>
      <w:pPr>
        <w:ind w:left="5580" w:right="100" w:hanging="4924"/>
        <w:spacing w:after="0" w:line="458" w:lineRule="auto"/>
        <w:tabs>
          <w:tab w:leader="none" w:pos="108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After May 30, 2025: Rapport Therapeutics, Inc., 99 High Street, Suite 21200, Boston, MA 02110, Attention: Corporate Secretary. </w:t>
      </w: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82"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Purposes of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purposes of the Annual Meeting are:</w:t>
      </w:r>
    </w:p>
    <w:p>
      <w:pPr>
        <w:spacing w:after="0" w:line="131" w:lineRule="exact"/>
        <w:rPr>
          <w:sz w:val="20"/>
          <w:szCs w:val="20"/>
          <w:color w:val="auto"/>
        </w:rPr>
      </w:pPr>
    </w:p>
    <w:p>
      <w:pPr>
        <w:ind w:left="1080" w:right="4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Reid Huber, Ph.D., John Maraganore, Ph.D., and Wendy B. Young, Ph.D. as Class I Directors, each to serve until the 2028 annual meeting of our stockholders, and until his or her respective successor shall have been duly elected and qualified, or until his or her earlier death, resignation or removal;</w:t>
      </w:r>
    </w:p>
    <w:p>
      <w:pPr>
        <w:spacing w:after="0" w:line="81"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2025; and</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continuations, adjournments, and postponements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Entitled to Vote at the Meeting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Board has established the close of business on April 21, 2025 as the “record date” for the Annual Meeting. This means that you are entitled to notice of, and to vote, at the Annual Meeting (and any continuations, adjournments and postponements thereof) if our records show that you owned our common stock at that time. As of the record date, 36,497,555 shares of our common stock were issued and outstanding. Each issued and outstanding share of common stock as of the record date is entitled to one vote on each matter properly to come before the Annual Meeting and can be voted only if the record owner of that share, determined as of the record date, votes during the live webcast of the meeting or is represented by proxy. A list of stockholders entitled to vote at the Annual Meeting will be available for stockholder inspection at the headquarters of the Company, during ordinary business hours, for a period of 10 days prior to the Annual Meeting. Through May 30, 2025, the Company’s headquarters are located at 1325 Boylston Street, Suite 401, Boston, MA 02215. After May 30, 2025, the Company’s headquarters will be located at 99 High Street, Suite 21200, Boston, MA 02110. Such list will also be available for examination by our stockholders during the Annual Meeting by logging into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entering your 16-digit control number.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Shares That You Hold in Your Name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w:t>
      </w:r>
    </w:p>
    <w:p>
      <w:pPr>
        <w:spacing w:after="0" w:line="129" w:lineRule="exact"/>
        <w:rPr>
          <w:sz w:val="20"/>
          <w:szCs w:val="20"/>
          <w:color w:val="auto"/>
        </w:rPr>
      </w:pPr>
    </w:p>
    <w:p>
      <w:pPr>
        <w:ind w:left="1080" w:right="140" w:hanging="424"/>
        <w:spacing w:after="0" w:line="26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INTERNET (before the Annual Meeting) –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Use the Internet to transmit your voting instructions up until 11:59 p.m., Eastern Time, on June 16, 2025. Have the Notice or your proxy card in hand when you access the website. Follow the steps outlined on the secured website.</w:t>
      </w:r>
    </w:p>
    <w:p>
      <w:pPr>
        <w:spacing w:after="0" w:line="8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(before the Annual Meeting) - If you requested and received a proxy card by mail, mark, sign and date your proxy card and return it in the postage-paid envelope we will provide. Votes submitted by mail must be received by June 16, 2025.</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PHONE (before the Annual Meeting) - Use a touch tone phone by calling 1-800-690-6903 (toll-free from the U.S., U.S. territories and Canada) to transmit your voting instructions up until 11:59 p.m., Eastern Time, on June 16, 2025. Have the Notice or your proxy card in hand when you access the phone number. Follow the steps outlined on the phone line.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QR CODE (before the Annual Meeting) - You may vote by scanning the QR code on your proxy card with your mobile device. Votes submitted by scanning your QR code must be received no later than 11:59 p.m., Eastern Time, on June 16,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DURING THE VIRTUAL MEETING - See “Attending the Annual Meeting”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Annual Meeting is adjourned or postponed, the deadlines above may be extended.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be a virtual meeting, which will be conducted via live webcast.</w:t>
      </w:r>
    </w:p>
    <w:p>
      <w:pPr>
        <w:spacing w:after="0" w:line="223"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To participate in the Annual Meeting virtually via the Internet, please visit </w:t>
      </w:r>
      <w:r>
        <w:rPr>
          <w:rFonts w:ascii="Times New Roman" w:cs="Times New Roman" w:eastAsia="Times New Roman" w:hAnsi="Times New Roman"/>
          <w:sz w:val="18"/>
          <w:szCs w:val="18"/>
          <w:i w:val="1"/>
          <w:iCs w:val="1"/>
          <w:color w:val="auto"/>
        </w:rPr>
        <w:t>www.virtualshareholdermeeting.com/RAPP2025</w:t>
      </w:r>
      <w:r>
        <w:rPr>
          <w:rFonts w:ascii="Times New Roman" w:cs="Times New Roman" w:eastAsia="Times New Roman" w:hAnsi="Times New Roman"/>
          <w:sz w:val="18"/>
          <w:szCs w:val="18"/>
          <w:color w:val="auto"/>
        </w:rPr>
        <w:t>. You will need the 16-digit control number included on your Notice, your proxy card or the instructions that accompanied your proxy materials.</w:t>
      </w:r>
    </w:p>
    <w:p>
      <w:pPr>
        <w:spacing w:after="0" w:line="16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by your bank, brokerage firm or other nominee, you should have received a voting instruction form provided by your bank, brokerage firm or other nominee rather than from us. If you do not have your 16-digit control number and attend the meeting online, you will be able to listen to the meeting only - you will not be able to vote or submit questions during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Annual Meeting will be held entirely online at </w:t>
      </w:r>
      <w:r>
        <w:rPr>
          <w:rFonts w:ascii="Times New Roman" w:cs="Times New Roman" w:eastAsia="Times New Roman" w:hAnsi="Times New Roman"/>
          <w:sz w:val="18"/>
          <w:szCs w:val="18"/>
          <w:i w:val="1"/>
          <w:iCs w:val="1"/>
          <w:color w:val="auto"/>
        </w:rPr>
        <w:t>www.virtualshareholdermeeting.com/RAPP2025</w:t>
      </w:r>
      <w:r>
        <w:rPr>
          <w:rFonts w:ascii="Times New Roman" w:cs="Times New Roman" w:eastAsia="Times New Roman" w:hAnsi="Times New Roman"/>
          <w:sz w:val="18"/>
          <w:szCs w:val="18"/>
          <w:color w:val="auto"/>
        </w:rPr>
        <w:t>. A summary of the information you need to attend the Annual Meeting online is provided below:</w:t>
      </w:r>
    </w:p>
    <w:p>
      <w:pPr>
        <w:spacing w:after="0" w:line="66" w:lineRule="exact"/>
        <w:rPr>
          <w:sz w:val="20"/>
          <w:szCs w:val="20"/>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how to attend and participate via the Internet, including how to demonstrate proof of common stock ownership, are posted at www.proxyvote.com.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16-digit control number to enter the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submit questions while attending the Annual Meeting via the Internet. For instructions on how to do so, see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webcast will begin promptly at 9:30 a.m., Eastern Time on June 17, 2025.</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access the meeting prior to the start time. Online check-in will begin at 9:15 a.m., Eastern Time, and you should allow ample time for the check-in procedures.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Submitting Questions at the Annual Meeting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During the Annual Meeting, if you have your 16-digit control number and wish to ask a question, you may do so by clicking the Q&amp;A button on the virtual meeting platform and entering your question in the field provided in the web portal at or before the time the matters are before the Annual Meeting for consideration. During the formal portion of the meeting, all questions presented should relate directly to the proposal under discussion, which will be answered before the voting is closed. We will also hold a question and answer period at the end of the meeting, as time permits, during which time we welcome questions not relating to specific proposals. To allow us to answer questions from as many stockholders as possible, we will limit each stockholder to two questions. Questions from multiple stockholders on the same topic or that are otherwise related to a particular topic may be grouped, summarized and answered together. If questions submitted are irrelevant to the business of the Annual Meeting or are out of order or not otherwise suitable for the conduct of the Annual Meeting as determined in our reasonable judgment, we may choose not to address them. If there are any matters of individual concern to a stockholder and not of general concern to all stockholders, or if a question posed was not otherwise answered, such matters may be raised separately after the Annual Meeting.</w:t>
      </w:r>
    </w:p>
    <w:p>
      <w:pPr>
        <w:spacing w:after="0" w:line="19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Annual Meeting will be governed by the Annual Meeting’s Rules of Conduct, which will address the ability of stockholders to ask questions during the meeting and include rules for how questions will be recognized and addressed. Please review the Annual Meeting’s Rules of Conduct for further details. The Annual Meeting’s Rules of Conduct are available at www.virtualshareholdermeeting.com/RAPP2025.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Technical Assistance for the Virtual Meeting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encourage stockholders to log into the virtual Annual Meeting at least 15 minutes prior to the start of the Annual Meeting to test their Internet connectivity. If you encounter any technical difficulties with the virtual meeting platform on the day of the Annual Meeting, please call the call center support number on the login screen.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Technical support will be available starting at 9:15 a.m., Eastern Time on June 17, 2025 and will remain available throughout the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Shares That You Hold in Brokerage or Similar Accounts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Many stockholders hold their shares through a broker, bank or other nominee rather than directly in their own name. If you hold your shares in one of these ways, you are considered a beneficial owner of shares held in “street name,” not a record owner, and you therefore have no direct vote on any matter to come before the Annual Meeting. Your broker, bank or nominee will send you voting instructions for you to use in directing the broker, bank or nominee in how to vote your shares. Your broker, bank or nominee may allow you to deliver your voting instructions via the telephone or the Internet. Therefore, we urge you to carefully review and follow the voting instruction form and any other materials that you receive from that organization. If you hold your shares in multiple accounts, you should vote your shares as described in each set of proxy materials you receive.</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voting. Brokers, banks or other nominees who hold shares for the accounts of their clients have discretionary authority to vote shares if specific instructions are not given with respect to routine matters.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the determination of whether a broker, bank or other nominee will have discretionary voting power for a particular item is typically determined only after proxy materials are filed with the SEC, we expect that the election of each nominee for director (Proposal 1) will be a non-routine matter and that the proposal on ratification of the appointment of our independent registered public accounting firm (Proposal 2) will be a routine matter. Accordingly, if you hold your shares through a broker, bank or other nominee and you do not timely provide your broker, bank or other nominee with specific instructions on how to vote your shares, your broker, bank or other nominee will not be authorized to cast a vote on your behalf on Proposal 1 (election of each nominee for director) but will be authorized to cast a vote on your behalf, in its discretion, on Proposal 2 (ratification of the appointment of PricewaterhouseCoopers LLP). In such cases, a “broker non-vote” may be entered with respect to your shares on Proposal 1 to reflect that your broker was present with respect to your shares at the meeting but was not exercising voting rights on your behalf with respect to those shares. Broker non-votes and abstentions will have no effect on the outcome of each proposal. Brokers, banks and other nominees generally have discretionary authority to vote on the ratification of the appointment of an independent registered public accounting firm (Proposal 2); thus, we do not expect any broker non-votes on this matter.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Voting Options on Each of the Proposals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be elected, each of the directors nominated in Proposal 1 must receive a plurality of the votes properly cast on the election of directors, meaning that the three director nominees receiving the highest number of affirmative votes will be elected as directors.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 Broker non-votes are not considered votes cast and will have no effect on the election of the directors.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Ratification of the appointment of PricewaterhouseCoopers LLC as our independent registered accounting firm for the fiscal year ending December 31, 2025 requires the affirmative vote of a majority of the votes properly cast on Proposal 2. You may vote “for,” “against” or “abstain” with respect to the ratification of the appointment of PricewaterhouseCoopers LLP. Abstentions and broker non-votes, if any, will have no effect on the outcome of the vote on this proposal.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the proxy holder named in the proxy card in accordance with his or her best judgement. At the time this proxy statement was first made available, we knew of no matters that needed to be acted on at the Annual Meeting, other than those discussed in this proxy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Board’s Voting Recommendations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recommends that you vote:</w:t>
      </w:r>
    </w:p>
    <w:p>
      <w:pPr>
        <w:spacing w:after="0" w:line="12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Reid Huber, Ph.D., John Maraganore, Ph.D., and Wendy B. Young, Ph.D. as Class I Directors (Proposal 1);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PricewaterhouseCoopers LLP as our independent registered public accounting firm for the fiscal year ending December 31, 2025 (Proposal 2).</w:t>
      </w:r>
    </w:p>
    <w:p>
      <w:pPr>
        <w:spacing w:after="0" w:line="15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other matter is properly brought before the Annual Meeting, the Company, through the individuals named in the Company’s proxy card and acting as the “proxy holder,” or his or her designee, and pursuant to the blanket authorization granted under the proxy, will vote your shares on that matter in accordance with the discretion and judgment of the proxy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Votes to Approve Each Proposal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stockholder, you are entitled to cast one vote per share for each of the three nominees for election as directors at the Annual Meeting, but you may not cumulate your votes (in other words, you may not cast votes representing two times the number of your shares entitled to vote in favor of a single nominee). A plurality of the votes properly cast for election of a director will result in election. Abstentions and broker non-votes will not be counted as votes cast on the proposal and will have no effect on the election of directors.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 majority of the votes properly cast at the Annual Meeting will approve: (i) the proposal to ratify the appointment of PricewaterhouseCoopers LLP as our independent registered public accounting firm for the fiscal year ending December 31, 2025; and (ii) transact any other business properly brought before the Annual Meeting.</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Please note, however, that because the vote on the ratification of PricewaterhouseCoopers LLP is advisory in nature, the results of such vote will not be binding upon our Board or its committees.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the presence, in person or by remote communication, if applicable, or represented by proxy, of the holders of a majority in voting power of the outstanding shares of stock entitled to vote at the Annual Meeting is necessary and sufficient to constitute a quorum for the transaction of business at the Annual Meeting. Abstentions, withheld votes and broker non-votes, if any, will be counted for purposes of determining whether a quorum is present for the transaction of business at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on Possible Other Matters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know of any other matters that may be presented for action at the Annual Meeting. Should any other business come before the Annual Meeting, the persons named on the Company’s proxy card will have discretionary authority to vote the shares represented by such proxies.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Revocation of Proxies or Voting Instructions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stockholder of record who has delivered a proxy card in response to this solicitation may revoke it before it is exercised at the Annual Meeting by executing and delivering a timely and valid later-dated proxy, by a timely and valid later Internet or telephone vote, by voting during the Annual Meeting or by giving written notice to our corporate secretary. Attendance at the Annual Meeting online will not have the effect of revoking a proxy unless a stockholder gives proper written notice of revocation to our corporate secretary before the proxy is exercised or the stockholder votes at the Annual Meeting. Beneficial owners who have directed their broker, bank or nominee as to how to vote their shares should contact their broker, bank or nominee for instructions as to how they may revoke or change those voting directions.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is making this solicitation of proxies for our Annual Meeting. We will bear all costs of such solicitation, including the cost of preparing and distributing this proxy statement and the enclosed form of proxy and including the cost of hosting the virtual Annual Meeting. After the initial distribution of this proxy statement, proxies may be solicited by mail, telephone or personally by directors, officers, employees or agents of the Company. Brokerage houses and other custodians, nominees and fiduciaries will be requested to forward soliciting materials to beneficial owners of shares held by them for the accounts of beneficial owners, and we will pay their reasonable out-of-pocket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an emerging growth company, we may take advantage of specified reduced disclosure and other requirements that are otherwise applicable generally to public companies, including the compensation disclosures required of a “smaller reporting company,” as that term is defined in Rule 12b-2 promulgated under the Securities Exchange Act of 1934, as amended (the “Exchange Act”), including:</w:t>
      </w:r>
    </w:p>
    <w:p>
      <w:pPr>
        <w:spacing w:after="0" w:line="85"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conduct votes seeking approval, on an advisory basis, of the compensation of our named executive officers (“NEOs”) or the frequency with which such votes must be conducted, or to obtain stockholder approval of any golden parachute arrangements not previously approved.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in which we have total annual gross revenues of $1.235 billion or more; (ii) the last day of the fiscal year following the fifth anniversary of the date of the completion of our initial public offering in June 2024; (iii) the date on which we have issued more than $1.0 billion in nonconvertible debt during the previous three years; or (iv) the date on which we are deemed to be a large accelerated filer under the rules of the SEC. We have taken advantage of reduced reporting requirements in this proxy statement. Accordingly, the information contained herein may be different from the information you receive from other public companies in which you hold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 and Structure</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committee’s and our Board’s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their earlier resignation or removal. Our third amended and restated certificate of incorporation and our amended and restated bylaws also provide that our directors may be removed only for cause by the affirmative vote of the holders of at least two-thirds of the votes that all our stockholders would be entitled to cast in an annual election of directors, and that any vacancy on our Board, including a vacancy resulting from an enlargement of our Board, may be filled only by vote of a majority of our directors then in office.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our third amended and restated certificate of incorporation, our Board is divided into three classes with staggered three-year terms. At each annual meeting of stockholders, the successors to directors whose terms then expire will be elected to serve from the time of election and qualification until the third annual meeting following election. Each director serves until the expiration of the term for which such director was elected or appointed, or until such director’s earlier death, resignation or removal. Our third amended and restated certificate of incorporation and our amended and restated bylaws each permit our Board to establish the authorized number of directors from time to time by resolution.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Board believes that it is in the best interests of the Company to make a determination regarding whether or not to separate the roles of any chairperson and the Chief Executive Officer based on the then-current circumstances. Currently, the role of chairman of our Board is separated from the role of chief executive officer. We believe that separating these positions allows our chief executive officer to focus on our day-to-day business, while allowing the chairman of our board to lead our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our chair of our Board, particularly as our Board’s oversight responsibilities continue to grow. While our amended and restated bylaws and corporate governance guidelines do not require that our board chair and chief executive officer positions be separate, our Board believes that having separate positions is the appropriate leadership structure for us at this time and demonstrates our commitment to good corporate governance.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our Board’s slate of recommended director nominees, our nominating and corporate governance committee takes into account the current size and composition of our Board and the needs of our Board and its committees, in addition to character, integrity, judgment, independence, skills, education, expertise, business acumen, business experience, length of service, understanding of our business and industry, conflicts of interest and other commitments. Our nominating and corporate governance committee also takes into account a candidate’s diversity and other differentiating characteristics. However, the committee does not assign any particular weight or priority to any one factor.</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biography for each of the director nominees included herein indicates each nominee’s experience, qualifications, attributes and skills that led our nominating and corporate governance committee and our Board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82"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conclude each such director should continue to serve as a director of our Company. Our nominating and corporate governance committee and our Board believe that each of the nominees has the individual attributes and characteristics required of each of our directors, and the nominees as a group possess the skill sets and specific experience desired of our Board as a whole.</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by our corporate secretary at our principal executive offices not less than ninety (90) days nor more than one hundred twenty (120) days prior to the first anniversary date of the annual meeting for the preceding year. Our amended and restated bylaws specify the requirements as to form and content of all stockholders’ notices.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Compositio</w:t>
      </w:r>
      <w:r>
        <w:rPr>
          <w:rFonts w:ascii="Times New Roman" w:cs="Times New Roman" w:eastAsia="Times New Roman" w:hAnsi="Times New Roman"/>
          <w:sz w:val="18"/>
          <w:szCs w:val="18"/>
          <w:color w:val="auto"/>
        </w:rPr>
        <w:t>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currently consists of nine (9) members. Below is a list of the names, ages as of April 24, 2025 and classification of the individuals who currently serve as our directors.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Age </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4"/>
              </w:rPr>
              <w:t>Abraham</w:t>
            </w:r>
          </w:p>
        </w:tc>
        <w:tc>
          <w:tcPr>
            <w:tcW w:w="4200" w:type="dxa"/>
            <w:vAlign w:val="bottom"/>
          </w:tcPr>
          <w:p>
            <w:pPr>
              <w:ind w:left="200"/>
              <w:spacing w:after="0" w:line="185" w:lineRule="exact"/>
              <w:rPr>
                <w:sz w:val="20"/>
                <w:szCs w:val="20"/>
                <w:color w:val="auto"/>
              </w:rPr>
            </w:pPr>
            <w:r>
              <w:rPr>
                <w:rFonts w:ascii="Times New Roman" w:cs="Times New Roman" w:eastAsia="Times New Roman" w:hAnsi="Times New Roman"/>
                <w:sz w:val="18"/>
                <w:szCs w:val="18"/>
                <w:color w:val="auto"/>
              </w:rPr>
              <w:t>N. Ceesay</w:t>
            </w:r>
          </w:p>
        </w:tc>
        <w:tc>
          <w:tcPr>
            <w:tcW w:w="1020" w:type="dxa"/>
            <w:vAlign w:val="bottom"/>
            <w:tcBorders>
              <w:top w:val="single" w:sz="8" w:color="auto"/>
            </w:tcBorders>
          </w:tcPr>
          <w:p>
            <w:pPr>
              <w:jc w:val="right"/>
              <w:ind w:right="332"/>
              <w:spacing w:after="0" w:line="185" w:lineRule="exact"/>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6"/>
                <w:szCs w:val="16"/>
                <w:color w:val="auto"/>
              </w:rPr>
            </w:pPr>
          </w:p>
        </w:tc>
        <w:tc>
          <w:tcPr>
            <w:tcW w:w="49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Chief Executive Officer and Director (Class III)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III) and Chairman of our Board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Reid Huber, Ph.D.</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Maraganore, Ph.D.</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Perez</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Sanchez, M.D.</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M. Silva</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III)</w:t>
            </w: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Wendy B. Young, Ph.D.</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(Class I)</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Nominees for Reelection as Class I Directors</w:t>
      </w:r>
    </w:p>
    <w:p>
      <w:pPr>
        <w:spacing w:after="0" w:line="11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Reid Huber, Ph.D. </w:t>
      </w:r>
      <w:r>
        <w:rPr>
          <w:rFonts w:ascii="Times New Roman" w:cs="Times New Roman" w:eastAsia="Times New Roman" w:hAnsi="Times New Roman"/>
          <w:sz w:val="18"/>
          <w:szCs w:val="18"/>
          <w:color w:val="auto"/>
        </w:rPr>
        <w:t>Dr. Huber has been a member of our Board since February 2022 and previously served as our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February 2022 to February 2023. Since December 2018, Dr. Huber has served as a Partner at Third Rock Ventures LLC (“Third Rock”) and currently serves as the Chief Executive Officer of Merida Biosciences, a position he has held since July 2022. From April 2021 to April 2022 Dr. Huber served as Chief Executive Officer of MOMA Therapeutics, Inc. (“MOMA”). Dr. Huber has served on the boards of directors of Bellicum Pharmaceuticals, Inc. (previously Nasdaq: BLCM) since October 2014 and CARGO Therapeutics, Inc. (Nasdaq: CRGX) since March 2023, and previously served on the board of directors of Tango Therapeutics, Inc. (Nasdaq: TNGX) from July 2019 to November 2023. Dr. Huber also serves on the board of directors of The American Cancer Society. Dr. Huber received a Bachelor of Science degree in molecular genetics/biochemistry from Murray State University, a Doctor of Philosophy degree in molecular genetics from the Washington University School of Medicine and held pre-and post-doctoral fellowships at the National Institutes of Health. We believe that Dr. Huber is qualified to serve on our Board due to his extensive background in the pharmaceutical industry and senior management experience.</w:t>
      </w:r>
    </w:p>
    <w:p>
      <w:pPr>
        <w:spacing w:after="0" w:line="18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John Maraganore, Ph.D. </w:t>
      </w:r>
      <w:r>
        <w:rPr>
          <w:rFonts w:ascii="Times New Roman" w:cs="Times New Roman" w:eastAsia="Times New Roman" w:hAnsi="Times New Roman"/>
          <w:sz w:val="18"/>
          <w:szCs w:val="18"/>
          <w:color w:val="auto"/>
        </w:rPr>
        <w:t>Dr. Maraganore has been a member of our Board since March 2024. Since January 2022, Dr. Maraganore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principal of JMM Innovations, LLC. He has also served as a Venture Partner at ARCH Venture Partners since October 2021, a Venture Advisor at Atlas Venture since January 2022, a Senior Advisor at Blackstone Life Sciences since January 2022, a Senior Advisor at Jefferies Financial Services since November 2024, and an Executive Partner at RTW Investments since January 2022. Previously, Dr. Maraganore was the founding Chief Executive Officer of Alnylam Pharmaceuticals, Inc.</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ALNY), and a member of its board of directors from December 2002 to December 2021. Dr. Maraganore has been a member of the board of</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directors of Beam Therapeutics Inc. (Nasdaq: BEAM) since November 2021, Takeda Pharmaceutical Company Limited (NYSE: TAK) since June 2022, and Kymera Therapeutics, Inc. (Nasdaq: KYMR) since January 2023. He has also been a member of the board of the Biotechnology Industry Organization, where he was chair from 2017 to 2019 and has served as chair emeritus since 2022, and a member of the BIO Executive Committee since June 2013. Dr. Maraganore also previously served on the board of directors of Agios Pharmaceuticals, Inc. (Nasdaq: AGIO) from June 2010 to May 2023, and on the board of directors of ProKidney Corp (Nasdaq: PROK) from June 2022 to May 2024. Dr. Maraganore holds a Bachelor of Arts degree in biological sciences, and Master of Science and Doctor of Philosophy degrees in biochemistry and molecular biology, in each case from the University of Chicago. We believe that Dr. Maraganore’s experience as chief executive officer of a public biotechnology company and as a board member of other public biotechnology companies qualify him to serve as a member of our Board.</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Wendy B. Young, Ph.D. </w:t>
      </w:r>
      <w:r>
        <w:rPr>
          <w:rFonts w:ascii="Times New Roman" w:cs="Times New Roman" w:eastAsia="Times New Roman" w:hAnsi="Times New Roman"/>
          <w:sz w:val="18"/>
          <w:szCs w:val="18"/>
          <w:color w:val="auto"/>
        </w:rPr>
        <w:t>Dr. Young has been a member of our Board since November 2024 and served as a member of our Scientific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from August 2023 to November 2024. She has served as the President of BioPharma Discovery, LLC, a scientific advisory company, since July 2021, and a Senior Advisor at Google Ventures, a venture capital firm, since January 2023. Dr. Young also serves as an Adjunct Professor of medicinal chemistry at the University of Michigan College of Pharmacy. Previously, Dr. Young served as an Executive Partner of MPM Capital (now MPM BioImpact), a venture capital firm, and Chief Executive Officer of a stealth company from September 2021 to June 2023. From October 2006 to September 2021, she held several roles of increasing responsibility at Genentech, Inc., a biotechnology company, most recently serving as Senior Vice President of Drug Discovery from January 2018 to September 2021. Dr. Young holds a Bachelor of Arts degree in chemistry and Master of Chemistry degree from Wake Forest University, a Doctor of Chemistry degree from Princeton University and was also a postdoctoral fellow at Memorial Sloan Kettering Cancer Center. We believe that Dr. Young is qualified to serve on our Board because of her scientific knowledge and experience advising other biotechnology and drug discovery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Abraham N. Ceesay, M.B.A. </w:t>
      </w:r>
      <w:r>
        <w:rPr>
          <w:rFonts w:ascii="Times New Roman" w:cs="Times New Roman" w:eastAsia="Times New Roman" w:hAnsi="Times New Roman"/>
          <w:sz w:val="18"/>
          <w:szCs w:val="18"/>
          <w:color w:val="auto"/>
        </w:rPr>
        <w:t>Mr. Ceesay has served as our President and Chief Executive Officer since February 2023 and has been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Board since March 2023. Prior to joining us, from April 2021 to March 2023, Mr. Ceesay served as President of Cerevel Therapeutics Holdings, Inc. (Nasdaq: CERE). Mr. Ceesay served as the Chief Executive Officer at Tiburio Therapeutics Inc. from January 2019 to April 2021. Mr. Ceesay has served on the board of directors of Pacira Biosciences, Inc. (Nasdaq: PCRX) since October 2023. Mr. Ceesay also currently serves as Chairman of the board for Life Science Cares and on the Board of Trustees at The Museum of Science in Boston, Massachusetts. Mr. Ceesay received a Bachelor of Science degree from Ithaca College and a Master of Business Administration degree from Suffolk University’s Sawyer School of Management. We believe Mr. Ceesay is qualified to serve as a member of our Board because of his prior experiences serving as an officer and director in, and his extensive knowledge of, the biopharmaceutical industry.</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Steven M. Paul, M.D. </w:t>
      </w:r>
      <w:r>
        <w:rPr>
          <w:rFonts w:ascii="Times New Roman" w:cs="Times New Roman" w:eastAsia="Times New Roman" w:hAnsi="Times New Roman"/>
          <w:sz w:val="18"/>
          <w:szCs w:val="18"/>
          <w:color w:val="auto"/>
        </w:rPr>
        <w:t>Dr. Paul has been a member and chairman of our Board since December 2022. From August 2018 to January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Paul served in senior leadership roles at Karuna Therapeutics, Inc. (Nasdaq: KRTX, prior to its recent acquisition by Bristol Myers Squibb Company), including as Chief Scientific Officer and President of Research and Development from January 2023 to January 2024, and President, Chief Executive Officer and Chairman of the board of directors from August 2018 to January 2023. Dr. Paul has also served as a Venture Partner at Third Rock since 2010. Dr. Paul is also board certified by the American Board of Psychiatry and Neurology. Dr. Paul served on the board of directors of Sage Therapeutics, Inc. (Nasdaq: SAGE) from September 2011 to June 2024 and also serves the chairman of the board of the Foundation for the National Institutes of Health. Previously, Dr. Paul served on the boards of directors of Alnylam Pharmaceuticals, Inc. (Nasdaq: ALNY) from September 2010 to April 2022, Voyager Therapeutics, Inc. (Nasdaq: VYGR) from September 2014 to June 2022 and Karuna Therapeutics, Inc. from March 2018 to March 2024. Dr. Paul also previously spent 17 years at Eli Lilly and Company (NYSE: LLY), during which time he held several leadership</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roles, including Executive Vice President for Science and Technology, and President of the Lilly Research Laboratories. Dr. Paul received a Bachelor of Arts degree in biology and psychology from Tulane University and Master of Science and Doctor of Medicine degrees from the Tulane University School of Medicine. We believe that Dr. Paul is qualified to serve on our Board due to his numerous leadership roles in the pharmaceutical and biotechnology industry and his expertise in neuroscience.</w:t>
      </w:r>
    </w:p>
    <w:p>
      <w:pPr>
        <w:spacing w:after="0" w:line="176"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James I. Healy, M.D., Ph.D. </w:t>
      </w:r>
      <w:r>
        <w:rPr>
          <w:rFonts w:ascii="Times New Roman" w:cs="Times New Roman" w:eastAsia="Times New Roman" w:hAnsi="Times New Roman"/>
          <w:sz w:val="17"/>
          <w:szCs w:val="17"/>
          <w:color w:val="auto"/>
        </w:rPr>
        <w:t>Dr. Healy has been a member of our Board since August 2023. Dr. Healy has served as Managing Partner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Sofinnova Investments, Inc. since June 2000. Dr. Healy has served on the boards of directors of ArriVent Biopharma, Inc. (Nasdaq: AVBP) since March 2023, Natera, Inc. (Nasdaq: NTRA) since November 2014, and Y-mAbs Therapeutics, Inc. (Nasdaq: YMAB) since November 2017. Previously, Dr. Healy served on numerous public company boards of directors including Ascendis Pharma A/S (Nasdaq: ASND) from November 2014 to May</w:t>
      </w:r>
    </w:p>
    <w:p>
      <w:pPr>
        <w:ind w:left="120"/>
        <w:spacing w:after="0"/>
        <w:rPr>
          <w:sz w:val="20"/>
          <w:szCs w:val="20"/>
          <w:color w:val="auto"/>
        </w:rPr>
      </w:pPr>
      <w:r>
        <w:rPr>
          <w:rFonts w:ascii="Times New Roman" w:cs="Times New Roman" w:eastAsia="Times New Roman" w:hAnsi="Times New Roman"/>
          <w:sz w:val="18"/>
          <w:szCs w:val="18"/>
          <w:color w:val="auto"/>
        </w:rPr>
        <w:t>2022, Amarin Corporation PLC (Nasdaq: AMRN) from May 2008 to December 2016, Bolt Biotherapeutics, Inc. (Nasdaq: BOLT) from January 2021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2024, CinCor Pharma, Inc. (Nasdaq: CINC, prior to its recent acquisition by AstraZeneca PLC) from May 2019 to February 2023, Coherus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BioSciences, Inc. (Nasdaq: CHRS) from February 2014 to February 2022, Karuna Therapeutics, Inc. (Nasdaq: KRTX, prior to its recent acquisition by</w:t>
      </w:r>
    </w:p>
    <w:p>
      <w:pPr>
        <w:spacing w:after="0" w:line="9"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Bristol Myers Squibb Company) from June 2019 to March 2024, Iterum Therapeutics plc (Nasdaq: ITRM) from November 2015 to February 2020, ObsEva SA (Nasdaq: OBSEF) from August 2013 to May 2021, and NuCana PLC (Nasdaq: NCNA) from March 2014 to April 2022. He also previously served as a director on the board of the National Venture Capital Association (NVCA) and the board of the Biotechnology Industry Organization (BIO). Dr. Healy holds Bachelor of Arts degrees in molecular biology and Scandinavian studies from the University of California, Berkeley, and Doctor of Medicine and Doctor of Philosophy degrees in immunology from Stanford University School of Medicine. We believe that Dr. Healy is qualified to serve on our Board due to his extensive experience and leadership roles in the biopharmaceutical industry and expertise in healthcare investing.</w:t>
      </w:r>
    </w:p>
    <w:p>
      <w:pPr>
        <w:spacing w:after="0" w:line="17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J. Perez, M.B.A. </w:t>
      </w:r>
      <w:r>
        <w:rPr>
          <w:rFonts w:ascii="Times New Roman" w:cs="Times New Roman" w:eastAsia="Times New Roman" w:hAnsi="Times New Roman"/>
          <w:sz w:val="18"/>
          <w:szCs w:val="18"/>
          <w:color w:val="auto"/>
        </w:rPr>
        <w:t>Mr. Perez has been a member of our Board since November 2024. Mr. Perez has served as Operating Partner of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Atlantic Service Company, L.P., a global growth equity firm, since January 2019. Prior to joining General Atlantic, Mr. Perez served as Managing Director of Vineyard Sound Advisors, LLC, a biopharmaceutical advisory practice, from March 2015 through January 2019. Mr. Perez also previously held numerous roles of increasing responsibility at Cubist Pharmaceuticals, Inc. (Nasdaq: CBST), a biopharmaceutical company, including most recently serving as Chief Executive Officer, until its acquisition by Merck &amp; Co., Inc. in 2015. Mr. Perez has served as a member of the board of directors of Immunocore Holdings Plc (Nasdaq: IMCR) since September 2019, and previously served as a member of the boards of directors of Third Harmonic Bio, Inc. (Nasdaq: THRD) from December 2021 to June 2024, Vir Biotechnolgy, Inc. (Nasdaq: VIR) from February 2017 to May 2024, AMAG Pharmaceuticals, Inc. (Nasdaq: AMAG) from February 2009 to June 2020, Zafgen Inc. (now Larimar Therapeutics, Inc. (Nasdaq: LRMR)) from September 2015 to May 2020, and Spark Therapeutics (Nasdaq: ONCE) from September 2015 to May 2020. Mr. Perez is also the founder and chairman of Life Science Cares, an organization that provides capital from the life sciences industry to non-profits working to alleviate the impact of poverty, and serves on the board of trustees of The Dana Farber Cancer Institute. Mr. Perez holds a Bachelor of Science degree in business from California State University, Los Angeles, and a Master of Business Administration from the Anderson Graduate School of Management at the University of California, Los Angeles. We believe Mr. Perez is qualified to serve on our Board because of his breadth of experience with biopharmaceutical and life sciences companies, and his extensive management experience.</w:t>
      </w:r>
    </w:p>
    <w:p>
      <w:pPr>
        <w:spacing w:after="0" w:line="185"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Raymond Sanchez, M.D. </w:t>
      </w:r>
      <w:r>
        <w:rPr>
          <w:rFonts w:ascii="Times New Roman" w:cs="Times New Roman" w:eastAsia="Times New Roman" w:hAnsi="Times New Roman"/>
          <w:sz w:val="18"/>
          <w:szCs w:val="18"/>
          <w:color w:val="auto"/>
        </w:rPr>
        <w:t>Dr. Sanchez has been a member of our Board since November 2024. Dr. Sanchez is currently a Senior Advisor at Bain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Life Sciences, a global investment firm. He previously served as Chief Medical Officer of Cerevel Therapeutics Holdings, Inc. (Nasdaq: CERE), a biopharmaceutical company, from January 2019 to August 2024 when it was acquired by AbbVie Inc. From November 2007 to January 2019,</w:t>
      </w:r>
    </w:p>
    <w:p>
      <w:pPr>
        <w:ind w:left="120" w:right="320"/>
        <w:spacing w:after="0" w:line="255" w:lineRule="auto"/>
        <w:rPr>
          <w:sz w:val="20"/>
          <w:szCs w:val="20"/>
          <w:color w:val="auto"/>
        </w:rPr>
      </w:pPr>
      <w:r>
        <w:rPr>
          <w:rFonts w:ascii="Times New Roman" w:cs="Times New Roman" w:eastAsia="Times New Roman" w:hAnsi="Times New Roman"/>
          <w:sz w:val="18"/>
          <w:szCs w:val="18"/>
          <w:color w:val="auto"/>
        </w:rPr>
        <w:t>Dr. Sanchez held various roles of increasing responsibility at Otsuka Pharmaceutical Development &amp; Commercialization, Inc., a privately-held healthcare company, most recently as Senior Vice President, Global Clinical Development beginning in November 2013. From June 2018 to January 2019, Dr. Sanchez concurrently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served as Chief Medical Officer of Avanir Pharmaceuticals, Inc., a pharmaceutical company (later acquired by Otsuka America Pharmaceutical, Inc.). Prior to joining the life sciences industry, Dr. Sanchez trained in psychiatry at the Yale School of Medicine where he where he was Chief Resident as well as a fellow and an instructor. Dr. Sanchez was an executive co-chair of the International Society for CNS Drug Development from November 2017 to January 2022, and has also contributed to other academic and charitable organizations such as the Connecticut Mental Health Center Foundation and Yale School of Medicine. Dr. Sanchez holds two degrees from Northwestern University, a Bachelor of Arts degree in psychology from the Weinberg College of Arts and Sciences and a medical degree from the Feinberg School of Medicine. We believe Dr. Sanchez is qualified to serve on our Board because of his extensive experience in the pharmaceutical industry and his background in medicine.</w:t>
      </w:r>
    </w:p>
    <w:p>
      <w:pPr>
        <w:spacing w:after="0" w:line="18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Paul M. Silva. </w:t>
      </w:r>
      <w:r>
        <w:rPr>
          <w:rFonts w:ascii="Times New Roman" w:cs="Times New Roman" w:eastAsia="Times New Roman" w:hAnsi="Times New Roman"/>
          <w:sz w:val="18"/>
          <w:szCs w:val="18"/>
          <w:color w:val="auto"/>
        </w:rPr>
        <w:t>Mr. Silva has been a member of our Board since November 2024. He held various roles of increasing responsibility at Vertex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Incorporated (Nasdaq: VRTX), a biopharmaceutical company, from August 2007 until his retirement in April 2021, including most recently serving as Senior Vice President and Chief Accounting Officer for a decade beginning in April 2011. Prior to joining Vertex, he held positions at Iron Mountain Incorporated (NYSE: IRM), Thermo Electron Corporation (now Thermo Fisher Scientific Inc., NYSE: TMO), and Andersen LLP, a public accounting firm. Mr. Silva has served as a member of the boards of directors of Nurix Therapeutics, Inc. (Nasdaq: NRIX) since October 2021, and New Life Furniture Bank of Massachusetts, a charitable organization, since November 2022. Mr. Silva holds a Bachelor of Arts degree in accounting from Assumption College. We believe Mr. Silva is qualified to serve on our Board because of his extensive experience as a biotechnology executive.</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believe that all of our current Board members possess the professional and personal qualifications necessary for Board service and have highlighted particularly noteworthy attributes for each Board member in the individual biographies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March 2025, our Board undertook a review of the composition of our Board and its committees and the independence of each director. Based upon information requested from and provided by each director concerning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his or her background, employment and affiliations, including family relationships, our Board has determined that all members of our Board, except Mr. Ceesay and Dr. Huber, are independent directors, including for purposes of Nasdaq and the SEC rules. In making that determination, our Board considered the relationships that each director has with us and all other facts and circumstances our Board deemed relevant in determining independence, including the potential deemed beneficial ownership of our capital stock by each director, including non-employee directors that are affiliated with certain of our major stockholders. We believe that the composition and functioning of our Board and each of our committees comply with all applicable requirements of Nasdaq and the rules and regulations of the SEC. There are no family relationships among any of our executive officers and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the management of our risks. The full Board (or the appropriate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during the committee reports portion of the next Board meeting. This enables our Board and its committees to coordinate the risk oversight role, particularly with respect to risk interrelationships. The compensation committee is responsible for overseeing the management of risks relating to compensation to be paid to our executive officers, directors, and other senior management. The audit committee is responsible for overseeing the management of risks relating to accounting matters and financial reporting. The nominating and corporate governance committee is responsible for overseeing the management of risks associated with our corporate governance functions and Board composition. Although each committee is responsible for evaluating certain risks and overseeing the management of such risks, the entire Board is regularly informed through discussions from committee members about such risks. Our Board believes its administration of its risk oversight function has not negatively affected our Board’s leadership structure.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and a science and technology committee, each of which operates pursuant to a charter adopted by our Board.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full text of our audit committee charter, compensation committee charter, nominating and corporate governance committee charter, and science and technology committee charter are posted on the “Corporate Governance” portion of our investors website at </w:t>
      </w:r>
      <w:r>
        <w:rPr>
          <w:rFonts w:ascii="Times New Roman" w:cs="Times New Roman" w:eastAsia="Times New Roman" w:hAnsi="Times New Roman"/>
          <w:sz w:val="18"/>
          <w:szCs w:val="18"/>
          <w:i w:val="1"/>
          <w:iCs w:val="1"/>
          <w:color w:val="auto"/>
        </w:rPr>
        <w:t>www.investors.rapportrx.com</w:t>
      </w:r>
      <w:r>
        <w:rPr>
          <w:rFonts w:ascii="Times New Roman" w:cs="Times New Roman" w:eastAsia="Times New Roman" w:hAnsi="Times New Roman"/>
          <w:sz w:val="18"/>
          <w:szCs w:val="18"/>
          <w:color w:val="auto"/>
        </w:rPr>
        <w:t>. We do not incorporate the information contained on, or accessible through, our corporate website into this proxy statement, and you should not consider it a part of this proxy statement.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describes which directors serve on each of our Board’s committees as of April 24,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56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 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20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5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49"/>
        </w:trPr>
        <w:tc>
          <w:tcPr>
            <w:tcW w:w="372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202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56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Abraham N. Ceesay</w:t>
            </w: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32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22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660" w:type="dxa"/>
            <w:vAlign w:val="bottom"/>
          </w:tcPr>
          <w:p>
            <w:pPr>
              <w:spacing w:after="0"/>
              <w:rPr>
                <w:sz w:val="24"/>
                <w:szCs w:val="24"/>
                <w:color w:val="auto"/>
              </w:rPr>
            </w:pP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Chair</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Reid Huber, Ph.D.</w:t>
            </w: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4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42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48"/>
        </w:trPr>
        <w:tc>
          <w:tcPr>
            <w:tcW w:w="6400" w:type="dxa"/>
            <w:vAlign w:val="bottom"/>
            <w:gridSpan w:val="2"/>
            <w:vMerge w:val="continue"/>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7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42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Maraganore, Ph.D.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540" w:type="dxa"/>
            <w:vAlign w:val="bottom"/>
          </w:tcPr>
          <w:p>
            <w:pPr>
              <w:spacing w:after="0"/>
              <w:rPr>
                <w:sz w:val="24"/>
                <w:szCs w:val="24"/>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Member</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Perez</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Member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Sanchez, M.D.</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Member</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M. Silva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Wendy B. Young, Ph.D.</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corporate accounting and financial reporting processes, systems of internal control and financial-statement audits, and to oversee our independent registered public accounting firm. Specific responsibilities of our audit committee include:</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insurance coverage for our officers and directors;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preparation of our annual proxy statement, reviewing with management our financial statements to be included in our quarterly reports to be filed with the SEC, and reviewing with management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disclosures in our periodic reports filed with the SEC;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6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consists of James I. Healy, M.D., Ph.D., John Maraganore, Ph.D. and Paul M. Silva. Mr. Silva chairs the audit committee. Our Board has determined that Dr. Healy, Dr. Maraganore and Mr. Silva are each independent under Nasdaq Listing Rules and Rule 10A-3(b)(1) of the Exchange Act, and each of Dr. Healy, Dr. Maraganore and Mr. Silva can read and understand fundamental financial statements in accordance with applicable requirements. Our Board has also determined that Mr. Silva is an “audit committee financial expert” within the meaning of SEC regulations. In arriving at these determinations, our Board has examined each audit committee member’s scope of experience. Our Board has determined that all of the members of our audit committee satisfy the relevant independence requirements for service on the audit committee set forth in the rules of the SEC and the Nasdaq listing rules. Both our independent registered public accounting firm and management periodically meet privately with our audit committee. Our audit committee charter, which has been adopted by our Board, is available on our website.</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our audit committee met two (2) times. The report of our audit committee is included in this proxy statement below under “Audit Committee Report.”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paid to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succession plans for our executive officers;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members of our compensation committee are James I. Healy, M.D., Ph.D., John Maraganore, Ph.D., Robert J. Perez and Raymond Sanchez, M.D. Dr. Healy chairs the compensation committee. Each member of our compensation committee is a non-employee director, as defined in Rule 16b-3 promulgated under the Exchange Act. Our compensation committee may delegate any of the responsibilities of the full committee to subcommittees and may delegate certain responsibilities of the full committee to executive officers of the Company and other persons as may be permitted by applicable laws, rules or regulations and in accordance with the listing standards set forth by Nasdaq. Accordingly, our compensation committee has delegated authority to our chief executive officer to make equity awards under our 2022 Stock Option and Grant Plan (as amended from time to time, the “2022 Plan”) and 2024 Stock Option and Incentive Plan (as amended from time to time, the “2024 Plan”) to new hires of the Company and existing employees of the Company in connection with promotions, market adjustments, employee recognition or retention, in each case, subject to certain limitations. Our compensation committee charter, which has been adopted by our Board, is available on our website.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fiscal year ended December 31, 2024, our compensation committee met six (6) times.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Compensation Consultant</w:t>
      </w:r>
    </w:p>
    <w:p>
      <w:pPr>
        <w:spacing w:after="0" w:line="11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has engaged Aon PLC (“Aon”) as its independent compensation consultant. When requested, Aon consultants attend meetings of our compensation committee, including executive sessions in which executive compensation-related matters are discussed without the presence of our management. Aon reports to our compensation committee and not to our management, although Aon meets with our management for purposes of gathering information for its analyses and recommendations.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assessed the independence of Aon from management, taking into consideration relevant factors, including the absence of other services provided to our Company by Aon, the amount of fees our Company paid to Aon as a percentage of Aon’s total revenue, the policies and procedures of Aon that are designed to prevent conflicts of interest, any business or personal relationship of the individual compensation advisors employed by Aon with any executive officer of the Company, any business or personal relationship the individual compensation advisors employed by Aon have with any member of our compensation committee and any stock of our Company owned by Aon or the individual compensation advisors employed by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Aon. On the basis of that assessment and taking into consideration the independence factors that are required to be considered under applicable stock exchange rules, our compensation committee determined that no relationships existed that would create a conflict of interest or that would compromise Aon’s independence, and that Aon is independent pursuant to the independence standards set forth in the Nasdaq listing standards promulgated pursuant to Section 10C of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nominating and corporate governance committee is to discharge the responsibilities of our Board with respect to our corporate governance functions and to identify, communicate with, evaluate and recommend candidates for our Board. Specific responsibilities of our nominating and corporate governance committee include:</w:t>
      </w:r>
    </w:p>
    <w:p>
      <w:pPr>
        <w:spacing w:after="0" w:line="81" w:lineRule="exact"/>
        <w:rPr>
          <w:sz w:val="20"/>
          <w:szCs w:val="20"/>
          <w:color w:val="auto"/>
        </w:rPr>
      </w:pPr>
    </w:p>
    <w:p>
      <w:pPr>
        <w:ind w:left="1080" w:right="3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regarding the composition and chairmanship of the committees of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and orientation of new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our Board’s performance, including committees of our Board and management.</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Robert J. Perez and Paul M. Silva. Mr. Perez chairs our nominating and corporate governance committee. Our Board has determined that each member of our nominating and corporate governance committee satisfies the independence standards of the applicable rules of Nasdaq. Our nominating and corporate governance committee charter, which has been adopted by our Board, is available on our website.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fiscal year ended December 31, 2024, our nominating and corporate governance committee met three (3) times.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science and technology committee supports Board oversight of the Company’s research and development, manufacturing and supply activities by providing a forum for review of strategic considerations and issues in such areas, as well as to evaluate relevant emerging technology and advances in the field.</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members of our science and technology committee are Reid Huber, Ph.D., Steven M. Paul, M.D., Raymond Sanchez, M.D. and Wendy B. Young, Ph.D. Dr. Young chairs our science and technology committee. Our science and technology committee charter, which has been adopted by our Board, is available on our website.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fiscal year ended December 31, 2024, our science and technology committee met five (5) times.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full Board held five (5) meetings during the year ended December 31, 2024. Each of our incumbent directors attended in person or participated via teleconference at least 75% of the aggregate meetings of our Board and the committees of our Board on which he or she served during the year ended December 31, 2024 (in each case, which were held during the period for which he or she was a director and/or a member of the applicable committee and excluding any meetings in which a director was an interested party). Our non-employee directors met in executive session during each of the regularly scheduled Board meetings during the year ended December 31, 2024.</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provide that each member of our Board is expected to make reasonable efforts to attend meetings of our Board, whether regular or special. Attendance and participation at meetings is an important component of the directors’ duties and, as such, attendance rates are taken into account by the nominating and corporate governance committee in assessing directors for renomination as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our Corporate Governance Guidelines, each of our directors is expected to attend our annual meetings of stockholders to the extent practicable, and we encourage our directors to attend our annual meetings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Board adopted a Code of Business Conduct and Ethics, which applies to all of our directors, officers, employees and certain designated agents.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disclose future amendments, if any, to certain provisions of our Code of Business Conduct and Ethics and our Code of Ethics on our website identified below. The full text of our Code of Business Conduct and Ethics and our Code of Ethics is posted on the corporate governance section of our investors website at https://investors.rapportrx.com/corporate-governance/governance-overview. The inclusion of our website address in this proxy statement does not include or incorporate by reference the information on our website into this proxy statement, and you should not consider that information a part of this proxy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with insider trading laws, rules and regulations, and the Nasdaq Stock Market listing standards that are applicable to us. Our insider trading policy is filed as Exhibit 19.1 to our Annual Report on Form 10-K, filed on March 11, 2025. Furthermore, it is the Company’s policy to comply with applicable insider trading laws, rules and regulations, and any exchange listing standards when engaging in transactions in Company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derivative and hedging transactions of our stock and purchases or sales of puts, calls, or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or pledge of the Company’s securities as collateral for a loan, at any time, by our executive officers, directors and employees.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Trading Plan Policy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Rule 10b5-1 trading plan policy, which permits our officers, directors, employees and certain other persons to enter into trading plans complying with Rule 10b5-1 under the Exchange Act. Generally, under these trading plans, the individual relinquishes control over the transactions once the trading plan is put into place and can only put such plans into place while the individual is not in possession of material non-public information. Accordingly, sales under these plans may occur at any time, including possibly before, simultaneously with, or immediately after significant events involving our company. It is our policy to comply with applicable insider trading laws, rules and regulations, and any exchange listing standards when engaging in transactions in our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our Board adopted a compensation recovery policy on May 29, 2024, effective as of June 6, 2024.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Through May 30, 2025, any stockholders desiring to communicate with our Board, or one or more of our directors, may send a letter addressed to the Board of Directors of Rapport Therapeutics, Inc. 1325 Boylston Street, Suite 401, Boston, MA 02215 USA. After May 30, 2025, letters should be addressed to 99 High Street, Suite 21200, Boston, MA 02110. Communications intended for a specific director or directors should be addressed to their attention at the addresses provided above. All such letters will be forwarded to the appropriate members of our Board or individual directors,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presents the total compensation paid by us to non-employee members of our Board during the fiscal year ended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Other than as set forth in the table and described more fully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below, we did not pay any compensation, make any equity awards or non-equity awards to, or pay any other compensation to any of the members of our Board in 2024 for their services as members of our Board. Mr. Ceesay, our Chief Executive Officer, does not receive any compensation from us for his service on our Board. See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more information on the compensation paid to or earned by Mr. Ceesay as an employee for year ended December 31, 2024.</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0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Pr>
          <w:p>
            <w:pPr>
              <w:spacing w:after="0"/>
              <w:rPr>
                <w:sz w:val="12"/>
                <w:szCs w:val="12"/>
                <w:color w:val="auto"/>
              </w:rPr>
            </w:pPr>
          </w:p>
        </w:tc>
        <w:tc>
          <w:tcPr>
            <w:tcW w:w="2060" w:type="dxa"/>
            <w:vAlign w:val="bottom"/>
            <w:gridSpan w:val="2"/>
          </w:tcPr>
          <w:p>
            <w:pPr>
              <w:jc w:val="right"/>
              <w:ind w:right="12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60" w:type="dxa"/>
            <w:vAlign w:val="bottom"/>
            <w:gridSpan w:val="2"/>
            <w:vMerge w:val="continue"/>
          </w:tcPr>
          <w:p>
            <w:pPr>
              <w:spacing w:after="0"/>
              <w:rPr>
                <w:sz w:val="13"/>
                <w:szCs w:val="13"/>
                <w:color w:val="auto"/>
              </w:rPr>
            </w:pPr>
          </w:p>
        </w:tc>
        <w:tc>
          <w:tcPr>
            <w:tcW w:w="2400" w:type="dxa"/>
            <w:vAlign w:val="bottom"/>
            <w:gridSpan w:val="2"/>
          </w:tcPr>
          <w:p>
            <w:pPr>
              <w:jc w:val="right"/>
              <w:ind w:right="455"/>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660" w:type="dxa"/>
            <w:vAlign w:val="bottom"/>
          </w:tcPr>
          <w:p>
            <w:pPr>
              <w:spacing w:after="0"/>
              <w:rPr>
                <w:sz w:val="13"/>
                <w:szCs w:val="13"/>
                <w:color w:val="auto"/>
              </w:rPr>
            </w:pPr>
          </w:p>
        </w:tc>
        <w:tc>
          <w:tcPr>
            <w:tcW w:w="64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(2)(3)</w:t>
            </w:r>
          </w:p>
        </w:tc>
        <w:tc>
          <w:tcPr>
            <w:tcW w:w="68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Pr>
          <w:p>
            <w:pPr>
              <w:spacing w:after="0"/>
              <w:rPr>
                <w:sz w:val="13"/>
                <w:szCs w:val="13"/>
                <w:color w:val="auto"/>
              </w:rPr>
            </w:pPr>
          </w:p>
        </w:tc>
        <w:tc>
          <w:tcPr>
            <w:tcW w:w="66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Terry-Ann Burrell, M.B.A.</w:t>
            </w:r>
            <w:r>
              <w:rPr>
                <w:rFonts w:ascii="Times New Roman" w:cs="Times New Roman" w:eastAsia="Times New Roman" w:hAnsi="Times New Roman"/>
                <w:sz w:val="22"/>
                <w:szCs w:val="22"/>
                <w:color w:val="auto"/>
                <w:vertAlign w:val="superscript"/>
              </w:rPr>
              <w:t>(4)</w:t>
            </w: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23,419</w:t>
            </w: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689,331</w:t>
            </w: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94"/>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712,750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Healey, M.D., Ph.D.</w:t>
            </w:r>
          </w:p>
        </w:tc>
        <w:tc>
          <w:tcPr>
            <w:tcW w:w="3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34,533</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34,533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Huber, Ph.D.</w:t>
            </w:r>
          </w:p>
        </w:tc>
        <w:tc>
          <w:tcPr>
            <w:tcW w:w="3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26,699</w:t>
            </w: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26,699</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Raymond Kelleher, M.D., Ph.D.</w:t>
            </w:r>
            <w:r>
              <w:rPr>
                <w:rFonts w:ascii="Times New Roman" w:cs="Times New Roman" w:eastAsia="Times New Roman" w:hAnsi="Times New Roman"/>
                <w:sz w:val="22"/>
                <w:szCs w:val="22"/>
                <w:color w:val="auto"/>
                <w:vertAlign w:val="superscript"/>
              </w:rPr>
              <w:t>(5)</w:t>
            </w:r>
          </w:p>
        </w:tc>
        <w:tc>
          <w:tcPr>
            <w:tcW w:w="1000" w:type="dxa"/>
            <w:vAlign w:val="bottom"/>
          </w:tcPr>
          <w:p>
            <w:pPr>
              <w:spacing w:after="0"/>
              <w:rPr>
                <w:sz w:val="18"/>
                <w:szCs w:val="18"/>
                <w:color w:val="auto"/>
              </w:rPr>
            </w:pP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John Maraganore, Ph.D.</w:t>
            </w:r>
            <w:r>
              <w:rPr>
                <w:rFonts w:ascii="Times New Roman" w:cs="Times New Roman" w:eastAsia="Times New Roman" w:hAnsi="Times New Roman"/>
                <w:sz w:val="22"/>
                <w:szCs w:val="22"/>
                <w:color w:val="auto"/>
                <w:vertAlign w:val="superscript"/>
              </w:rPr>
              <w:t>(6)</w:t>
            </w:r>
          </w:p>
        </w:tc>
        <w:tc>
          <w:tcPr>
            <w:tcW w:w="3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35,654</w:t>
            </w:r>
          </w:p>
        </w:tc>
        <w:tc>
          <w:tcPr>
            <w:tcW w:w="1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795,108</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830,762</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Sanjay Mistry, Ph.D.</w:t>
            </w:r>
            <w:r>
              <w:rPr>
                <w:rFonts w:ascii="Times New Roman" w:cs="Times New Roman" w:eastAsia="Times New Roman" w:hAnsi="Times New Roman"/>
                <w:sz w:val="22"/>
                <w:szCs w:val="22"/>
                <w:color w:val="auto"/>
                <w:vertAlign w:val="superscript"/>
              </w:rPr>
              <w:t>(7)</w:t>
            </w:r>
          </w:p>
        </w:tc>
        <w:tc>
          <w:tcPr>
            <w:tcW w:w="1000" w:type="dxa"/>
            <w:vAlign w:val="bottom"/>
          </w:tcPr>
          <w:p>
            <w:pPr>
              <w:spacing w:after="0"/>
              <w:rPr>
                <w:sz w:val="18"/>
                <w:szCs w:val="18"/>
                <w:color w:val="auto"/>
              </w:rPr>
            </w:pP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Paul, M.D.</w:t>
            </w:r>
          </w:p>
        </w:tc>
        <w:tc>
          <w:tcPr>
            <w:tcW w:w="3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28,795</w:t>
            </w:r>
          </w:p>
        </w:tc>
        <w:tc>
          <w:tcPr>
            <w:tcW w:w="1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642,446</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671,241</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Perez</w:t>
            </w:r>
          </w:p>
        </w:tc>
        <w:tc>
          <w:tcPr>
            <w:tcW w:w="3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7,921</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585,598</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593,519</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Sanchez, M.D.</w:t>
            </w:r>
          </w:p>
        </w:tc>
        <w:tc>
          <w:tcPr>
            <w:tcW w:w="3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7,323</w:t>
            </w:r>
          </w:p>
        </w:tc>
        <w:tc>
          <w:tcPr>
            <w:tcW w:w="1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585,598</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592,921</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M. Silva</w:t>
            </w:r>
          </w:p>
        </w:tc>
        <w:tc>
          <w:tcPr>
            <w:tcW w:w="3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8,818</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585,598</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594,416</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Jeffrey K. Tong, Ph.D.</w:t>
            </w:r>
            <w:r>
              <w:rPr>
                <w:rFonts w:ascii="Times New Roman" w:cs="Times New Roman" w:eastAsia="Times New Roman" w:hAnsi="Times New Roman"/>
                <w:sz w:val="22"/>
                <w:szCs w:val="22"/>
                <w:color w:val="auto"/>
                <w:vertAlign w:val="superscript"/>
              </w:rPr>
              <w:t>(8)</w:t>
            </w:r>
          </w:p>
        </w:tc>
        <w:tc>
          <w:tcPr>
            <w:tcW w:w="30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23,267</w:t>
            </w: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23,267</w:t>
            </w:r>
          </w:p>
        </w:tc>
        <w:tc>
          <w:tcPr>
            <w:tcW w:w="0" w:type="dxa"/>
            <w:vAlign w:val="bottom"/>
          </w:tcPr>
          <w:p>
            <w:pPr>
              <w:spacing w:after="0"/>
              <w:rPr>
                <w:sz w:val="1"/>
                <w:szCs w:val="1"/>
                <w:color w:val="auto"/>
              </w:rPr>
            </w:pPr>
          </w:p>
        </w:tc>
      </w:tr>
      <w:tr>
        <w:trPr>
          <w:trHeight w:val="29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Wendy B. Young, Ph.D.</w:t>
            </w:r>
          </w:p>
        </w:tc>
        <w:tc>
          <w:tcPr>
            <w:tcW w:w="30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7,174</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585,598</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29,914</w:t>
            </w:r>
            <w:r>
              <w:rPr>
                <w:rFonts w:ascii="Times New Roman" w:cs="Times New Roman" w:eastAsia="Times New Roman" w:hAnsi="Times New Roman"/>
                <w:sz w:val="22"/>
                <w:szCs w:val="22"/>
                <w:color w:val="auto"/>
                <w:w w:val="96"/>
                <w:vertAlign w:val="superscript"/>
              </w:rPr>
              <w:t>(9)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620,286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40" w:right="380" w:hanging="424"/>
        <w:spacing w:after="0" w:line="26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annual cash compensation earned for services rendered by independent members of our Board and the committees thereof during the fiscal year ended December 31, 2024.</w:t>
      </w: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aggregate grant date fair value of option awards granted during 2024 in accordance with our Non-employee Director Compensation Policy, described below, calculated in accordance with the provisions of Financial Accounting Standards Board (“FASB”) Accounting Standards Codification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Such grant date fair values do not take into account any estimated forfeitures. See Note 2 to our audited consolidated financial statements appearing in our 2024 Annual Report for assumptions underlying the valuation of equity awards. The amounts reported in this column reflect the accounting cost for these options and do not correspond to the actual economic value that may be received by our directors upon the exercise of the options or any sale of the underlying shares of common stock.</w:t>
      </w:r>
    </w:p>
    <w:p>
      <w:pPr>
        <w:spacing w:after="0" w:line="2"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outstanding unvested stock awards and outstanding unexercised stock options held by each of our directors as of December 31, 2024.</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36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Aggregate Number of</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3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Unvested Shares of</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2"/>
                <w:szCs w:val="12"/>
                <w:color w:val="auto"/>
              </w:rPr>
            </w:pPr>
          </w:p>
        </w:tc>
        <w:tc>
          <w:tcPr>
            <w:tcW w:w="23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or</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236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8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to Stock Options</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Terry-Ann Burrell, M.B.A.</w:t>
            </w:r>
          </w:p>
        </w:tc>
        <w:tc>
          <w:tcPr>
            <w:tcW w:w="1380" w:type="dxa"/>
            <w:vAlign w:val="bottom"/>
            <w:tcBorders>
              <w:top w:val="single" w:sz="8" w:color="auto"/>
            </w:tcBorders>
            <w:shd w:val="clear" w:color="auto" w:fill="CCEEFF"/>
          </w:tcPr>
          <w:p>
            <w:pPr>
              <w:ind w:left="11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17,514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Healey, M.D., Ph.D.</w:t>
            </w:r>
          </w:p>
        </w:tc>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Huber, Ph.D.</w:t>
            </w:r>
          </w:p>
        </w:tc>
        <w:tc>
          <w:tcPr>
            <w:tcW w:w="2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Kelleher, M.D., Ph.D.</w:t>
            </w:r>
          </w:p>
        </w:tc>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Maraganore, Ph.D.</w:t>
            </w:r>
          </w:p>
        </w:tc>
        <w:tc>
          <w:tcPr>
            <w:tcW w:w="2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87,567</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Mistry, Ph.D.</w:t>
            </w:r>
          </w:p>
        </w:tc>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Paul, M.D.</w:t>
            </w:r>
          </w:p>
        </w:tc>
        <w:tc>
          <w:tcPr>
            <w:tcW w:w="23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172,514</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166,394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Perez</w:t>
            </w:r>
          </w:p>
        </w:tc>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Sanchez, M.D.</w:t>
            </w:r>
          </w:p>
        </w:tc>
        <w:tc>
          <w:tcPr>
            <w:tcW w:w="2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29,756</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M. Silva</w:t>
            </w:r>
          </w:p>
        </w:tc>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K. Tong, Ph.D.</w:t>
            </w:r>
          </w:p>
        </w:tc>
        <w:tc>
          <w:tcPr>
            <w:tcW w:w="2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Wendy B. Young, Ph.D.</w:t>
            </w:r>
          </w:p>
        </w:tc>
        <w:tc>
          <w:tcPr>
            <w:tcW w:w="23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32,091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24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Ms. Burrell entered into an offer letter agreement in connection with her appointment to our Board, pursuant to which she was eligible to receive an annual cash retainer of $30,000 per year,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120"/>
        <w:spacing w:after="0" w:line="257" w:lineRule="auto"/>
        <w:rPr>
          <w:sz w:val="20"/>
          <w:szCs w:val="20"/>
          <w:color w:val="auto"/>
        </w:rPr>
      </w:pPr>
      <w:r>
        <w:rPr>
          <w:rFonts w:ascii="Times New Roman" w:cs="Times New Roman" w:eastAsia="Times New Roman" w:hAnsi="Times New Roman"/>
          <w:sz w:val="18"/>
          <w:szCs w:val="18"/>
          <w:color w:val="auto"/>
        </w:rPr>
        <w:t>payable in arrears in equal quarterly installments, and a stock option award to purchase 35,027 shares of our common stock. Following our initial public offering, Ms. Burrell was eligible to receive compensation pursuant to our non-employee director compensation policy. Ms. Burrell resigned from our Board on August 8, 2024.</w:t>
      </w:r>
    </w:p>
    <w:p>
      <w:pPr>
        <w:spacing w:after="0" w:line="1"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Kelleher resigned from our Board on June 6, 2024.</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Maraganore entered into an offer letter agreement in connection with his appointment to our Board, pursuant to which he was eligible to receive an annual cash retainer of $30,000 per year, payable in arrears in equal quarterly installments, and a stock option award to purchase 87,567 shares of our common stock. Following our initial public offering, Dr. Maraganore was eligible to receive compensation pursuant to our non-employee director compensation policy.</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Mistry resigned from our Board on March 27,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Tong resigned from our Board on November 7, 2024.</w:t>
      </w:r>
    </w:p>
    <w:p>
      <w:pPr>
        <w:spacing w:after="0" w:line="9"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reflects fees paid to Dr. Young for her services on our Scientific Advisory Board and consulting fees earned prior to her appointment on our Board.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in June 2024, we adopted a non-employee director compensation policy in order to enable us to attract and retain, on a long-term basis, highly qualified non-employee directors. Under the policy, our non-employee directors will be eligible to receive cash retainers (which will be payable quarterly in arrears and prorated for partial years of service) and equity awards as set forth below:</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of Directors</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All non-employee members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Retainer for Audit Committee: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Non-chair members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Retainer for Compensation Committee</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Non-chair members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Retainer for Nominating and Corporate Governance Committee</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Non-chair members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Retainer for Science &amp; Technology Committee</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Non-chair members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our policy provides that, upon initial election or appointment to our Board, each new non-employee director will be granted a one-time grant of a non-statutory stock option to purchase 29,756 shares of our common stock on the date of such director’s election or appointment to our Board (the “Initial Director Grant”). The Initial Director Grant will vest over three years, with 1/3 of the Director Initial Grant vesting upon the first anniversary of the vesting commencement date and the remaining 2/3 of the Director Initial Grant vesting in 24 monthly installments thereafter, subject to the non-employee director’s continued service to us on our Board. On the date of each annual meeting of stockholders of our company following the completion of this offering, each non-employee director who will continue as a non-employee director following such meeting will be granted an annual award of a non-statutory stock option to purchase 14,878 shares of common stock (the “Director Annual Grant”). The Director Annual Grant will vest in full on the earlier of the first anniversary of the grant date or on the date of our next annual meeting of stockholders, subject to</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the non-employee director’s continued service to us on our Board. If a new non-employee director joins our Board on a date other than the date of our annual meeting of stockholders, then such non-employee director will be granted a pro-rata portion of the Director Annual Grant based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the number of months between such non-employee director’s appointment and the next annual meeting of stockholders. Such awards are subject to full accelerated vesting upon the sale of our company.</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$750,000 in any other calendar year.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reimburse all reasonable out-of-pocket expenses incurred by directors for their attendance at meetings of our Board or any committee thereof.</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Employee directors receive no additional compensation for their service as a director.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82"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our third amended and restated certificate of incorporation and our amended and restated bylaws, our Board is divided into three staggered classes of directors, and each director is assigned to one of the three classes. At each annual meeting of the stockholders, one class of directors will be elected for a three-year term to succeed the directors of the same class whose terms are then expiring. Reid Huber, Ph.D., John Maraganore, Ph.D., and Wendy B. Young, Ph.D. are the Class I directors whose terms expire at the Annual Meeting. Each has been nominated for and has agreed to stand for re-election to our Board to serve as a Class I director of our Company for three years and until their successors are duly elected and qualified or until their earlier death, resignation or removal.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be elected, the directors nominated via Proposal 1 must receive a plurality of the votes properly cast on the election of directors, meaning that the three director nominees for Class I directors receiving the most votes will be elected. You may vote FOR all the nominees, FOR any one of the nominees, WITHHOLD your vote from all the nominees or WITHHOLD your vote from any one of the nominees. Withheld votes and broker non-votes will have no effect on the election of directors.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may designate.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Class I directors nominated by our Board.</w:t>
      </w:r>
    </w:p>
    <w:p>
      <w:pPr>
        <w:spacing w:after="0" w:line="2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ELECTION OF EACH OF THESE NOMINEES FOR CLASS I DIRECTOR, AND PROXIES SOLICITED BY OUR BOARD WILL BE VOTED IN FAVOR THEREOF, UNLESS A STOCKHOLDER HAS INDICATED OTHERWISE ON THE PROXY.</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 ON YOUR NOTICE OR PROXY CARD)</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as of April 24, 2025, positions, and a brief account of the business experience of the individuals who serve as our executive officers.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40" w:type="dxa"/>
            <w:vAlign w:val="bottom"/>
          </w:tcPr>
          <w:p>
            <w:pPr>
              <w:spacing w:after="0"/>
              <w:rPr>
                <w:sz w:val="16"/>
                <w:szCs w:val="16"/>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78"/>
              </w:rPr>
              <w:t>   Age </w:t>
            </w:r>
          </w:p>
        </w:tc>
        <w:tc>
          <w:tcPr>
            <w:tcW w:w="220" w:type="dxa"/>
            <w:vAlign w:val="bottom"/>
          </w:tcPr>
          <w:p>
            <w:pPr>
              <w:spacing w:after="0"/>
              <w:rPr>
                <w:sz w:val="16"/>
                <w:szCs w:val="16"/>
                <w:color w:val="auto"/>
              </w:rPr>
            </w:pPr>
          </w:p>
        </w:tc>
        <w:tc>
          <w:tcPr>
            <w:tcW w:w="48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53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Abraham N. Ceesay.</w:t>
            </w:r>
          </w:p>
        </w:tc>
        <w:tc>
          <w:tcPr>
            <w:tcW w:w="640" w:type="dxa"/>
            <w:vAlign w:val="bottom"/>
          </w:tcPr>
          <w:p>
            <w:pPr>
              <w:jc w:val="right"/>
              <w:ind w:right="133"/>
              <w:spacing w:after="0" w:line="185"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6"/>
                <w:szCs w:val="16"/>
                <w:color w:val="auto"/>
              </w:rPr>
            </w:pPr>
          </w:p>
        </w:tc>
        <w:tc>
          <w:tcPr>
            <w:tcW w:w="48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Ignelzi</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Bredt, M.D., Ph.D.</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Sevigny, M.D.</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Gault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Swamy Yeleswaram, Ph.D.</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Development Officer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Biographies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biographical information pertaining to Mr. Ceesay, who is a director and executive officer of our Company, is included under “Director Composition,” above.</w:t>
      </w:r>
    </w:p>
    <w:p>
      <w:pPr>
        <w:spacing w:after="0" w:line="158"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Troy Ignelzi </w:t>
      </w:r>
      <w:r>
        <w:rPr>
          <w:rFonts w:ascii="Times New Roman" w:cs="Times New Roman" w:eastAsia="Times New Roman" w:hAnsi="Times New Roman"/>
          <w:sz w:val="17"/>
          <w:szCs w:val="17"/>
          <w:color w:val="auto"/>
        </w:rPr>
        <w:t>Mr. Ignelzi has served as our Chief Financial Officer since November 2023. Prior to joining us, from March 2019 to September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 Mr. Ignelzi served as Chief Financial Officer at Karuna Therapeutics, Inc. (Nasdaq: KRTX, prior to its recent acquisition by Bristol Myers Squibb Company). Mr. Ignelzi has served on the boards of directors of Contineum Therapeutics, Inc. (Nasdaq: CTNM) since May 2024, Vedanta Biosciences, Inc. since November 2020, and Abivax S.A. (Nasdaq: ABVX) since July 2023. Mr. Ignelzi has also served as an advisor to Sofinnova Investments, Inc. since March 2024. Mr. Ignelzi previously served on the board of directors of CinCor Pharma, Inc. (Nasdaq: CINC, prior to its recent acquisition by AstraZeneca PLC) from March 2021 to February 2023. Mr. Ignelzi received a Bachelor of Science degree in accounting from Ferris State University.</w:t>
      </w:r>
    </w:p>
    <w:p>
      <w:pPr>
        <w:spacing w:after="0" w:line="16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Bredt, M.D., Ph.D. </w:t>
      </w:r>
      <w:r>
        <w:rPr>
          <w:rFonts w:ascii="Times New Roman" w:cs="Times New Roman" w:eastAsia="Times New Roman" w:hAnsi="Times New Roman"/>
          <w:sz w:val="18"/>
          <w:szCs w:val="18"/>
          <w:color w:val="auto"/>
        </w:rPr>
        <w:t>Dr. Bredt has served as our Chief Scientific Officer since January 2023 and a member of our Board since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Prior to joining us, from February 2022 to December 2022, Dr. Bredt served as an Entrepreneur in Residence at Third Rock. From March 2021 to August 2021, Dr. Bredt served as Executive Partner at MPM Capital LLC. From March 2011 to March 2021, Dr. Bredt served as Global Head of Neuroscience Discovery at Janssen Global Services, LLC, a wholly-owned subsidiary of Johnson &amp; Johnson Services, Inc. (NYSE: JNJ). Dr. Bredt has served on the Neuroscience Forum, Institute of Medicine for National Academy of Sciences, and the Advisory Panel for the National Institute of Neurological Disorders and Stroke. Dr. Bredt received a Bachelor of Arts degree in chemistry from Princeton University, a Doctor of Philosophy degree from the Johns Hopkins School of Medicine and a Doctor of Medicine degree from the Johns Hopkins School of Medicine. We believe that Dr. Bredt is qualified to serve on our Board due to his extensive expertise in neuroscience.</w:t>
      </w:r>
    </w:p>
    <w:p>
      <w:pPr>
        <w:spacing w:after="0" w:line="185" w:lineRule="exact"/>
        <w:rPr>
          <w:sz w:val="20"/>
          <w:szCs w:val="20"/>
          <w:color w:val="auto"/>
        </w:rPr>
      </w:pPr>
    </w:p>
    <w:p>
      <w:pPr>
        <w:jc w:val="both"/>
        <w:ind w:left="120" w:right="24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Jeffrey Sevigny, M.D. </w:t>
      </w:r>
      <w:r>
        <w:rPr>
          <w:rFonts w:ascii="Times New Roman" w:cs="Times New Roman" w:eastAsia="Times New Roman" w:hAnsi="Times New Roman"/>
          <w:sz w:val="17"/>
          <w:szCs w:val="17"/>
          <w:color w:val="auto"/>
        </w:rPr>
        <w:t>Dr. Sevigny has served as our Chief Medical Officer since March 2025. Prior to joining us, from March 2018 to January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Dr. Sevigny served as the Chief Medical Officer at Prevail Therapeutics, Inc. (“Prevail”), a wholly-owned subsidiary of Eli Lilly and Company (NYSE: LLY) (“Eli Lilly”). From February 2021 to January 2025, Dr. Sevigny also served as Senior Vice President of Neuroscience at Eli Lilly.</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Previously, Dr. Sevigny served on the boards of directors of Prevail from June 2019 to January 2021, and Acumen Pharmaceutics, Inc. (Nasdaq: ABOS) from July 2019 to June 2022. Dr. Sevigny received a Bachelor of Arts degree from Bowdoin College and a Doctor of Medicine degree from Tufts University. Dr. Sevigny then completed a neurology residency at the Neurological Institute of New York at Columbia University Medical Center and a fellowship in Aging &amp; Dementia and Neuro-Epidemiology at Sergievsky Center at Columbia University and Columbia University Mailman School of Public Health.</w:t>
      </w:r>
    </w:p>
    <w:p>
      <w:pPr>
        <w:spacing w:after="0" w:line="183"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Cheryl Gault </w:t>
      </w:r>
      <w:r>
        <w:rPr>
          <w:rFonts w:ascii="Times New Roman" w:cs="Times New Roman" w:eastAsia="Times New Roman" w:hAnsi="Times New Roman"/>
          <w:sz w:val="18"/>
          <w:szCs w:val="18"/>
          <w:color w:val="auto"/>
        </w:rPr>
        <w:t>Ms. Gault has served as our Chief Operating Officer since September 2023. Prior to joining us, Ms. Gault was employed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Cyclerion Therapeutics, Inc. (Nasdaq: CYCN) from April 2019 to July 2023,</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where she held various positions of increasing responsibility, including Vice President of Head of Strategy from April 2019 to May 2020, Senior Vice President of Strategy and Corporate Development from May 2020 to January 2021, and most recently, Chief Operating Officer from January 2021 to July 2023. From February 2017 to April 2019, Ms. Gault served as Vice President of Commercial Strategy &amp; New Product Planning at Ironwood. Ms. Gault received a Bachelor of Science degree in marketing from Boston College.</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Swamy Yeleswaram, Ph.D. </w:t>
      </w:r>
      <w:r>
        <w:rPr>
          <w:rFonts w:ascii="Times New Roman" w:cs="Times New Roman" w:eastAsia="Times New Roman" w:hAnsi="Times New Roman"/>
          <w:sz w:val="18"/>
          <w:szCs w:val="18"/>
          <w:color w:val="auto"/>
        </w:rPr>
        <w:t>Dr. Yeleswaram has served as our Chief Development Officer since January 2023. Prior to joining us, from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to December 2022, Dr. Yeleswaram served as an Entrepreneur in Residence at Third Rock. Prior to this, Dr. Yeleswaram was a founding scientist at Incyte Corporation (Nasdaq: INCY), where he held positions of increasing responsibility from January 2002 to July 2022, most recently as Group Vice President of Drug Metabolism, Pharmacokinetics, and Clinical Pharmacology from February 2016 to August 2022. Dr. Yeleswaram received a Bachelor Degree in pharmacy from Madras Medical College, a Master’s Degree in pharmaceutical sciences from Banaras Hindu University and a Doctor of Philosophy degree in pharmaceutical sciences from the University of British Columbia.</w:t>
      </w:r>
    </w:p>
    <w:p>
      <w:pPr>
        <w:spacing w:after="0" w:line="1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320" w:top="482"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 looking statements that are based on our current plans, considerations, expectations and determinations regarding our future compensation programs. The actual amount and form of compensation and the compensation policies and practices that we adopt in the future may differ materially from currently planned programs as summarized in this discussion.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2024 is detailed in the 2024 Summary Compensation Table and accompanying footnotes and narrative that follow. Our named executive officers for the fiscal year ended December 31, 2024 are:</w:t>
      </w:r>
    </w:p>
    <w:p>
      <w:pPr>
        <w:spacing w:after="0" w:line="85" w:lineRule="exact"/>
        <w:rPr>
          <w:sz w:val="20"/>
          <w:szCs w:val="20"/>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Abraham N. Ceesay, M.B.A.,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Troy Ignelzi, our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Galer, M.D., our former Chief Medical Officer*.</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Dr. Galer stepped down as our Chief Medical Officer in January 2025.</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To date, the compensation of our named executive officers has consisted of a combination of base salary, cash bonuses and long-term incentive compensation in the form of restricted stock awards and stock options. Our named executive officers who are full-time employees are eligible to participate in our health and welfare benefit plans and 401(k) plan like all of our full-time employees. We will continue to evaluate our compensation values and philosophy and compensation plans and arrangements as circumstances require.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earned by, or paid to, our named executive officers for services rendered to us in all capacities during the fiscal year ended December 31, 2024.</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280" w:type="dxa"/>
            <w:vAlign w:val="bottom"/>
            <w:gridSpan w:val="2"/>
          </w:tcPr>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7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80" w:type="dxa"/>
            <w:vAlign w:val="bottom"/>
            <w:gridSpan w:val="2"/>
          </w:tcPr>
          <w:p>
            <w:pPr>
              <w:jc w:val="center"/>
              <w:ind w:right="37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164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Abraham Ceesay, M.B.A. </w:t>
            </w:r>
            <w:r>
              <w:rPr>
                <w:rFonts w:ascii="Times New Roman" w:cs="Times New Roman" w:eastAsia="Times New Roman" w:hAnsi="Times New Roman"/>
                <w:sz w:val="20"/>
                <w:szCs w:val="20"/>
                <w:color w:val="auto"/>
                <w:vertAlign w:val="superscript"/>
              </w:rPr>
              <w:t>(3)</w:t>
            </w: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w w:val="93"/>
              </w:rPr>
              <w:t>2024</w:t>
            </w:r>
          </w:p>
        </w:tc>
        <w:tc>
          <w:tcPr>
            <w:tcW w:w="2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576,538</w:t>
            </w:r>
          </w:p>
        </w:tc>
        <w:tc>
          <w:tcPr>
            <w:tcW w:w="2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3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8,947,874</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293,590</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21,155</w:t>
            </w:r>
          </w:p>
        </w:tc>
        <w:tc>
          <w:tcPr>
            <w:tcW w:w="44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2"/>
                <w:szCs w:val="12"/>
                <w:color w:val="auto"/>
                <w:w w:val="85"/>
              </w:rPr>
              <w:t>(4)</w:t>
            </w:r>
          </w:p>
        </w:tc>
        <w:tc>
          <w:tcPr>
            <w:tcW w:w="70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9,839,157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3"/>
              </w:rPr>
              <w:t>2023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400,096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line="217" w:lineRule="exact"/>
              <w:rPr>
                <w:sz w:val="20"/>
                <w:szCs w:val="20"/>
                <w:color w:val="auto"/>
              </w:rPr>
            </w:pPr>
            <w:r>
              <w:rPr>
                <w:rFonts w:ascii="Times New Roman" w:cs="Times New Roman" w:eastAsia="Times New Roman" w:hAnsi="Times New Roman"/>
                <w:sz w:val="16"/>
                <w:szCs w:val="16"/>
                <w:color w:val="auto"/>
                <w:w w:val="96"/>
              </w:rPr>
              <w:t>250,000</w:t>
            </w:r>
            <w:r>
              <w:rPr>
                <w:rFonts w:ascii="Times New Roman" w:cs="Times New Roman" w:eastAsia="Times New Roman" w:hAnsi="Times New Roman"/>
                <w:sz w:val="24"/>
                <w:szCs w:val="24"/>
                <w:color w:val="auto"/>
                <w:w w:val="96"/>
                <w:vertAlign w:val="superscript"/>
              </w:rPr>
              <w:t>(5)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1,513,805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231,167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20,772</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2,415,840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Troy Ignelzi </w:t>
            </w:r>
            <w:r>
              <w:rPr>
                <w:rFonts w:ascii="Times New Roman" w:cs="Times New Roman" w:eastAsia="Times New Roman" w:hAnsi="Times New Roman"/>
                <w:sz w:val="21"/>
                <w:szCs w:val="21"/>
                <w:color w:val="auto"/>
                <w:vertAlign w:val="superscript"/>
              </w:rPr>
              <w:t>(6)</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468,462</w:t>
            </w:r>
          </w:p>
        </w:tc>
        <w:tc>
          <w:tcPr>
            <w:tcW w:w="260" w:type="dxa"/>
            <w:vAlign w:val="bottom"/>
          </w:tcPr>
          <w:p>
            <w:pPr>
              <w:spacing w:after="0"/>
              <w:rPr>
                <w:sz w:val="16"/>
                <w:szCs w:val="16"/>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1,788,835</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40" w:type="dxa"/>
            <w:vAlign w:val="bottom"/>
          </w:tcPr>
          <w:p>
            <w:pPr>
              <w:spacing w:after="0"/>
              <w:rPr>
                <w:sz w:val="16"/>
                <w:szCs w:val="16"/>
                <w:color w:val="auto"/>
              </w:rPr>
            </w:pPr>
          </w:p>
        </w:tc>
        <w:tc>
          <w:tcPr>
            <w:tcW w:w="1280" w:type="dxa"/>
            <w:vAlign w:val="bottom"/>
            <w:gridSpan w:val="2"/>
          </w:tcPr>
          <w:p>
            <w:pPr>
              <w:jc w:val="right"/>
              <w:ind w:right="239"/>
              <w:spacing w:after="0" w:line="189" w:lineRule="exact"/>
              <w:rPr>
                <w:sz w:val="20"/>
                <w:szCs w:val="20"/>
                <w:color w:val="auto"/>
              </w:rPr>
            </w:pPr>
            <w:r>
              <w:rPr>
                <w:rFonts w:ascii="Times New Roman" w:cs="Times New Roman" w:eastAsia="Times New Roman" w:hAnsi="Times New Roman"/>
                <w:sz w:val="14"/>
                <w:szCs w:val="14"/>
                <w:color w:val="auto"/>
              </w:rPr>
              <w:t>37,074</w:t>
            </w:r>
            <w:r>
              <w:rPr>
                <w:rFonts w:ascii="Times New Roman" w:cs="Times New Roman" w:eastAsia="Times New Roman" w:hAnsi="Times New Roman"/>
                <w:sz w:val="21"/>
                <w:szCs w:val="21"/>
                <w:color w:val="auto"/>
                <w:vertAlign w:val="superscript"/>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2,464,371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3"/>
              </w:rPr>
              <w:t>2023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69,462</w:t>
            </w:r>
          </w:p>
        </w:tc>
        <w:tc>
          <w:tcPr>
            <w:tcW w:w="26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2,018,084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w:t>
            </w:r>
          </w:p>
        </w:tc>
        <w:tc>
          <w:tcPr>
            <w:tcW w:w="4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2,130,457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Bradley Galer, M.D. </w:t>
            </w:r>
            <w:r>
              <w:rPr>
                <w:rFonts w:ascii="Times New Roman" w:cs="Times New Roman" w:eastAsia="Times New Roman" w:hAnsi="Times New Roman"/>
                <w:sz w:val="23"/>
                <w:szCs w:val="23"/>
                <w:color w:val="auto"/>
                <w:vertAlign w:val="superscript"/>
              </w:rPr>
              <w:t>(8)</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3"/>
              </w:rPr>
              <w:t>2024</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3"/>
                <w:szCs w:val="23"/>
                <w:color w:val="auto"/>
                <w:vertAlign w:val="superscript"/>
              </w:rPr>
              <w:t>(9)</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1,707,981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79"/>
              <w:spacing w:after="0" w:line="205" w:lineRule="exact"/>
              <w:rPr>
                <w:sz w:val="20"/>
                <w:szCs w:val="20"/>
                <w:color w:val="auto"/>
              </w:rPr>
            </w:pPr>
            <w:r>
              <w:rPr>
                <w:rFonts w:ascii="Times New Roman" w:cs="Times New Roman" w:eastAsia="Times New Roman" w:hAnsi="Times New Roman"/>
                <w:sz w:val="16"/>
                <w:szCs w:val="16"/>
                <w:color w:val="auto"/>
              </w:rPr>
              <w:t>18,408</w:t>
            </w:r>
            <w:r>
              <w:rPr>
                <w:rFonts w:ascii="Times New Roman" w:cs="Times New Roman" w:eastAsia="Times New Roman" w:hAnsi="Times New Roman"/>
                <w:sz w:val="23"/>
                <w:szCs w:val="23"/>
                <w:color w:val="auto"/>
                <w:vertAlign w:val="superscript"/>
              </w:rPr>
              <w:t>(10)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2,431,474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Former Chief Medical Officer</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66" w:lineRule="auto"/>
        <w:tabs>
          <w:tab w:leader="none" w:pos="5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aggregate grant date fair value of option awards granted to the named executive officers during 2024 and 2023, as calculated in accordance with Financial Accounting Standards Board (“FASB”) Accounting Standards Codification (“ASC”) Topic 718. Such grant date value does not take into account any estimated forfeitures related to service-based vesting conditions. The assumptions used in the grant date fair value of the awards in this column are described in Note 8 to our audited financial statements included in our Annual Report on Form 10-K for the year ended December 31, 2024. These awards are described in more detail under the section titled “</w:t>
      </w:r>
      <w:r>
        <w:rPr>
          <w:rFonts w:ascii="Times New Roman" w:cs="Times New Roman" w:eastAsia="Times New Roman" w:hAnsi="Times New Roman"/>
          <w:sz w:val="16"/>
          <w:szCs w:val="16"/>
          <w:i w:val="1"/>
          <w:iCs w:val="1"/>
          <w:color w:val="auto"/>
        </w:rPr>
        <w:t>Narrative Disclosure to Summary Compensation Table—Equity-Based Compensation</w:t>
      </w:r>
      <w:r>
        <w:rPr>
          <w:rFonts w:ascii="Times New Roman" w:cs="Times New Roman" w:eastAsia="Times New Roman" w:hAnsi="Times New Roman"/>
          <w:sz w:val="16"/>
          <w:szCs w:val="16"/>
          <w:color w:val="auto"/>
        </w:rPr>
        <w:t>” below.</w:t>
      </w:r>
    </w:p>
    <w:p>
      <w:pPr>
        <w:ind w:left="540" w:right="80" w:hanging="424"/>
        <w:spacing w:after="0" w:line="272" w:lineRule="auto"/>
        <w:tabs>
          <w:tab w:leader="none" w:pos="5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annual bonuses each named executive officer earned under our annual cash bonus program based on achievement of company performance and individual performance during the years ended December 31, 2024 and December 31, 2023, as applicable, and with respect to bonuses paid for performance in 2023, prorated for their partial year of employment. For more information on these bonuses, see description of the annual performance bonuses under the section titled “</w:t>
      </w:r>
      <w:r>
        <w:rPr>
          <w:rFonts w:ascii="Times New Roman" w:cs="Times New Roman" w:eastAsia="Times New Roman" w:hAnsi="Times New Roman"/>
          <w:sz w:val="16"/>
          <w:szCs w:val="16"/>
          <w:i w:val="1"/>
          <w:iCs w:val="1"/>
          <w:color w:val="auto"/>
        </w:rPr>
        <w:t>Narrative Disclosure to Summary Compensation Table—2024 Cash Bonuses</w:t>
      </w:r>
      <w:r>
        <w:rPr>
          <w:rFonts w:ascii="Times New Roman" w:cs="Times New Roman" w:eastAsia="Times New Roman" w:hAnsi="Times New Roman"/>
          <w:sz w:val="16"/>
          <w:szCs w:val="16"/>
          <w:color w:val="auto"/>
        </w:rPr>
        <w:t>” below.</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540" w:right="540" w:hanging="424"/>
        <w:spacing w:after="0" w:line="269" w:lineRule="auto"/>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Ceesay commenced employment with us on February 28, 2023. The amount reported as salary reflects the salary actually earned for his partial year of employment.</w:t>
      </w:r>
    </w:p>
    <w:p>
      <w:pPr>
        <w:ind w:left="540" w:right="20" w:hanging="424"/>
        <w:spacing w:after="0" w:line="264" w:lineRule="auto"/>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reflects (i) our 401(k) matching contribution in the amount of $13,800, (ii) the reimbursement of commuting expenses incurred in connection with his employment $6,435 and (iii) cell phone reimbursement and gift cards.</w:t>
      </w:r>
    </w:p>
    <w:p>
      <w:pPr>
        <w:ind w:left="540" w:hanging="424"/>
        <w:spacing w:after="0"/>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represents a $250,000 signing bonus paid to Mr. Ceesay in connection with the commencement of his employment.</w:t>
      </w:r>
    </w:p>
    <w:p>
      <w:pPr>
        <w:spacing w:after="0" w:line="18" w:lineRule="exact"/>
        <w:rPr>
          <w:rFonts w:ascii="Times New Roman" w:cs="Times New Roman" w:eastAsia="Times New Roman" w:hAnsi="Times New Roman"/>
          <w:sz w:val="16"/>
          <w:szCs w:val="16"/>
          <w:color w:val="auto"/>
        </w:rPr>
      </w:pPr>
    </w:p>
    <w:p>
      <w:pPr>
        <w:ind w:left="540" w:right="540" w:hanging="424"/>
        <w:spacing w:after="0" w:line="264" w:lineRule="auto"/>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Ignelzi commenced employment with us on November 1, 2023. The amount reported as salary reflects the salary actually earned for his partial year of employment.</w:t>
      </w:r>
    </w:p>
    <w:p>
      <w:pPr>
        <w:ind w:left="540" w:right="20" w:hanging="424"/>
        <w:spacing w:after="0" w:line="264" w:lineRule="auto"/>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reflects (i) our 401(k) matching contribution in the amount of $13,800, (ii) the reimbursement of commuting expenses incurred in connection with his employment in the amount of $21,184 and (iii) cell phone reimbursement, personal expense reimbursement and gift cards.</w:t>
      </w:r>
    </w:p>
    <w:p>
      <w:pPr>
        <w:ind w:left="540" w:hanging="424"/>
        <w:spacing w:after="0" w:line="264" w:lineRule="auto"/>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Galer was not a named executive officer in 2023 and, accordingly, only compensation information for 2024 is presented above. Dr. Galer resigned as our Chief Medical Officer in January 2025.</w:t>
      </w:r>
    </w:p>
    <w:p>
      <w:pPr>
        <w:ind w:left="540" w:hanging="424"/>
        <w:spacing w:after="0"/>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represents the third and final tranche of a signing bonus paid to Dr. Galer in connection with the commencement of his employment.</w:t>
      </w:r>
    </w:p>
    <w:p>
      <w:pPr>
        <w:spacing w:after="0" w:line="18" w:lineRule="exact"/>
        <w:rPr>
          <w:rFonts w:ascii="Times New Roman" w:cs="Times New Roman" w:eastAsia="Times New Roman" w:hAnsi="Times New Roman"/>
          <w:sz w:val="16"/>
          <w:szCs w:val="16"/>
          <w:color w:val="auto"/>
        </w:rPr>
      </w:pPr>
    </w:p>
    <w:p>
      <w:pPr>
        <w:ind w:left="540" w:right="20" w:hanging="424"/>
        <w:spacing w:after="0" w:line="288" w:lineRule="auto"/>
        <w:tabs>
          <w:tab w:leader="none" w:pos="5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reflects (i) our 401(k) matching contribution in the amount of $13,800, (ii) the reimbursement of commuting expenses incurred in connection with his employment in the amount of $1,278 and (iii) cell phone reimbursement, personal expense reimbursement and gift cards.</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2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Our executive compensation philosophy is to provide a competitive and market-based total compensation program to attract, motivate, and retain our executive team. Our compensation is based heavily on performance, which aligns with our goal to drive long-term growth and value creation.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Base Salaries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may be adjusted from time to time to realign salaries with market levels after taking into account individual responsibilities, performance and experience. As of December 31, 2024, the base salaries for our named executive officers were as follows:</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Abraham Ceesay, M.B.A.</w:t>
            </w:r>
          </w:p>
        </w:tc>
        <w:tc>
          <w:tcPr>
            <w:tcW w:w="2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$ 628,000</w:t>
            </w:r>
          </w:p>
        </w:tc>
        <w:tc>
          <w:tcPr>
            <w:tcW w:w="60" w:type="dxa"/>
            <w:vAlign w:val="bottom"/>
            <w:shd w:val="clear" w:color="auto" w:fill="CCEEFF"/>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Ignelzi</w:t>
            </w:r>
          </w:p>
        </w:tc>
        <w:tc>
          <w:tcPr>
            <w:tcW w:w="32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$ 500,000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Galer, M.D.</w:t>
            </w:r>
          </w:p>
        </w:tc>
        <w:tc>
          <w:tcPr>
            <w:tcW w:w="3200" w:type="dxa"/>
            <w:vAlign w:val="bottom"/>
            <w:gridSpan w:val="3"/>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$ 480,000</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Cash Bonuses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each of the named executive officers was eligible to earn an annual cash bonus determined by our Board in its sole discretion, based on individual performance and achievement of corporate performance goals, including advancing our research and development activities, specifically as it relates to our RAP-219 program, responsibly growing the organization to support our goals, and ensuring funding to advance our pipeline. The target annual bonus for each of our named executive officers for the fiscal year ended December 31, 2024 was equal to the percentage of the executive’s respective annual base salary specified below:</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80" w:type="dxa"/>
            <w:vAlign w:val="bottom"/>
          </w:tcPr>
          <w:p>
            <w:pPr>
              <w:spacing w:after="0"/>
              <w:rPr>
                <w:sz w:val="15"/>
                <w:szCs w:val="15"/>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Target Bonus Percentage</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Abraham Ceesay, M.B.A.</w:t>
            </w:r>
          </w:p>
        </w:tc>
        <w:tc>
          <w:tcPr>
            <w:tcW w:w="29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55%</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Ignelzi</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Galer, M.D.</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365"/>
        </w:trPr>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26</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w:t>
      </w:r>
    </w:p>
    <w:p>
      <w:pPr>
        <w:spacing w:after="0" w:line="180"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outstanding equity awards held by our named executive officers as of December 31, 2024, see the “</w:t>
      </w:r>
      <w:r>
        <w:rPr>
          <w:rFonts w:ascii="Times New Roman" w:cs="Times New Roman" w:eastAsia="Times New Roman" w:hAnsi="Times New Roman"/>
          <w:sz w:val="18"/>
          <w:szCs w:val="18"/>
          <w:i w:val="1"/>
          <w:iCs w:val="1"/>
          <w:color w:val="auto"/>
        </w:rPr>
        <w:t>Outstanding Equity Awards at 2024 Fiscal Year End</w:t>
      </w:r>
      <w:r>
        <w:rPr>
          <w:rFonts w:ascii="Times New Roman" w:cs="Times New Roman" w:eastAsia="Times New Roman" w:hAnsi="Times New Roman"/>
          <w:sz w:val="18"/>
          <w:szCs w:val="18"/>
          <w:color w:val="auto"/>
        </w:rPr>
        <w:t>” table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Perquisites/Personal Benefits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provided limited perquisites or personal benefits primarily in the form of reasonable commuting expenses and signing and relocation bonuses, in each case, as described below under the section titled “</w:t>
      </w:r>
      <w:r>
        <w:rPr>
          <w:rFonts w:ascii="Times New Roman" w:cs="Times New Roman" w:eastAsia="Times New Roman" w:hAnsi="Times New Roman"/>
          <w:sz w:val="18"/>
          <w:szCs w:val="18"/>
          <w:i w:val="1"/>
          <w:iCs w:val="1"/>
          <w:color w:val="auto"/>
        </w:rPr>
        <w:t>—Executive Compensation Arrangements.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maintain a retirement savings plan (“401(k) plan”) that is intended to qualify for favorable tax treatment under Section 401(a) of the Code, and contains a cash or deferred feature that is intended to meet the requirements of Section 401(k) of the Code. U.S. employees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We make matching contributions equal to 100% of salary deferrals up to 4% of eligible compensation, with 100% immediate vesting.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Timing of Awards of Options and Other Option-Like Instruments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Other than special one-time grants made upon the consummation of our initial public offering, our compensation committee generally grants annual equity awards, including stock option grants to our named executive officers, in the first quarter of each fiscal year. In addition, new hires receive stock option grants at the time of their hiring. During 2024 and following our initial public offering,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2024, we did not grant stock options to our named executive officers during any period beginning four business days before and ending one business day after the filing or furnishing of a Form 10-Q, 10-K or 8-K that discloses material nonpublic information.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 End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lists all outstanding equity awards held by our named executive officers as of December 31, 2024. Equity awards granted prior to our initial public offering were under the 2022 Plan and equity awards granted following our initial public offering were granted under the 2024 Plan.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Options(1)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25"/>
        </w:trPr>
        <w:tc>
          <w:tcPr>
            <w:tcW w:w="3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of</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That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Have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22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Not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34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2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 (#)</w:t>
            </w: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Option (#)</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2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 xml:space="preserve">Price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Abraham Ceesay, M.B.A.</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12/9/2022</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w w:val="83"/>
              </w:rPr>
              <w:t>— </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3.814,100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2/21/2023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194,841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3,456,479</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8/7/2023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87,933</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175,868</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12/5/2033</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3/25/2024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254,348</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3/24/2034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6/6/2024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530,647</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6/5/2034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Troy Ignelzi.</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11/1/2023</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95,246</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256,433</w:t>
            </w:r>
          </w:p>
        </w:tc>
        <w:tc>
          <w:tcPr>
            <w:tcW w:w="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12/5/2033</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6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color w:val="auto"/>
              </w:rPr>
              <w:t>3/25/2024</w:t>
            </w:r>
          </w:p>
        </w:tc>
        <w:tc>
          <w:tcPr>
            <w:tcW w:w="22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84,906</w:t>
            </w:r>
          </w:p>
        </w:tc>
        <w:tc>
          <w:tcPr>
            <w:tcW w:w="2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9.60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3/24/2034</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w w:val="98"/>
              </w:rPr>
              <w:t>6/6/2024</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81,366</w:t>
            </w:r>
          </w:p>
        </w:tc>
        <w:tc>
          <w:tcPr>
            <w:tcW w:w="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17.00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6/5/2034</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Bradley Galer, M.D.</w:t>
            </w:r>
          </w:p>
        </w:tc>
        <w:tc>
          <w:tcPr>
            <w:tcW w:w="126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12/9/2022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53,750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953,525</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2/21/2023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48,710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864,115</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8/7/2023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50,615</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12/5/2033</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3/25/2024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17,513</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3/24/2034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6/6/2024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123,818</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6/5/2034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424"/>
        <w:spacing w:after="0" w:line="266" w:lineRule="auto"/>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 option vests as follows: 25% of the shares subject to the stock option vested on the one-year anniversary of the vesting commencement date, and the remaining 75% of the shares subject to the stock option vest on a monthly basis thereafter, in each case, subject to the NEO’s continuous service relationship with us through each applicable vesting date. Each stock option is subject to acceleration in the event of a qualified termination within the change in control period, as described below under the section titled “</w:t>
      </w:r>
      <w:r>
        <w:rPr>
          <w:rFonts w:ascii="Times New Roman" w:cs="Times New Roman" w:eastAsia="Times New Roman" w:hAnsi="Times New Roman"/>
          <w:sz w:val="16"/>
          <w:szCs w:val="16"/>
          <w:i w:val="1"/>
          <w:iCs w:val="1"/>
          <w:color w:val="auto"/>
        </w:rPr>
        <w:t>—Executive Compensation Arrangements.</w:t>
      </w: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16"/>
          <w:szCs w:val="16"/>
          <w:color w:val="auto"/>
        </w:rPr>
      </w:pPr>
    </w:p>
    <w:p>
      <w:pPr>
        <w:ind w:left="540" w:right="20" w:hanging="424"/>
        <w:spacing w:after="0" w:line="264" w:lineRule="auto"/>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restricted stock award is subject to an individual restricted stock award agreement. The restricted shares shall vest over a four-year period, as follows: 25% of the restricted shares shall vest on the first anniversary following the vesting commencement date, and the remaining 75% of the restricted shares vest on each monthly anniversary thereafter over the following three years, subject to the NEO’s continuous service relationship with us through each applicable vesting date. The restricted shares are also subject to certain acceleration of vesting provisions as provided in the each named executive officer’s restricted stock agreement and as summarized below under the section titled “</w:t>
      </w:r>
      <w:r>
        <w:rPr>
          <w:rFonts w:ascii="Times New Roman" w:cs="Times New Roman" w:eastAsia="Times New Roman" w:hAnsi="Times New Roman"/>
          <w:sz w:val="16"/>
          <w:szCs w:val="16"/>
          <w:i w:val="1"/>
          <w:iCs w:val="1"/>
          <w:color w:val="auto"/>
        </w:rPr>
        <w:t>—Executive Compensation Arrangements.</w:t>
      </w:r>
      <w:r>
        <w:rPr>
          <w:rFonts w:ascii="Times New Roman" w:cs="Times New Roman" w:eastAsia="Times New Roman" w:hAnsi="Times New Roman"/>
          <w:sz w:val="16"/>
          <w:szCs w:val="16"/>
          <w:color w:val="auto"/>
        </w:rPr>
        <w:t>”</w:t>
      </w:r>
    </w:p>
    <w:p>
      <w:pPr>
        <w:ind w:left="540" w:hanging="424"/>
        <w:spacing w:after="0"/>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market value of $17.74 per share, based on the closing share price as of December 31, 2024, the last trading day of 2024.</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new employment agreements with our NEOs that were effective as of the consummation of our initial public offering in June 2024. Each of our NEOs are subject to standard confidentiality and nondisclosure, assignment of intellectual property work product and post-termination non-solicitation of employees, consultants and customers covenants.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Abraham N. Ceesay, M.B.A.</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employment agreement with Mr. Ceesay (the “Ceesay Employment Agreement”) provides for Mr. Ceesay’s continued at-will employment as our Chief Executive Officer, and sets forth his base salary and target annual bonus, which are subject to period adjustment. Mr. Ceesay is eligible to participate in the employee benefit plans available to our employees, subject to the terms of such plans and receive prompt reimbursement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for all reasonable expenses incurred. Mr. Ceesay received a $250,000 signing bonus in connection with the commencement of his employment. This signing bonus remains subject to repayment if Mr. Ceesay’s employment is terminated for Cause (as defined in the Ceesay Employment Agreement) or he resigns without Good Reason (as defined in the Ceesay Employment Agreement) prior to the third anniversary of the date Mr. Ceesay commenced employment with us as follows: 50% must be repaid if the termination occurs at least 12 months and less than 24 months following his start date; and 25% must be repaid if the termination occurs at least 24 months but less than 36 months following his start date.</w:t>
      </w:r>
    </w:p>
    <w:p>
      <w:pPr>
        <w:spacing w:after="0" w:line="18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Upon a termination of Mr. Ceesay’s employment by us without Cause or his resignation for Good Reason outside of the Change in Control Period (which is the period beginning on the date that is three months prior to a Change in Control and ending on the 12 month anniversary of such Change in Control), as such terms are defined in the Ceesay Employment Agreement, subject to signing an irrevocable separation agreement and general release of claims in favor of us, Mr. Ceesay shall be entitled to (A) continued payment of his then current base salary for a period of twelve (12) months, and (B) if Mr. Ceesay was participating in our group health plan immediately prior to the termination date and timely elects continuation coverage under COBRA, a monthly payment equal to the monthly employer contribution that we would have made to provide health insurance to Mr. Ceesay had Mr. Ceesay remained employed by us until the earliest of (a) the twelve (12) month anniversary of the date of termination; (b) Mr. Ceesay’s eligibility for group health plan benefits under any other employer’s group health plan; or (c) cessation of the continuation rights under COBRA. In lieu of the foregoing, and subject to the same conditions, upon a termination by us without Cause or his resignation for Good Reason during the Change in Control Period, Mr. Ceesay shall be entitled to (A) a lump sum in cash in an amount equal to one and one-half (1.5) times the sum of Mr. Ceesay’s (i) then current base salary (or the base salary in effect immediately prior to the Change in Control, if higher) plus (ii) target bonus for the then current year (or the target bonus in effect immediately prior to the Change in Control, if higher), (B) full acceleration of his then outstanding and unvested time-based equity awards, (C) if Mr. Ceesay was participating in our group health plan immediately prior to the termination date and timely elects continuation coverage under COBRA, a monthly payment equal to the monthly employer contribution that we would have made to provide health insurance to Mr. Ceesay had Mr. Ceesay remained employed by us until the earliest of (a) the eighteen (18) month anniversary of the date of termination; (b) Mr. Ceesay’s eligibility for group health plan benefits under any other employer’s group health plan; or (c) cessation of the continuation rights under COBRA.</w:t>
      </w:r>
    </w:p>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Ceesay Employment Agreement contains a Section 280G “better off cutback,” such that he would retain the greater, on an after-tax basis, of the amount resulting from (i) payment of the full amount of all compensation payable under the Ceesay Employment Agreement (taking into account the 20% excise tax imposed by Section 4999 of the Code) and (ii) application of a straight cutback.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Troy Ignelzi</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employment agreement with Mr. Ignelzi (the “Ignelzi Employment Agreement”) provides for Mr. Ignelzi’s continued at-will employment as our Chief Financial Officer, and sets forth his base salary and target annual bonus, which are subject to period adjustment. Mr. Ignelzi is eligible to participate in the employee benefit plans available to our employees, subject to the terms of such plans and receive prompt reimbursement for all reasonable expenses incurred. Mr. Ignelzi is also eligible to receive a relocation benefit in the event Mr. Ignelzi purchases a new residence in the Cambridge/Boston area within three (3) years of the date Mr. Ignelzi commenced employment with us, specific terms of which shall be determined at a future date.</w:t>
      </w:r>
    </w:p>
    <w:p>
      <w:pPr>
        <w:spacing w:after="0" w:line="187" w:lineRule="exact"/>
        <w:rPr>
          <w:sz w:val="20"/>
          <w:szCs w:val="20"/>
          <w:color w:val="auto"/>
        </w:rPr>
      </w:pPr>
    </w:p>
    <w:p>
      <w:pPr>
        <w:jc w:val="both"/>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a termination of Mr. Ignelzi’s employment by us without Cause or his resignation for Good Reason outside of the Change in Control Period (which is the period beginning on the date that is three months prior to a Change in Control and ending on the 12 month anniversary of such Change in Control), as such terms are defined in the Ignelzi Employment Agreement, subject to signing an irrevocable separation agreement and general release of claims in favor of us Mr. Ignelzi shall be entitled to (A) continued payment of his then current base salary for a period of twelve (12) months, and (B) if Mr. Ignelzi was participating in our group health plan immediately prior to the termination date and timely elects continuation coverage under COBRA, a monthly payment equal to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monthly employer contribution that we would have made to provide health insurance to Mr. Ignelzi had Mr. Ignelzi remained employed by us until the earliest of (a) the twelve (12) month anniversary of the date of termination; (b) Mr. Ignelzi’s eligibility for group health plan benefits under any other employer’s group health plan; or (c) cessation of the continuation rights under COBRA. In lieu of the foregoing, and subject to the same conditions, upon a termination by us without Cause or his resignation for Good Reason during the Change in Control Period, Mr. Ignelzi shall be entitled to (A) a lump sum in cash in an amount equal to one (1) times the sum of Mr. Ignelzi’s (i) then current base salary (or the base salary in effect immediately prior to the Change in Control, if higher) plus (ii) target bonus for the then current year (or the target bonus in effect immediately prior to the Change in Control, if higher), (B) full acceleration of his then outstanding and unvested time-based equity awards, (C) if Mr. Ignelzi was participating in our group health plan immediately prior to the termination date and timely elects continuation coverage under COBRA, a monthly payment equal to the monthly employer contribution that we would have made to provide health insurance to Mr. Ignelzi had Mr. Ignelzi remained employed by us until the earliest of</w:t>
      </w:r>
    </w:p>
    <w:p>
      <w:pPr>
        <w:spacing w:after="0" w:line="5" w:lineRule="exact"/>
        <w:rPr>
          <w:sz w:val="20"/>
          <w:szCs w:val="20"/>
          <w:color w:val="auto"/>
        </w:rPr>
      </w:pPr>
    </w:p>
    <w:p>
      <w:pPr>
        <w:ind w:left="120" w:right="180" w:hanging="4"/>
        <w:spacing w:after="0" w:line="260"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twelve (12) month anniversary of the date of termination; (b) Mr. Ignelzi’s eligibility for group health plan benefits under any other employer’s group health plan; or (c) cessation of the continuation rights under COBRA.</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Ignelzi Employment Agreement contains a Section 280G “better off cutback,” such that he would retain the greater, on an after-tax basis, of the amount resulting from (i) payment of the full amount of all compensation payable under the Ignelzi Employment Agreement (taking into account the 20% excise tax imposed by Section 4999 of the Code) and (ii) application of a straight cutback.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Bradley Galer, M.D.</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employment agreement with Dr. Galer (the “Galer Employment Agreement”) provided for Dr. Galer’s continued at-will employment as our Chief Medical Officer, and set forth his base salary and target annual bonus, which were subject to period adjustment. Dr. Galer was eligible to participate in the employee benefit plans available to our employees, subject to the terms of such plans and receive prompt reimbursement for all reasonable expenses incurred. Dr. Galer was also eligible to receive the final installment of his signing bonus in an amount equal to $75,000 upon the earlier of the second anniversary of the commencement of his employment or upon his relocation to the Cambridge/Boston area. Such portion was subject to repayment upon certain terminations of employment within 12 months of such payment.</w:t>
      </w:r>
    </w:p>
    <w:p>
      <w:pPr>
        <w:spacing w:after="0" w:line="187" w:lineRule="exact"/>
        <w:rPr>
          <w:sz w:val="20"/>
          <w:szCs w:val="20"/>
          <w:color w:val="auto"/>
        </w:rPr>
      </w:pPr>
    </w:p>
    <w:p>
      <w:pPr>
        <w:jc w:val="both"/>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Upon a termination of Dr. Galer’s employment by us without Cause or his resignation for Good Reason outside of the Change in Control Period (which is the period beginning on the date that is three months prior to a Change in Control and ending on the 12 month anniversary of such Change in Control), as such terms are defined in the Galer Employment Agreement, subject to signing an irrevocable separation agreement and general release of claims in favor of us Dr. Galer was entitled to (A) continued payment of his then current base salary for a period of twelve (12) months, and (B) if</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Dr. Galer was participating in our group health plan immediately prior to the termination date and timely elects continuation coverage under COBRA, a monthly payment equal to the monthly employer contribution that we would have made to provide health insurance to Dr. Galer had Dr. Galer remained employed by us until the earliest of (a) the twelve (12) month anniversary of the date of termination; (b) Dr. Galer’s eligibility for group health plan benefits under any other employer’s group health plan; or (c) cessation of the continuation rights under COBRA. In lieu of the foregoing, and subject to the same conditions, upon a termination by us without Cause or his resignation for Good Reason during the Change in Control Period, Dr. Galer was entitled to (A) a lump sum in cash in an amount equal to one (1) times the sum of Dr. Galer’s (i) then current base salary (or the base salary in effect immediately prior to the Change in Control, if higher) plus (ii) target bonus for the then current year (or the target bonus in effect immediately prior to the Change in Control, if higher), (B) full acceleration of his then outstanding and unvested time-based equity awards, (C) if Dr. Galer was participating in our group health plan immediately prior to the termination date and timely elects continuation coverage under COBRA, a monthly payment equal to the monthly employer contribution that we would have made to provide health insurance to Dr. Galer had Dr. Galer remained employed by us until the earliest of (a) the twelve (12) month anniversary of the date of termination; (b) Dr. Galer’s eligibility for group health plan benefits under any other employer’s group health plan; or (c) cessation of the continuation rights under COBRA.</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Galer Employment Agreement contained a Section 280G “better off cutback,” such that he would retain the greater, on an after-tax basis, of the amount resulting from (i) payment of the full amount of all compensation payable under the Ignelzi Employment Agreement (taking into account the 20% excise tax imposed by Section 4999 of the Code) and (ii) application of a straight cutback.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his cessation of employment with us, Dr. Galer entered into a separation agreement and release, pursuant to which he is entitled to receive</w:t>
      </w:r>
    </w:p>
    <w:p>
      <w:pPr>
        <w:spacing w:after="0" w:line="27" w:lineRule="exact"/>
        <w:rPr>
          <w:sz w:val="20"/>
          <w:szCs w:val="20"/>
          <w:color w:val="auto"/>
        </w:rPr>
      </w:pPr>
    </w:p>
    <w:p>
      <w:pPr>
        <w:ind w:left="120" w:right="20" w:hanging="4"/>
        <w:spacing w:after="0" w:line="265" w:lineRule="auto"/>
        <w:tabs>
          <w:tab w:leader="none" w:pos="3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payment of his base salary for a period of twelve (12) months, (ii) if Dr. Galer timely elects continuation coverage under COBRA, a monthly payment equal to the monthly employer contribution that we would have made to provide health insurance to Dr. Galer had Dr. Galer remained employed by us until the earliest of (a) the twelve (12) month anniversary of the date of termination; (b) Dr. Galer’s eligibility for group health plan benefits under any other employer’s group health plan; or (c) cessation of the continuation rights under COBRA, (iii) payment of his 2024 annual bonus,</w:t>
      </w:r>
    </w:p>
    <w:p>
      <w:pPr>
        <w:ind w:left="120" w:right="680" w:hanging="4"/>
        <w:spacing w:after="0" w:line="260" w:lineRule="auto"/>
        <w:tabs>
          <w:tab w:leader="none" w:pos="4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12,340 shares of restricted stock and (v) the extension of the exercise period of his outstanding vested stock options through December 31, 2025.</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the shares of our common stock that may be issued under our existing equity compensation plans: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Number of securities remaining</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 to be issued upon</w:t>
            </w:r>
          </w:p>
        </w:tc>
        <w:tc>
          <w:tcPr>
            <w:tcW w:w="100" w:type="dxa"/>
            <w:vAlign w:val="bottom"/>
          </w:tcPr>
          <w:p>
            <w:pPr>
              <w:spacing w:after="0"/>
              <w:rPr>
                <w:sz w:val="11"/>
                <w:szCs w:val="11"/>
                <w:color w:val="auto"/>
              </w:rPr>
            </w:pPr>
          </w:p>
        </w:tc>
        <w:tc>
          <w:tcPr>
            <w:tcW w:w="230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Weighted-average exercise price</w:t>
            </w:r>
          </w:p>
        </w:tc>
        <w:tc>
          <w:tcPr>
            <w:tcW w:w="28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available for future issuance under</w:t>
            </w:r>
          </w:p>
        </w:tc>
        <w:tc>
          <w:tcPr>
            <w:tcW w:w="0" w:type="dxa"/>
            <w:vAlign w:val="bottom"/>
          </w:tcPr>
          <w:p>
            <w:pPr>
              <w:spacing w:after="0"/>
              <w:rPr>
                <w:sz w:val="1"/>
                <w:szCs w:val="1"/>
                <w:color w:val="auto"/>
              </w:rPr>
            </w:pPr>
          </w:p>
        </w:tc>
      </w:tr>
      <w:tr>
        <w:trPr>
          <w:trHeight w:val="135"/>
        </w:trPr>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Plan category</w:t>
            </w:r>
          </w:p>
        </w:tc>
        <w:tc>
          <w:tcPr>
            <w:tcW w:w="2220" w:type="dxa"/>
            <w:vAlign w:val="bottom"/>
            <w:vMerge w:val="restart"/>
          </w:tcPr>
          <w:p>
            <w:pPr>
              <w:spacing w:after="0"/>
              <w:rPr>
                <w:sz w:val="11"/>
                <w:szCs w:val="11"/>
                <w:color w:val="auto"/>
              </w:rPr>
            </w:pPr>
          </w:p>
        </w:tc>
        <w:tc>
          <w:tcPr>
            <w:tcW w:w="28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of outstanding options,</w:t>
            </w:r>
          </w:p>
        </w:tc>
        <w:tc>
          <w:tcPr>
            <w:tcW w:w="100" w:type="dxa"/>
            <w:vAlign w:val="bottom"/>
          </w:tcPr>
          <w:p>
            <w:pPr>
              <w:spacing w:after="0"/>
              <w:rPr>
                <w:sz w:val="11"/>
                <w:szCs w:val="11"/>
                <w:color w:val="auto"/>
              </w:rPr>
            </w:pPr>
          </w:p>
        </w:tc>
        <w:tc>
          <w:tcPr>
            <w:tcW w:w="230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outstanding options, warrants</w:t>
            </w:r>
          </w:p>
        </w:tc>
        <w:tc>
          <w:tcPr>
            <w:tcW w:w="28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compensation plans (excluding</w:t>
            </w:r>
          </w:p>
        </w:tc>
        <w:tc>
          <w:tcPr>
            <w:tcW w:w="0" w:type="dxa"/>
            <w:vAlign w:val="bottom"/>
          </w:tcPr>
          <w:p>
            <w:pPr>
              <w:spacing w:after="0"/>
              <w:rPr>
                <w:sz w:val="1"/>
                <w:szCs w:val="1"/>
                <w:color w:val="auto"/>
              </w:rPr>
            </w:pPr>
          </w:p>
        </w:tc>
      </w:tr>
      <w:tr>
        <w:trPr>
          <w:trHeight w:val="147"/>
        </w:trPr>
        <w:tc>
          <w:tcPr>
            <w:tcW w:w="740" w:type="dxa"/>
            <w:vAlign w:val="bottom"/>
            <w:tcBorders>
              <w:bottom w:val="single" w:sz="8" w:color="auto"/>
            </w:tcBorders>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84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warrants and rights</w:t>
            </w:r>
          </w:p>
        </w:tc>
        <w:tc>
          <w:tcPr>
            <w:tcW w:w="100" w:type="dxa"/>
            <w:vAlign w:val="bottom"/>
          </w:tcPr>
          <w:p>
            <w:pPr>
              <w:spacing w:after="0"/>
              <w:rPr>
                <w:sz w:val="12"/>
                <w:szCs w:val="12"/>
                <w:color w:val="auto"/>
              </w:rPr>
            </w:pPr>
          </w:p>
        </w:tc>
        <w:tc>
          <w:tcPr>
            <w:tcW w:w="230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and rights</w:t>
            </w:r>
          </w:p>
        </w:tc>
        <w:tc>
          <w:tcPr>
            <w:tcW w:w="28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securities reflected in first column)</w:t>
            </w:r>
          </w:p>
        </w:tc>
        <w:tc>
          <w:tcPr>
            <w:tcW w:w="0" w:type="dxa"/>
            <w:vAlign w:val="bottom"/>
          </w:tcPr>
          <w:p>
            <w:pPr>
              <w:spacing w:after="0"/>
              <w:rPr>
                <w:sz w:val="1"/>
                <w:szCs w:val="1"/>
                <w:color w:val="auto"/>
              </w:rPr>
            </w:pPr>
          </w:p>
        </w:tc>
      </w:tr>
      <w:tr>
        <w:trPr>
          <w:trHeight w:val="20"/>
        </w:trPr>
        <w:tc>
          <w:tcPr>
            <w:tcW w:w="2960" w:type="dxa"/>
            <w:vAlign w:val="bottom"/>
            <w:gridSpan w:val="2"/>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2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gridSpan w:val="2"/>
            <w:vMerge w:val="continue"/>
            <w:shd w:val="clear" w:color="auto" w:fill="CCEEFF"/>
          </w:tcPr>
          <w:p>
            <w:pPr>
              <w:spacing w:after="0"/>
              <w:rPr>
                <w:sz w:val="14"/>
                <w:szCs w:val="14"/>
                <w:color w:val="auto"/>
              </w:rPr>
            </w:pPr>
          </w:p>
        </w:tc>
        <w:tc>
          <w:tcPr>
            <w:tcW w:w="28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4,285,246</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4"/>
                <w:szCs w:val="14"/>
                <w:color w:val="auto"/>
              </w:rPr>
            </w:pPr>
          </w:p>
        </w:tc>
        <w:tc>
          <w:tcPr>
            <w:tcW w:w="23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10.02</w:t>
            </w:r>
            <w:r>
              <w:rPr>
                <w:rFonts w:ascii="Times New Roman" w:cs="Times New Roman" w:eastAsia="Times New Roman" w:hAnsi="Times New Roman"/>
                <w:sz w:val="24"/>
                <w:szCs w:val="24"/>
                <w:color w:val="auto"/>
                <w:vertAlign w:val="superscript"/>
              </w:rPr>
              <w:t>(2)</w:t>
            </w:r>
          </w:p>
        </w:tc>
        <w:tc>
          <w:tcPr>
            <w:tcW w:w="2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2,619,591</w:t>
            </w:r>
            <w:r>
              <w:rPr>
                <w:rFonts w:ascii="Times New Roman" w:cs="Times New Roman" w:eastAsia="Times New Roman" w:hAnsi="Times New Roman"/>
                <w:sz w:val="24"/>
                <w:szCs w:val="24"/>
                <w:color w:val="auto"/>
                <w:vertAlign w:val="superscript"/>
              </w:rPr>
              <w:t>(3)(4)</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security holders</w:t>
            </w:r>
          </w:p>
        </w:tc>
        <w:tc>
          <w:tcPr>
            <w:tcW w:w="2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gridSpan w:val="2"/>
            <w:vMerge w:val="continue"/>
            <w:shd w:val="clear" w:color="auto" w:fill="CCEEFF"/>
          </w:tcPr>
          <w:p>
            <w:pPr>
              <w:spacing w:after="0"/>
              <w:rPr>
                <w:sz w:val="18"/>
                <w:szCs w:val="18"/>
                <w:color w:val="auto"/>
              </w:rPr>
            </w:pPr>
          </w:p>
        </w:tc>
        <w:tc>
          <w:tcPr>
            <w:tcW w:w="2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w:t>
            </w:r>
          </w:p>
        </w:tc>
        <w:tc>
          <w:tcPr>
            <w:tcW w:w="2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by security holders</w:t>
            </w:r>
          </w:p>
        </w:tc>
        <w:tc>
          <w:tcPr>
            <w:tcW w:w="24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color w:val="auto"/>
                <w:w w:val="91"/>
              </w:rPr>
              <w:t>— </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4,285,246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10.02</w:t>
            </w:r>
          </w:p>
        </w:tc>
        <w:tc>
          <w:tcPr>
            <w:tcW w:w="2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2,619,591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right="100" w:hanging="424"/>
        <w:spacing w:after="0" w:line="267"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outstanding options granted pursuant to the Rapport Therapeutics, Inc. 2022 Stock Option and Grant Plan, or the 2022 Plan, and the Rapport Therapeutics, Inc. 2024 Stock Option and Incentive Plan, or the 2024 Plan. Also consists of outstanding performance-based restricted stock units, or PSUs, issued pursuant to the 2024 Plan.</w:t>
      </w:r>
    </w:p>
    <w:p>
      <w:pPr>
        <w:spacing w:after="0" w:line="1" w:lineRule="exact"/>
        <w:rPr>
          <w:rFonts w:ascii="Times New Roman" w:cs="Times New Roman" w:eastAsia="Times New Roman" w:hAnsi="Times New Roman"/>
          <w:sz w:val="16"/>
          <w:szCs w:val="16"/>
          <w:color w:val="auto"/>
        </w:rPr>
      </w:pPr>
    </w:p>
    <w:p>
      <w:pPr>
        <w:ind w:left="540" w:right="500" w:hanging="424"/>
        <w:spacing w:after="0" w:line="264"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weighted-average exercise price of options outstanding under the 2022 Plan and 2024 Plan. See note (1) above with respect to PSUs granted pursuant to the 2024 Plan. The weighted-average exercise price does not take PSUs into account.</w:t>
      </w:r>
    </w:p>
    <w:p>
      <w:pPr>
        <w:ind w:left="540" w:right="20" w:hanging="424"/>
        <w:spacing w:after="0" w:line="264"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2,295,348 shares of our common stock available for issuance as of December 31, 2024 pursuant to the 2024 Plan, excluding the 1,829,010 shares that were added to the 2024 Plan as a result of the automatic annual increase on January 1, 2025. The 2024 Plan provides that the number of shares reserved and available for issuance under the 2024 Plan will automatically increase on January 1, 2024 and each January 1 thereafter, by five percent of the outstanding number of shares of common stock on the immediately preceding December 31 or such lesser number of shares as determined by the compensation committee. The Company no longer makes grants under the 2022 Plan. The shares of common stock underlying any awards under the 2024 Plan and the 2022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w:t>
      </w:r>
    </w:p>
    <w:p>
      <w:pPr>
        <w:ind w:left="540" w:right="20" w:hanging="424"/>
        <w:spacing w:after="0" w:line="270" w:lineRule="auto"/>
        <w:tabs>
          <w:tab w:leader="none" w:pos="5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324,323 shares of our common stock available for issuance as of December 31, 2024 pursuant to the 2024 ESPP, excluding the 365,802 shares that were added to the 2024 ESPP as a result of the automatic annual increase on January 1, 2025. The 2024 ESPP provides that the number of shares of common stock that may be issued under the 2024 ESPP shall cumulatively increase beginning on January 1, 2025 and each January 1 thereafter through January 1, 2034, by the least of (i) 648,486 shares of common stock, (ii) one percent of the outstanding number of shares of common stock on the immediately preceding December 31 or (iii) such number of shares of common stock as determined by the administrator of the 2024 ESPP.</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of 1933, as amended, (the “Securities Act”) or the Exchange Act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operate in accordance with a written charter adopted by our Board and reviewed annually by the audit committee. We are responsible for overseeing the quality and integrity of the Company’s accounting, auditing and financial reporting practices. In accordance with the rules of the SEC and Nasdaq, the audit committee is composed entirely of members who are independent, as defined by the listing standards of Nasdaq and the Company’s Corporate Governance Guidelines. Further, our Board has determined that Paul M. Silva is an audit committee financial expert as defined by the rules of the SEC.</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met two (2) times during the fiscal year ended December 31, 2024 with the Company’s management and PricewaterhouseCoopers LLP, the Company’s independent registered public accounting firm, including, but not limited to, to review and discussion of the Company’s quarterly financial statements and related disclosures, and the inclusion of the Company’s audited financial statements in the Company’s Annual report on Form 10-K for the fiscal year ended December 31, 2024.</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we fully discharged our oversight responsibilities as described in our charter, including with respect to the audit process. We reviewed and discussed our audited financial statements for the fiscal year ended December 31, 2024 with management and PricewaterhouseCoopers LLP. Management has the responsibility for the preparation of the Company’s financial statements, and PricewaterhouseCoopers LLP has the responsibility for the audit of those statements. The audit committee discussed with PricewaterhouseCoopers LLP the matters required to be discussed by Public Company Accounting Oversight Board, or PCAOB, Auditing Standard No. 1301 and the SEC regarding the independent registered public accounting firm’s communications with the audit committee concerning independence. We received the written disclosures and the letter from PricewaterhouseCoopers LLP pursuant to Rule 3526, Communication with Audit Committees Concerning Independence, of the PCAOB concerning any relationships between PricewaterhouseCoopers LLP and the Company and the potential effects of any disclosed relationships on PricewaterhouseCoopers LLP’s independence, and discussed with PricewaterhouseCoopers LLP its independence. We reviewed with PricewaterhouseCoopers LLP their audit plans, audit scope, identification of audit risks and their audit efforts, and discussed and reviewed the results of PricewaterhouseCoopers LLP’s examination of the Company’s financial statements both with and without management.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Based on these reviews and discussions with management and PricewaterhouseCoopers LLP, we approved the inclusion of the Company’s audited financial statements in its Annual Report on Form 10-K for the fiscal year ended December 31, 2024 for filing with the SEC. We also have selected PricewaterhouseCoopers LLP as the independent registered public accounting firm for the fiscal year ending December 31, 2025, subject to ratification by the Company’s stockholders.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 Silva,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I. Healy, M.D., Ph.D.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Maraganore, Ph.D.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Other than the compensation arrangements for our NEOs and our directors described elsewhere in this proxy statement under “Executive Compensation” and “Director Compensation,” set forth below is a description of transactions or series of transactions since January 1, 2023, to which we were or will be a party, and in which:</w:t>
      </w:r>
    </w:p>
    <w:p>
      <w:pPr>
        <w:spacing w:after="0" w:line="81" w:lineRule="exact"/>
        <w:rPr>
          <w:sz w:val="20"/>
          <w:szCs w:val="20"/>
          <w:color w:val="auto"/>
        </w:rPr>
      </w:pPr>
    </w:p>
    <w:p>
      <w:pPr>
        <w:ind w:left="1080" w:right="2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$120,000 (or, if less, 1% of the average of our total assets at year-end for the last two completed fiscal years); and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 Financing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February 2023, we amended our Series A convertible preferred stock purchase agreement to add an additional investor, ARCH Venture Fund XII, L.P. In conjunction with this amendment, the existing requisite stockholders waived certain milestones to accelerate the milestone tranches. As a result, during February 2023, we issued and sold an aggregate of 60,000,000 of Series A convertible preferred stock at a price per share of $1.00 to ARCH Venture Fund XII, L.P., Johnson &amp; Johnson Innovation—JJDC, Inc. (“JJDC”), Third Rock Ventures V, L.P. and Third Rock Ventures VI, L.P. for an aggregate purchase price of $60.0 million.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Each outstanding share of Series A convertible preferred stock was converted into shares of common stock at a ratio of 1-for-8.5648 immediately prior to the completion of our initial public offering. The following table summarizes the purchases of our Series A convertible preferred stock by related parties: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Purchasers</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60"/>
        </w:trPr>
        <w:tc>
          <w:tcPr>
            <w:tcW w:w="5420" w:type="dxa"/>
            <w:vAlign w:val="bottom"/>
            <w:gridSpan w:val="2"/>
            <w:vMerge w:val="continue"/>
          </w:tcPr>
          <w:p>
            <w:pPr>
              <w:spacing w:after="0"/>
              <w:rPr>
                <w:sz w:val="13"/>
                <w:szCs w:val="13"/>
                <w:color w:val="auto"/>
              </w:rPr>
            </w:pPr>
          </w:p>
        </w:tc>
        <w:tc>
          <w:tcPr>
            <w:tcW w:w="198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3"/>
                <w:szCs w:val="13"/>
                <w:color w:val="auto"/>
              </w:rPr>
            </w:pPr>
          </w:p>
        </w:tc>
        <w:tc>
          <w:tcPr>
            <w:tcW w:w="8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ARCH Venture Fund XII, L.P.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20,000,000</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20,000,000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Johnson &amp; Johnson Innovation—JJDC, Inc. </w:t>
            </w:r>
            <w:r>
              <w:rPr>
                <w:rFonts w:ascii="Times New Roman" w:cs="Times New Roman" w:eastAsia="Times New Roman" w:hAnsi="Times New Roman"/>
                <w:sz w:val="25"/>
                <w:szCs w:val="25"/>
                <w:color w:val="auto"/>
                <w:vertAlign w:val="superscript"/>
              </w:rPr>
              <w:t>(2)</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Third Rock Ventures V, L.P. </w:t>
            </w:r>
            <w:r>
              <w:rPr>
                <w:rFonts w:ascii="Times New Roman" w:cs="Times New Roman" w:eastAsia="Times New Roman" w:hAnsi="Times New Roman"/>
                <w:sz w:val="25"/>
                <w:szCs w:val="25"/>
                <w:color w:val="auto"/>
                <w:vertAlign w:val="superscript"/>
              </w:rPr>
              <w:t>(3)</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24,000,000</w:t>
            </w:r>
          </w:p>
        </w:tc>
        <w:tc>
          <w:tcPr>
            <w:tcW w:w="0" w:type="dxa"/>
            <w:vAlign w:val="bottom"/>
          </w:tcPr>
          <w:p>
            <w:pPr>
              <w:spacing w:after="0"/>
              <w:rPr>
                <w:sz w:val="1"/>
                <w:szCs w:val="1"/>
                <w:color w:val="auto"/>
              </w:rPr>
            </w:pPr>
          </w:p>
        </w:tc>
      </w:tr>
      <w:tr>
        <w:trPr>
          <w:trHeight w:val="35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Third Rock Ventures VI, L.P. </w:t>
            </w:r>
            <w:r>
              <w:rPr>
                <w:rFonts w:ascii="Times New Roman" w:cs="Times New Roman" w:eastAsia="Times New Roman" w:hAnsi="Times New Roman"/>
                <w:sz w:val="26"/>
                <w:szCs w:val="26"/>
                <w:color w:val="auto"/>
                <w:vertAlign w:val="superscript"/>
              </w:rPr>
              <w:t>(3)</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 Venture Fund XII, L.P. beneficially owns five percent or more of our outstanding capital stock. Dr. Maraganore, a member of our Board, is a venture partner at ARCH Venture Partners.</w:t>
      </w:r>
    </w:p>
    <w:p>
      <w:pPr>
        <w:ind w:left="540" w:right="1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JJDC beneficially owns five percent or more of our outstanding capital stock. Dr. Mistry, a former member of our Board, is the Vice President of Venture Investments at JJDC.</w:t>
      </w:r>
    </w:p>
    <w:p>
      <w:pPr>
        <w:ind w:left="540" w:right="300" w:hanging="424"/>
        <w:spacing w:after="0" w:line="290" w:lineRule="auto"/>
        <w:tabs>
          <w:tab w:leader="none" w:pos="5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affiliated with Third Rock Ventures V, L.P. and Third Rock Ventures VI, L.P. beneficially own five percent or more of our outstanding capital stock. Dr. Huber, member of our Board and Jeffrey Tong, a former member of our Board, are each partners at Third Rock Ventures.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 Financing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August 2023, we issued and sold an aggregate of 51,273,790 of Series B convertible preferred stock at a price per share of $1.67727, for an aggregate purchase price of approximately $86.0 million, which included the voluntary early exercise of certain stockholders’ milestone tranche shares of Series B convertible preferred stock. In March 2024, we issued and sold an aggregate of 38,157,240 of Series B convertible preferred stock at a price per share of $1.67727, for an aggregate purchase price of approximately $64.0 million.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Each outstanding share of Series B convertible preferred stock was converted into shares of common stock at a ratio of 1-for-8.5648 immediately prior to the completion of our initial public offering. The following table summarizes purchases of our Series B convertible preferred stock by related parties: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Purchasers</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60"/>
        </w:trPr>
        <w:tc>
          <w:tcPr>
            <w:tcW w:w="5420" w:type="dxa"/>
            <w:vAlign w:val="bottom"/>
            <w:gridSpan w:val="2"/>
            <w:vMerge w:val="continue"/>
          </w:tcPr>
          <w:p>
            <w:pPr>
              <w:spacing w:after="0"/>
              <w:rPr>
                <w:sz w:val="13"/>
                <w:szCs w:val="13"/>
                <w:color w:val="auto"/>
              </w:rPr>
            </w:pPr>
          </w:p>
        </w:tc>
        <w:tc>
          <w:tcPr>
            <w:tcW w:w="1980" w:type="dxa"/>
            <w:vAlign w:val="bottom"/>
            <w:gridSpan w:val="2"/>
          </w:tcPr>
          <w:p>
            <w:pPr>
              <w:jc w:val="right"/>
              <w:ind w:right="86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3"/>
                <w:szCs w:val="13"/>
                <w:color w:val="auto"/>
              </w:rPr>
            </w:pPr>
          </w:p>
        </w:tc>
        <w:tc>
          <w:tcPr>
            <w:tcW w:w="8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ARCH Venture Fund XII, L.P.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11,924,138</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19,999,999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Cormorant Asset Management, LP </w:t>
            </w:r>
            <w:r>
              <w:rPr>
                <w:rFonts w:ascii="Times New Roman" w:cs="Times New Roman" w:eastAsia="Times New Roman" w:hAnsi="Times New Roman"/>
                <w:sz w:val="25"/>
                <w:szCs w:val="25"/>
                <w:color w:val="auto"/>
                <w:vertAlign w:val="superscript"/>
              </w:rPr>
              <w:t>(2)</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14,905,172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24,999,998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Fidelity </w:t>
            </w:r>
            <w:r>
              <w:rPr>
                <w:rFonts w:ascii="Times New Roman" w:cs="Times New Roman" w:eastAsia="Times New Roman" w:hAnsi="Times New Roman"/>
                <w:sz w:val="25"/>
                <w:szCs w:val="25"/>
                <w:color w:val="auto"/>
                <w:vertAlign w:val="superscript"/>
              </w:rPr>
              <w:t>(3)</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14,905,173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25,000,000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Johnson &amp; Johnson Innovation—JJDC, Inc. </w:t>
            </w:r>
            <w:r>
              <w:rPr>
                <w:rFonts w:ascii="Times New Roman" w:cs="Times New Roman" w:eastAsia="Times New Roman" w:hAnsi="Times New Roman"/>
                <w:sz w:val="25"/>
                <w:szCs w:val="25"/>
                <w:color w:val="auto"/>
                <w:vertAlign w:val="superscript"/>
              </w:rPr>
              <w:t>(4)</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298,103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499,999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SMALLCAP World Fund, Inc. </w:t>
            </w:r>
            <w:r>
              <w:rPr>
                <w:rFonts w:ascii="Times New Roman" w:cs="Times New Roman" w:eastAsia="Times New Roman" w:hAnsi="Times New Roman"/>
                <w:sz w:val="25"/>
                <w:szCs w:val="25"/>
                <w:color w:val="auto"/>
                <w:vertAlign w:val="superscript"/>
              </w:rPr>
              <w:t>(5)</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14,905,173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25,000,000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(6)</w:t>
            </w: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11,924,138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19,999,999</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Third Rock Ventures VI, L.P. </w:t>
            </w:r>
            <w:r>
              <w:rPr>
                <w:rFonts w:ascii="Times New Roman" w:cs="Times New Roman" w:eastAsia="Times New Roman" w:hAnsi="Times New Roman"/>
                <w:sz w:val="25"/>
                <w:szCs w:val="25"/>
                <w:color w:val="auto"/>
                <w:vertAlign w:val="superscript"/>
              </w:rPr>
              <w:t>(7)</w:t>
            </w:r>
          </w:p>
        </w:tc>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298,103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499,999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 Venture Fund XII, L.P. beneficially owns five percent or more of our outstanding capital stock. Dr. Maraganore, a member of our Board, is a venture partner at ARCH Venture Partners.</w:t>
      </w:r>
    </w:p>
    <w:p>
      <w:pPr>
        <w:ind w:left="540" w:right="16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(“Cormorant”) beneficially own five percent or more of our outstanding capital stock. Raymond Kelleher, a former member of our Board, is a Managing Director at Cormorant.</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Fidelity beneficially own five percent or more of our outstanding capital stock.</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JJDC beneficially owns five percent or more of our outstanding capital stock. Dr. Mistry, a former member of our Board, is the Vice President of Venture Investments at JJDC.</w:t>
      </w:r>
    </w:p>
    <w:p>
      <w:pPr>
        <w:ind w:left="540" w:right="28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entities advised by Capital Research and Management Company, including SMALLCAP World Fund, Inc., beneficially own five percent or more of our outstanding capital stock.</w:t>
      </w:r>
    </w:p>
    <w:p>
      <w:pPr>
        <w:ind w:left="540" w:right="1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Sofinnova Venture Partners XI, L.P. (“Sofinnova”) beneficially own five percent or more of our outstanding capital stock. Dr. Healy, a member of our Board, is Managing Partner of Sofinnova Investments, Inc.</w:t>
      </w:r>
    </w:p>
    <w:p>
      <w:pPr>
        <w:ind w:left="540" w:right="2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Third Rock Ventures VI, L.P. beneficially own five percent or more of our outstanding capital stock. Dr. Huber, member of our Board and Jeffrey Tong, a former member of our Board, are each partners at Third Rock Ventures.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in our Initial Public Offering and Concurrent Private Placement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June 2024, we completed our initial public offering, pursuant to which we issued and sold 9,200,000 shares of common stock (inclusive of 1,200,000 shares of common stock sold pursuant to the underwriters’ exercise of their option to purchase additional shares) at a public offering price of $17.00 per share for gross proceeds. The aggregate gross proceeds to us from the initial public offering were approximately $156.4 million, before deducting underwriting discounts and commissions and other offering expenses. The following table summarizes purchases of shares of our common stock by related parties in our initial public offering:</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3"/>
                <w:szCs w:val="13"/>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60"/>
        </w:trPr>
        <w:tc>
          <w:tcPr>
            <w:tcW w:w="5760" w:type="dxa"/>
            <w:vAlign w:val="bottom"/>
            <w:gridSpan w:val="2"/>
            <w:vMerge w:val="continue"/>
          </w:tcPr>
          <w:p>
            <w:pPr>
              <w:spacing w:after="0"/>
              <w:rPr>
                <w:sz w:val="13"/>
                <w:szCs w:val="13"/>
                <w:color w:val="auto"/>
              </w:rPr>
            </w:pPr>
          </w:p>
        </w:tc>
        <w:tc>
          <w:tcPr>
            <w:tcW w:w="13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Entities affiliated with Cormorant Asset Management, LP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20,400,000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Fidelity </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29,750,000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Sofinnova </w:t>
            </w:r>
            <w:r>
              <w:rPr>
                <w:rFonts w:ascii="Times New Roman" w:cs="Times New Roman" w:eastAsia="Times New Roman" w:hAnsi="Times New Roman"/>
                <w:sz w:val="25"/>
                <w:szCs w:val="25"/>
                <w:color w:val="auto"/>
                <w:vertAlign w:val="superscript"/>
              </w:rPr>
              <w:t>(3)</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88,235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1,499,995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beneficially own five percent or more of our capital stock.</w:t>
      </w:r>
    </w:p>
    <w:p>
      <w:pPr>
        <w:spacing w:after="0" w:line="27" w:lineRule="exact"/>
        <w:rPr>
          <w:rFonts w:ascii="Times New Roman" w:cs="Times New Roman" w:eastAsia="Times New Roman" w:hAnsi="Times New Roman"/>
          <w:sz w:val="18"/>
          <w:szCs w:val="18"/>
          <w:color w:val="auto"/>
        </w:rPr>
      </w:pPr>
    </w:p>
    <w:p>
      <w:pPr>
        <w:ind w:left="540" w:right="68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Management &amp; Research Company LLC and Fidelity Management Trust Company beneficially own five percent or more of our outstanding capital stock.</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60" w:hanging="424"/>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Sofinnova beneficially own five percent or more of our outstanding capital stock. Dr. Healy, a member of our Board, is Managing Partner of Sofinnova Investments, Inc.</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initial public offering, we completed a private placement, exempt from the registration requirements of the Securities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1933, of 1,058,824 shares of common stock at a per share price equal to the initial public offering price of $17.00, resulting in gross proceeds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 million, before deducting placement agent fees and private placement expenses. The private placement closed concurrently with our initial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w:t>
      </w:r>
    </w:p>
    <w:p>
      <w:pPr>
        <w:spacing w:after="0" w:line="2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Sofinnova purchased 470,589 shares of our common stock at the initial public offering price, for an aggregate purchase price of $8,000,013, in the concurrent private placement. In connection with the private placement, we entered into a stock purchase agreement with Sofinnova. Pursuant to this agreement, Sofinnova is entitled to certain Form S-3 registration rights. If, following the one year anniversary of the date of effectiveness of the registration statement relating to our initial public offering, the shares issued to Sofinnova in the concurrent private placement cannot be sold without restriction pursuant to Rule 144 of the Securities Act, then upon Sofinnova’s request, received within thirty (30) days of such anniversary, we have agreed to use commercially reasonable efforts to register such shares for resale on a Form S-3 registration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Agreements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August 9, 2022, we entered into an Option and License Agreement with Janssen Pharmaceutica NV (“Janssen”), as amended (the “Janssen License”). Sanjay Mistry, Ph.D., a former member of our Board, is Vice President of Venture Investments at JJDC, and JJDC, which is a beneficial owner of five percent or more of our outstanding capital stock, is an affiliate of Janssen.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made a non-refundable, non-creditable upfront payment of $1.0 million to Janssen after we entered into the Janssen License. In October 2022, we exercised an option under the Janssen License and paid a non-refundable, non-creditable option fee of $4.0 million to Janssen. If we succeed in developing and commercializing TARPg8 products, Janssen will be eligible to receive (i) up to $76.0 million in development milestone payments and up to $40.0 million sales milestone payments for the product containing the lead TARPg8 development candidate, and (ii) up to $25.0 million in development milestone payments and up to $42.0 million sales milestone payments for other TARPg8 products containing a non-lead TARPg8 development candidate. Please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in our Annual Report on Form 10-K for the year ended December 31, 2024, filed on March 11, 2025,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Third Rock Ventures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Third Rock Ventures, a beneficial owner of five percent or more of our outstanding capital stock, has provided us with business, technical, financial, IT or scientific advice pursuant to a service agreement with Third Rock Ventures, dated August 9, 2022 (“service agreement”). In accordance with the service agreement, during the years ended December 31, 2023 and 2024, we incurred costs for services totaling $1.2 million and $0.1 million, respectively, which were reimbursed to Third Rock Ventures. Such costs were invoiced without service markups.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 party to an amended and restated investors’ rights agreement, dated as of August 7, 2023 (“investors’ rights agreement”), with certain holders of five percent or more of our outstanding capital stock, including entities affiliated with our directors. The investors’ rights agreement provides certain holders of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convertible preferred stock with a participation right to purchase their pro rata share of new securities that we may propose to sell and issue, subject to certain exceptions. Such participation right will terminate upon the completion of this offering. The investors’ rights agreement further provides certain holders of our convertible preferred stock with certain rights, including certain registration rights with respect to the registrable securities held by them. Please see Exhibit 4.3 to our Annual Report on Form 10-K for the year ended December 31, 2024, filed on March 11, 2025,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to the maximum extent allowed under Delaware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connection with our June 2024 initial public offering, we adopted a written policy providing that our executive officers, directors, nominees for election as a director, beneficial owners of five percent or more of any series of our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five percent or more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or our audit committee for review, consideration, and approval. In approving or rejecting any such proposal, our Board or our audit committee considers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82"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2 – RATIFICATION OF INDEPENDENT REGISTERED PUBLIC ACCOUNTING FIRM</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ratify our audit committee’s appointment of PricewaterhouseCoopers LLP (“PwC”), as our independent registered public accounting firm for the fiscal year ending December 31, 2025. PwC has served as our independent registered public accounting firm since 2023.</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annually reviews our independent registered public accounting firm’s independence, including reviewing all relationships between our independent registered public accounting firm and us and any disclosed relationships or services that may affect the objectivity and independence of our independent registered public accounting firm, and our independent registered public accounting firm’s performance. Although ratification is not required by our amended and restated bylaws or otherwise, our Board is submitting the appointment of PwC to our stockholders for ratification as a matter of good corporate practice. If the appointment is not ratified, our audit committee will consider whether it is appropriate to select another independent registered public accounting firm. Even if the appointment is ratified, our audit committee in its discretion may appoint a different registered public accounting firm at any time during the year if the audit committee determines that such a change would be in the best interests of our Company and our stockholders.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PwC served as independent registered public accounting firm for our Company with respect to the audit of the Company’s consolidated financial statements for the fiscal year ended December 31, 2024 and has been engaged by our audit committee to serve as our independent registered public accounting firm with respect to the audit of our consolidated financial statements for the fiscal year ending December 31, 2025. Representatives of PwC will be present at the Annual Meeting, will have the opportunity to make a statement if they desire to do so, and will be available to respond to appropriate questions from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fees billed by categories of services are as follows for each of the years ended December 31, 2024 and 2023:</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020" w:type="dxa"/>
            <w:vAlign w:val="bottom"/>
          </w:tcPr>
          <w:p>
            <w:pPr>
              <w:spacing w:after="0"/>
              <w:rPr>
                <w:sz w:val="16"/>
                <w:szCs w:val="16"/>
                <w:color w:val="auto"/>
              </w:rPr>
            </w:pPr>
          </w:p>
        </w:tc>
        <w:tc>
          <w:tcPr>
            <w:tcW w:w="32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3"/>
                <w:szCs w:val="23"/>
                <w:color w:val="auto"/>
                <w:vertAlign w:val="superscript"/>
              </w:rPr>
              <w:t>(1)</w:t>
            </w:r>
          </w:p>
        </w:tc>
        <w:tc>
          <w:tcPr>
            <w:tcW w:w="2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$ 2,155,000</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$ 650,000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4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(2)</w:t>
            </w:r>
          </w:p>
        </w:tc>
        <w:tc>
          <w:tcPr>
            <w:tcW w:w="2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46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7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$ 2,157,125</w:t>
            </w:r>
          </w:p>
        </w:tc>
        <w:tc>
          <w:tcPr>
            <w:tcW w:w="7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$ 650,000</w:t>
            </w:r>
          </w:p>
        </w:tc>
      </w:tr>
      <w:tr>
        <w:trPr>
          <w:trHeight w:val="20"/>
        </w:trPr>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20" w:hanging="424"/>
        <w:spacing w:after="0" w:line="255"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performed by PwC for the audit of our annual consolidated financial statements, the review of interim consolidated financial statements, review of the registration statement on Form S-1 for our initial public offering, review of the registration statement on Form S-8, and related services that are normally provided in connection with statutory and regulatory filings or engagements.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our subscription to PwC software used in connection with the preparation of our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by Audit Committee of Principal Accountant Services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was formed in June 2024 in connection with our initial public offering. At this time, our Board also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or, as permitted, pre-approved by our audit committee in compliance with the Sarbanes-Oxley Act of 2002.</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during the years ended December 31, 2024 and 2023, our audit committee did not pre-approve all of the foregoing services, although any services rendered prior to the formation of the audit committee were pre-approved by our Board. Since the formation of our audit committee, no services were provided to us by PwC other than in accordance with the pre-approval policies and procedures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PricewaterhouseCoopers LLP as our independent registered public accounting firm for the fiscal year ending December 31, 2025 requires the affirmative vote of a majority of the votes properly cast on the proposal. Abstentions and broker non-votes, if any, will have no effect on the outcome of the vote on this proposal.</w:t>
      </w:r>
    </w:p>
    <w:p>
      <w:pPr>
        <w:spacing w:after="0" w:line="172" w:lineRule="exact"/>
        <w:rPr>
          <w:sz w:val="20"/>
          <w:szCs w:val="20"/>
          <w:color w:val="auto"/>
        </w:rPr>
      </w:pPr>
    </w:p>
    <w:p>
      <w:pPr>
        <w:ind w:left="120" w:right="2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PROPOSAL TO RATIFY PRICEWATERHOUSECOOPERS LLP AS OUR INDEPENDENT</w:t>
      </w:r>
    </w:p>
    <w:p>
      <w:pPr>
        <w:spacing w:after="0" w:line="15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REGISTERED PUBLIC ACCOUNTING FIRM FOR THE FISCAL YEAR ENDING DECEMBER 31, 2025, AND PROXIES SOLICITED BY OUR BOARD WILL BE VOTED IN FAVOR THEREOF, UNLESS A STOCKHOLDER HAS INDICATED OTHERWISE ON THE PROXY.</w:t>
      </w: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(PROPOSAL 2 ON YOUR NOTICE OR PROXY CARD)</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320" w:top="482" w:right="5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as of April 21, 2025, information regarding the beneficial ownership of our common stock by:</w:t>
      </w:r>
    </w:p>
    <w:p>
      <w:pPr>
        <w:spacing w:after="0" w:line="131" w:lineRule="exact"/>
        <w:rPr>
          <w:sz w:val="20"/>
          <w:szCs w:val="20"/>
          <w:color w:val="auto"/>
        </w:rPr>
      </w:pPr>
    </w:p>
    <w:p>
      <w:pPr>
        <w:ind w:left="1080" w:right="4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five percent or more of our outstanding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computing the number of shares beneficially owned by an individual or entity, shares of common stock subject to options, warrants, restricted stock units or other rights held by such person that are currently exercisable or have vested or that will become exercisable or will have vested within 60 days of April 21, 2025 are considered outstanding, although these shares are not considered outstanding for purposes of computing the percentage ownership of any other person. On April 21, 2025, there were 36,497,555 shares of our common stock outstanding (including 1,090,504 shares of unvested restricted common stock). Unless noted otherwise, the address of all listed stockholders is c/o Rapport Therapeutics, Inc., 1325 Boylston Street, Suite 401, Boston, MA 02215.</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(1)</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3,728,738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One or more entities advised by Capital Research and</w:t>
            </w: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Management Company </w:t>
            </w:r>
            <w:r>
              <w:rPr>
                <w:rFonts w:ascii="Times New Roman" w:cs="Times New Roman" w:eastAsia="Times New Roman" w:hAnsi="Times New Roman"/>
                <w:sz w:val="26"/>
                <w:szCs w:val="26"/>
                <w:color w:val="auto"/>
                <w:vertAlign w:val="superscript"/>
              </w:rPr>
              <w:t>(2)</w:t>
            </w:r>
          </w:p>
        </w:tc>
        <w:tc>
          <w:tcPr>
            <w:tcW w:w="19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2,602,529</w:t>
            </w:r>
          </w:p>
        </w:tc>
        <w:tc>
          <w:tcPr>
            <w:tcW w:w="9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7.13%</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Cormorant Asset Management, LP</w:t>
            </w:r>
          </w:p>
        </w:tc>
        <w:tc>
          <w:tcPr>
            <w:tcW w:w="19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2,940,921</w:t>
            </w:r>
          </w:p>
        </w:tc>
        <w:tc>
          <w:tcPr>
            <w:tcW w:w="980" w:type="dxa"/>
            <w:vAlign w:val="bottom"/>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8.06%</w:t>
            </w:r>
          </w:p>
        </w:tc>
        <w:tc>
          <w:tcPr>
            <w:tcW w:w="0" w:type="dxa"/>
            <w:vAlign w:val="bottom"/>
          </w:tcPr>
          <w:p>
            <w:pPr>
              <w:spacing w:after="0"/>
              <w:rPr>
                <w:sz w:val="1"/>
                <w:szCs w:val="1"/>
                <w:color w:val="auto"/>
              </w:rPr>
            </w:pPr>
          </w:p>
        </w:tc>
      </w:tr>
      <w:tr>
        <w:trPr>
          <w:trHeight w:val="161"/>
        </w:trPr>
        <w:tc>
          <w:tcPr>
            <w:tcW w:w="4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(3)</w:t>
            </w:r>
          </w:p>
        </w:tc>
        <w:tc>
          <w:tcPr>
            <w:tcW w:w="19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Fidelity </w:t>
            </w:r>
            <w:r>
              <w:rPr>
                <w:rFonts w:ascii="Times New Roman" w:cs="Times New Roman" w:eastAsia="Times New Roman" w:hAnsi="Times New Roman"/>
                <w:sz w:val="25"/>
                <w:szCs w:val="25"/>
                <w:color w:val="auto"/>
                <w:vertAlign w:val="superscript"/>
              </w:rPr>
              <w:t>(4)</w:t>
            </w:r>
          </w:p>
        </w:tc>
        <w:tc>
          <w:tcPr>
            <w:tcW w:w="19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5,486,468</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Johnson &amp; Johnson Innovation—JJDC, Inc. </w:t>
            </w:r>
            <w:r>
              <w:rPr>
                <w:rFonts w:ascii="Times New Roman" w:cs="Times New Roman" w:eastAsia="Times New Roman" w:hAnsi="Times New Roman"/>
                <w:sz w:val="25"/>
                <w:szCs w:val="25"/>
                <w:color w:val="auto"/>
                <w:vertAlign w:val="superscript"/>
              </w:rPr>
              <w:t>(5)</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2,498,051</w:t>
            </w:r>
          </w:p>
        </w:tc>
        <w:tc>
          <w:tcPr>
            <w:tcW w:w="9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6.84%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Sofinnova </w:t>
            </w:r>
            <w:r>
              <w:rPr>
                <w:rFonts w:ascii="Times New Roman" w:cs="Times New Roman" w:eastAsia="Times New Roman" w:hAnsi="Times New Roman"/>
                <w:sz w:val="25"/>
                <w:szCs w:val="25"/>
                <w:color w:val="auto"/>
                <w:vertAlign w:val="superscript"/>
              </w:rPr>
              <w:t>(6)</w:t>
            </w:r>
          </w:p>
        </w:tc>
        <w:tc>
          <w:tcPr>
            <w:tcW w:w="19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1,951,562</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Entities affiliated with Third Rock Ventures </w:t>
            </w:r>
            <w:r>
              <w:rPr>
                <w:rFonts w:ascii="Times New Roman" w:cs="Times New Roman" w:eastAsia="Times New Roman" w:hAnsi="Times New Roman"/>
                <w:sz w:val="25"/>
                <w:szCs w:val="25"/>
                <w:color w:val="auto"/>
                <w:vertAlign w:val="superscript"/>
              </w:rPr>
              <w:t>(7)</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8,104,451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Abraham N. Ceesay, </w:t>
            </w:r>
            <w:r>
              <w:rPr>
                <w:rFonts w:ascii="Times New Roman" w:cs="Times New Roman" w:eastAsia="Times New Roman" w:hAnsi="Times New Roman"/>
                <w:sz w:val="18"/>
                <w:szCs w:val="18"/>
                <w:i w:val="1"/>
                <w:iCs w:val="1"/>
                <w:color w:val="auto"/>
              </w:rPr>
              <w:t>Chief Executive Officer and</w:t>
            </w: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180"/>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Director </w:t>
            </w:r>
            <w:r>
              <w:rPr>
                <w:rFonts w:ascii="Times New Roman" w:cs="Times New Roman" w:eastAsia="Times New Roman" w:hAnsi="Times New Roman"/>
                <w:sz w:val="26"/>
                <w:szCs w:val="26"/>
                <w:color w:val="auto"/>
                <w:vertAlign w:val="superscript"/>
              </w:rPr>
              <w:t>(8)</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1,162,041</w:t>
            </w:r>
          </w:p>
        </w:tc>
        <w:tc>
          <w:tcPr>
            <w:tcW w:w="9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3.15%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Troy Ignelzi, </w:t>
            </w:r>
            <w:r>
              <w:rPr>
                <w:rFonts w:ascii="Times New Roman" w:cs="Times New Roman" w:eastAsia="Times New Roman" w:hAnsi="Times New Roman"/>
                <w:sz w:val="17"/>
                <w:szCs w:val="17"/>
                <w:i w:val="1"/>
                <w:iCs w:val="1"/>
                <w:color w:val="auto"/>
              </w:rPr>
              <w:t>Chief Financial Officer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(9)</w:t>
            </w:r>
          </w:p>
        </w:tc>
        <w:tc>
          <w:tcPr>
            <w:tcW w:w="19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209,102</w:t>
            </w:r>
          </w:p>
        </w:tc>
        <w:tc>
          <w:tcPr>
            <w:tcW w:w="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Bradley Galer, M.D., </w:t>
            </w:r>
            <w:r>
              <w:rPr>
                <w:rFonts w:ascii="Times New Roman" w:cs="Times New Roman" w:eastAsia="Times New Roman" w:hAnsi="Times New Roman"/>
                <w:sz w:val="17"/>
                <w:szCs w:val="17"/>
                <w:i w:val="1"/>
                <w:iCs w:val="1"/>
                <w:color w:val="auto"/>
              </w:rPr>
              <w:t>Former Chief Medical Officer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(10)</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138,307</w:t>
            </w:r>
          </w:p>
        </w:tc>
        <w:tc>
          <w:tcPr>
            <w:tcW w:w="980" w:type="dxa"/>
            <w:vAlign w:val="bottom"/>
          </w:tcPr>
          <w:p>
            <w:pPr>
              <w:ind w:left="9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James I. Healy, M.D., Ph.D. </w:t>
            </w:r>
            <w:r>
              <w:rPr>
                <w:rFonts w:ascii="Times New Roman" w:cs="Times New Roman" w:eastAsia="Times New Roman" w:hAnsi="Times New Roman"/>
                <w:sz w:val="25"/>
                <w:szCs w:val="25"/>
                <w:color w:val="auto"/>
                <w:vertAlign w:val="superscript"/>
              </w:rPr>
              <w:t>(6)</w:t>
            </w:r>
          </w:p>
        </w:tc>
        <w:tc>
          <w:tcPr>
            <w:tcW w:w="19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1,951,562</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Reid Huber, Ph.D.</w:t>
            </w: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John Maraganore, Ph.D. </w:t>
            </w:r>
            <w:r>
              <w:rPr>
                <w:rFonts w:ascii="Times New Roman" w:cs="Times New Roman" w:eastAsia="Times New Roman" w:hAnsi="Times New Roman"/>
                <w:sz w:val="25"/>
                <w:szCs w:val="25"/>
                <w:color w:val="auto"/>
                <w:vertAlign w:val="superscript"/>
              </w:rPr>
              <w:t>(11)</w:t>
            </w:r>
          </w:p>
        </w:tc>
        <w:tc>
          <w:tcPr>
            <w:tcW w:w="19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27,364</w:t>
            </w:r>
          </w:p>
        </w:tc>
        <w:tc>
          <w:tcPr>
            <w:tcW w:w="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Steven M. Paul, M.D. </w:t>
            </w:r>
            <w:r>
              <w:rPr>
                <w:rFonts w:ascii="Times New Roman" w:cs="Times New Roman" w:eastAsia="Times New Roman" w:hAnsi="Times New Roman"/>
                <w:sz w:val="25"/>
                <w:szCs w:val="25"/>
                <w:color w:val="auto"/>
                <w:vertAlign w:val="superscript"/>
              </w:rPr>
              <w:t>(12)</w:t>
            </w:r>
          </w:p>
        </w:tc>
        <w:tc>
          <w:tcPr>
            <w:tcW w:w="1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542,113</w:t>
            </w:r>
          </w:p>
        </w:tc>
        <w:tc>
          <w:tcPr>
            <w:tcW w:w="9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1.48%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Perez</w:t>
            </w:r>
          </w:p>
        </w:tc>
        <w:tc>
          <w:tcPr>
            <w:tcW w:w="1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90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173"/>
        </w:trPr>
        <w:tc>
          <w:tcPr>
            <w:tcW w:w="4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Sanchez, M.D.</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Paul M. Silva</w:t>
            </w: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Wendy B. Young, Ph.D.</w:t>
            </w:r>
            <w:r>
              <w:rPr>
                <w:rFonts w:ascii="Times New Roman" w:cs="Times New Roman" w:eastAsia="Times New Roman" w:hAnsi="Times New Roman"/>
                <w:sz w:val="25"/>
                <w:szCs w:val="25"/>
                <w:color w:val="auto"/>
                <w:vertAlign w:val="superscript"/>
              </w:rPr>
              <w:t>(13)</w:t>
            </w:r>
          </w:p>
        </w:tc>
        <w:tc>
          <w:tcPr>
            <w:tcW w:w="21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6,972</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executive officers and directors as a</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6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group (14 persons) </w:t>
            </w:r>
            <w:r>
              <w:rPr>
                <w:rFonts w:ascii="Times New Roman" w:cs="Times New Roman" w:eastAsia="Times New Roman" w:hAnsi="Times New Roman"/>
                <w:sz w:val="26"/>
                <w:szCs w:val="26"/>
                <w:color w:val="auto"/>
                <w:vertAlign w:val="superscript"/>
              </w:rPr>
              <w:t>(14)</w:t>
            </w:r>
          </w:p>
        </w:tc>
        <w:tc>
          <w:tcPr>
            <w:tcW w:w="21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5,078,519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w:t>
            </w:r>
          </w:p>
        </w:tc>
      </w:tr>
    </w:tbl>
    <w:p>
      <w:pPr>
        <w:spacing w:after="0" w:line="99"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the Schedule 13G filed with the SEC on November 14, 2024 by ARCH Venture Fund XII, L.P. (“AVF XII”), ARCH Venture Partners XII, L.P. (“AVP XII LP”) and ARCH Venture Partners XII, LLC (“AVP XII LLC”); and Keith Crandell, Robert Nelsen, Kristina Burow and Steven Gillis, who comprise the investment committee of AVP XII LLC (the “AVP XII LLC Committee Members”). Consists of 3,728,738 shares of common stock held by AVF XII. AVP XII LP is the general partner of AVF XII. AVP XII LLC is the general partner of AVP XII LP. Each of AVP XII LP and AVP XII LLC may be deemed to beneficially own the shares held by AVF XII, and each of the AVP XII LLC Committee Members may be deemed to share the power to direct the disposition and vote of the shares held by AVF XII. Each of AVP XII LP, AVP XII LLC and the AVP XII LLC Committee Members disclaim beneficial ownership except to the extent of their pecuniary interest therein, if any. The address of ARCH Venture Partners is 8755 West Higgins Road, Suite 1025, Chicago, IL 60631.</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the Schedule 13G filed with the SEC on November 13, 2024 by Capital International Investors (“CII”). Consists of 2,602,529 shares of common stock held by SMALLCAP World Fund, Inc. (the “CRMC Stockholder”). Capital Research and Management Company (“CRMC”) is the investment adviser for the CRMC Stockholder. CII is a division of CRMC and is deemed to be the beneficial owner of the shares held by the CRMC Stockholder. The business address for each of CII, the CRMC Stockholder and CRMC is 333 South Hope Street, Los Angeles, CA 90071. The CRMC Stockholder acquired the securities described above in the ordinary course of its business.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the Schedule 13G filed with the SEC on November 14, 2024 by Cormorant Asset Management, LP (“Cormorant Management”) and Bihua Chen. Consists of 2,940,921 shares of common stock held by certain funds (the “Cormorant Funds”). Cormorant Management serves as the investment manager to the Cormorant Funds, and Ms. Chen serves as the managing member of Cormorant Management. Ms. Chen may be deemed to beneficially own the shares held by the Cormorant Funds. The business address of the Cormorant Funds, Cormorant and Ms. Chen is 200 Clarendon Street, 52nd Floor, Boston, MA 02116.</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the Schedule 13G/A filed with the SEC on November 12, 2024 by FMR LLC and Abigail P. Johnson. Consists of 5,486,468 shares of common stock held by FMR LLC. All of the shares of common stock are beneficially owned, or may be deemed to be beneficially owned, by FMR LLC, certain of its subsidiaries and affiliates, and other companies.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p>
    <w:p>
      <w:pPr>
        <w:spacing w:after="0" w:line="3"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the Schedule 13G filed with the SEC on October 18, 2024 by Johnson &amp; Johnson (“J&amp;J”) and Johnson &amp; Johnson Innovation-JJDC, Inc. (“JJDC”). Consists of 2,498,051 shares of common stock held by JJDC. JJDC is a wholly-owned subsidiary of J&amp;J. J&amp;J may be deemed to indirectly beneficially own the securities that are directly beneficially owned by JJDC. The principal business address of J&amp;J is One Johnson &amp; Johnson Plaza, New Brunswick, NJ 08933, and the principal business address of JJDC is 410 George Street, New Brunswick, NJ 08901.</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the Schedule 13D filed with the SEC on June 14, 2024 by Sofinnova Venture Partners XI, L.P. (“SVP XI”), Sofinnova Management XI, L.P. (“SM XI LP”), Sofinnova Management XI, L.L.C. (“SM XI LLC”), Dr. James I. Healy and Dr. Maha Katabi. Consists of: (i) 1,863,327 shares of common stock held by SVP XI, except that SM XI LP, the general partner of SVP XI, may be deemed to have sole voting power, SM XI LLC, the general partner of SM XI LP, may be deemed to have sole voting power, and Dr. Healy and Dr. Katabi, the managing members of SM XI LLC, may be deemed to have shared power to vote these shares; (ii) 18,641 shares of common stock held by Sofinnova Synergy Master Fund LP (“Synergy Fund”); (iii) 17,861 shares of common stock held by Crestline Summit Master, SPC – Crestline Summit Apex SP (“Apex SP”); (iv) 26,278 shares of common stock held by Crestline Summit Master, SPC – PEAK SP (“Peak SP”); and (v) 25,455 shares of common stock held by Crestline Summit Pinnacle Master, L.P. ( “Pinnacle LP”). SM XI LP, the general partner of SVP XI, and SM XI LLC, the general partner of SM XI LP, may be deemed to have sole voting power over the shares owned by SVP XI, and Dr. Healy, a managing member of SM XI LLC, and a director of the Company, may be deemed to have shared power to vote these shares. Sofinnova Synergy Fund GP, LLC (“Synergy GP”), the general partner of each of Synergy Fund, Apex SP, Peak SP and Pinnacle LP, may be deemed to have sole voting power over the shares owned by Synergy Fund, Apex SP, Peak SP and Pinnacle LP, and Healy, a managing member of Synergy GP, may be deemed to have shared power to vote these shares. Each of SM XI LP, SM XI LLC, Dr. Healy and Dr. Katabi disclaim beneficial ownership of the shares held by SVP XI, except to the extent of their respective pecuniary interest therein. The principal address for the entities and individuals named in this paragraph is 3000 Sand Hill Road, Building 4, Suite 250, Menlo Park, CA 94025.</w:t>
      </w:r>
    </w:p>
    <w:p>
      <w:pPr>
        <w:spacing w:after="0" w:line="11"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herein is based on the Schedule 13G filed with the SEC on February 13, 2025 by Third Rock Ventures V, L.P. (“TRV V”), Third Rock Ventures GP V, L.P. (“TRV GP V”), TRV GP V, LLC (“TRV GP V LLC”), Third Rock Ventures VI, L.P. (“TRV VI”), Third Rock Ventures GP VI, L.P. (“TRV GP VI”) and TRV GP VI, LLC (“TRV GP VI LLC”). Consists of: (i) 7,135,233 shares of common stock directly owned by TRV V (the “V Shares”) and (ii) 969,218 shares of common stock directly owned by TRV VI (the “VI Shares”). The sole general partner of TRV V</w:t>
      </w:r>
    </w:p>
    <w:p>
      <w:pPr>
        <w:ind w:left="540" w:right="4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 TRV GP V. The sole general partner of TRV GP V is TRV GP V LLC. The sole general partner of TRV VI is TRV GP VI. The sole general partner of TRV GP VI is TRV GP VI LLC. The principal address for the entities and individuals named in this paragraph is 201 Brookline Avenue, Suite 1401, Boston, Massachusetts 02215.</w:t>
      </w:r>
    </w:p>
    <w:p>
      <w:pPr>
        <w:spacing w:after="0" w:line="1" w:lineRule="exact"/>
        <w:rPr>
          <w:rFonts w:ascii="Times New Roman" w:cs="Times New Roman" w:eastAsia="Times New Roman" w:hAnsi="Times New Roman"/>
          <w:sz w:val="17"/>
          <w:szCs w:val="17"/>
          <w:color w:val="auto"/>
        </w:rPr>
      </w:pPr>
    </w:p>
    <w:p>
      <w:pPr>
        <w:ind w:left="540" w:right="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626,247 shares of common stock (including shares of unvested restricted common stock) held by Mr. Ceesay, (ii) 372,336 shares of common stock underlying options exercisable by Mr. Ceesay within 60 days of April 21, 2025, (iii) 81,729 shares of common stock held by The Ceesay Family Irrevocable Trust u/t/d March 27, 2024 and (iv) 81,729 shares of common stock held by The Dorothy Ceesay Irrevocable Trust u/t/d dated March 27,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 shares of common stock and (ii) 199,102 shares of common stock underlying options exercisable within 60 days of April 21, 2025.</w:t>
      </w:r>
    </w:p>
    <w:p>
      <w:pPr>
        <w:ind w:left="540" w:right="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111,418 shares of common stock and (ii) 26,889 shares of common stock underlying options exercisable within 60 days of April 21, 2025.</w:t>
      </w: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shares of common stock underlying options exercisable within 60 days of April 21, 2025.</w:t>
      </w:r>
    </w:p>
    <w:p>
      <w:pPr>
        <w:spacing w:after="0" w:line="9"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477,642 shares of common stock (including shares of unvested restricted common stock) and (ii) 64,471 shares of common stock underlying options exercisable within 60 days of April 21, 2025.</w:t>
      </w:r>
    </w:p>
    <w:p>
      <w:pPr>
        <w:ind w:left="540" w:right="4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6,000 shares of common stock and (ii) 972 shares of common stock underlying options exercisable within 60 days of April 21, 2025.</w:t>
      </w:r>
    </w:p>
    <w:p>
      <w:pPr>
        <w:jc w:val="both"/>
        <w:ind w:left="540" w:right="680" w:hanging="424"/>
        <w:spacing w:after="0" w:line="25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4,144,323 shares of common stock (including unvested restricted common stock) and (ii) 934,196 shares of common stock underlying options exercisable within 60 days of April 21, 2025 held or beneficially owned by our current executive officers, Mr. Ceesay, Mr. Ignelzi, Dr. Bredt, Dr. Sevigny, Ms. Gault and Dr. Yeleswaram, and current directors.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for 2026 Annual Meeting</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To be considered for inclusion in next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stockholder proposals pursuant to Rule 14a-8 under the Exchange Act must be received by our corporate secretary, at Rapport Therapeutics, Inc. no later than December 25, 2025, which is one hundred twenty (120) days prior to April 24, 2026. Through May 30, 2025, all proposals should be addressed to: Corporate Secretary, 1325 Boylston Street, Suite 401, Boston, MA 02215. After May 30, 2025, stockholder proposals should be addressed to 99 High Street, Suite 21200, Boston, MA 02110.</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or Director Nominations to be Brought Before an Annual Meeting</w:t>
      </w:r>
      <w:r>
        <w:rPr>
          <w:rFonts w:ascii="Times New Roman" w:cs="Times New Roman" w:eastAsia="Times New Roman" w:hAnsi="Times New Roman"/>
          <w:sz w:val="18"/>
          <w:szCs w:val="18"/>
          <w:color w:val="auto"/>
        </w:rPr>
        <w:t>. Our amended and restated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for stockholder nominations to our Board or other proposals to be considered at an annual meeting, the stockholder must have given timely notice thereof in writing. Through May 30, 2025, stockholder nominations should be addressed to: Corporate Secretary, Rapport Therapeutics, Inc., 1325 Boylston Street, Suite 401, Boston, MA 02215. After May 30, 2025, stockholder nominations should be addressed to: Corporate Secretary, Rapport Therapeutics, Inc., 99 High Street, Suite 21200, Boston, MA 02110. To be timely for the 2026 annual meeting, the stockholder’s notice must be delivered to or mailed and received by us not before February 17, 2026 or after March 19, 2026, which is not more than one hundred twenty (120) days, and not less than ninety (90) days before the one-year anniversary date of the Annual Meeting, except that if the 2026 annual meeting of stockholders is more than thirty (30) days before or sixty (60) days after the one-year anniversary date of the Annual Meeting, we must receive the notice not later than ninety (90) days prior to the 2026 annual meeting date or the tenth (10th) day following the day on which public announcement of the date of the 2026 annual meeting is first made. Such notice must provide the information required by our amended and rested bylaws with respect to each matter the stockholder proposes to bring before the 2026 annual meeting.</w:t>
      </w:r>
    </w:p>
    <w:p>
      <w:pPr>
        <w:spacing w:after="0" w:line="194"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the Company’s nominees must provide notice to the Company in accordance with the additional requirements set forth in Rule 14a-19(b), which, among other things, requires that notice be postmarked or transmitted electronically to our principal executive offices by no later than May 4, 2025 for director nominations to be brought before the Annual Meeting, which is ten calendar days following the date of this proxy statement, which is the day on which public announcement of the date of the Annual Meeting is first being made. For director nominations to be brought before the 2026 annual meeting, notice must be postmarked or transmitted electronically to our principal executive offices by no later than April 18, 2026, which is sixty (60) days before the one-year anniversary date of the Annual Meeting, except that if the 2026 annual meeting is more than thirty (30) days before or after the anniversary date of the Annual Meeting, then notice must be provided by the later of sixty (60) days prior to the date of the 2026 annual meeting or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announcement of the date of the annual meeting is first made.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written request, the Company will provide without charge to each stockholder who does not otherwise receive a copy of our Company’s annual report to stockholders a copy of our Annual Report on Form 10-K for the fiscal year ended December 31, 2024, as filed with the SEC, except for exhibits.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address all requests through May 30, 2025 to: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1325 Boylston Street, Suite 401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address all requests after May 30, 2025 to:</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 High Street, Suite 21200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Boston, MA 02110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notices, annual reports, proxy statements and information statements.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the notice or proxy materials was delivered. You may make a written or oral request by sending a notification to our corporate secretary at the address above, providing your name, your shared address, and the address to which we should direct the additional copy of the notice or proxy materials. Multiple stockholders sharing an address who have received one copy of a mailing and would prefer us to mail each stockholder a separate copy of future mailings should contact us at our principal executive offices, by writing to Corporate Secretary, Rapport Therapeutics, Inc., 1325 Boylston Street, Suite 401, Boston, MA 02215 or calling (857) 321-8020. Additionally, if current stockholders with a shared address received multiple copies of a mailing and would prefer us to mail one copy of future mailings to stockholders at the shared address, notification of that request may also be made through our principal executive offices, by writing to Corporate Secretary, Rapport Therapeutics, Inc., 1325 Boylston Street, Suite 401, Boston, MA 02215 or calling (857) 321-8020. Stockholders who participate in householding will continue to have access to and utilize separate proxy voting instructions.</w:t>
      </w: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371475</wp:posOffset>
            </wp:positionV>
            <wp:extent cx="1097280"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9728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i w:val="1"/>
          <w:iCs w:val="1"/>
          <w:color w:val="auto"/>
        </w:rPr>
        <w:t>RAPPORT THERAPEUTICS, INC.</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1325 BOYLSTON STREET, SUITE 401</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i w:val="1"/>
          <w:iCs w:val="1"/>
          <w:color w:val="auto"/>
        </w:rPr>
        <w:t>BOSTON, MA 02215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2080" w:firstLine="1"/>
        <w:spacing w:after="0" w:line="586" w:lineRule="auto"/>
        <w:tabs>
          <w:tab w:leader="none" w:pos="54" w:val="left"/>
        </w:tabs>
        <w:numPr>
          <w:ilvl w:val="0"/>
          <w:numId w:val="37"/>
        </w:numPr>
        <w:rPr>
          <w:rFonts w:ascii="Times New Roman" w:cs="Times New Roman" w:eastAsia="Times New Roman" w:hAnsi="Times New Roman"/>
          <w:sz w:val="6"/>
          <w:szCs w:val="6"/>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1"/>
          <w:szCs w:val="1"/>
          <w:color w:val="auto"/>
        </w:rPr>
        <w:drawing>
          <wp:inline distT="0" distB="0" distL="0" distR="0">
            <wp:extent cx="1877060" cy="4629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77060" cy="462915"/>
                    </a:xfrm>
                    <a:prstGeom prst="rect">
                      <a:avLst/>
                    </a:prstGeom>
                    <a:noFill/>
                    <a:ln>
                      <a:noFill/>
                    </a:ln>
                  </pic:spPr>
                </pic:pic>
              </a:graphicData>
            </a:graphic>
          </wp:inline>
        </w:drawing>
      </w:r>
      <w:r>
        <w:rPr>
          <w:rFonts w:ascii="Times New Roman" w:cs="Times New Roman" w:eastAsia="Times New Roman" w:hAnsi="Times New Roman"/>
          <w:sz w:val="6"/>
          <w:szCs w:val="6"/>
          <w:i w:val="1"/>
          <w:iCs w:val="1"/>
          <w:color w:val="auto"/>
        </w:rPr>
        <w:t xml:space="preserv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b w:val="1"/>
          <w:bCs w:val="1"/>
          <w:color w:val="auto"/>
        </w:rPr>
        <w:t xml:space="preserve">VOTE BY INTERNET </w:t>
      </w:r>
      <w:r>
        <w:rPr>
          <w:rFonts w:ascii="Times New Roman" w:cs="Times New Roman" w:eastAsia="Times New Roman" w:hAnsi="Times New Roman"/>
          <w:sz w:val="11"/>
          <w:szCs w:val="11"/>
          <w:color w:val="auto"/>
        </w:rPr>
        <w:t>- Go to</w:t>
      </w:r>
      <w:r>
        <w:rPr>
          <w:rFonts w:ascii="Times New Roman" w:cs="Times New Roman" w:eastAsia="Times New Roman" w:hAnsi="Times New Roman"/>
          <w:sz w:val="11"/>
          <w:szCs w:val="11"/>
          <w:b w:val="1"/>
          <w:bCs w:val="1"/>
          <w:color w:val="auto"/>
        </w:rPr>
        <w:t xml:space="preserve"> www.proxyvote.com</w:t>
      </w:r>
    </w:p>
    <w:p>
      <w:pPr>
        <w:spacing w:after="0" w:line="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1"/>
          <w:szCs w:val="11"/>
          <w:color w:val="auto"/>
        </w:rPr>
        <w:t>Use the Internet to transmit your voting instructions and for electronic delivery of information up until 11:59 p.m. Eastern Time on June 16, 2025. Have your proxy card in hand when you access the web site and follow the instructions to obtain your records and to create an electronic voting instruction form.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VOTE BY PHONE - 1-800-690-6903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Use any touch-tone telephone to transmit your voting instructions up until 11:59 p.m. Eastern Time on June 16,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Have your proxy card in hand when you call and then follow the instructions.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VOTE BY MAIL</w:t>
      </w:r>
    </w:p>
    <w:p>
      <w:pPr>
        <w:spacing w:after="0" w:line="9"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1"/>
          <w:szCs w:val="11"/>
          <w:color w:val="auto"/>
        </w:rPr>
        <w:t>Mark, sign and date your proxy card and return it in the postage-paid envelope we have provided or return it to Vote Processing, c/o Broadridge, 51 Mercedes Way, Edgewood, NY 11717.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VOTE BY QR CODE</w:t>
      </w:r>
    </w:p>
    <w:p>
      <w:pPr>
        <w:spacing w:after="0" w:line="9"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1"/>
          <w:szCs w:val="11"/>
          <w:color w:val="auto"/>
        </w:rPr>
        <w:t>You may vote by scanning the QR code above with your mobile device. Votes submitted by scanning the QR code must be received by no later than 11:59 p.m. Eastern Time on June 16,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During The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VOTE BY INTERNET </w:t>
      </w:r>
      <w:r>
        <w:rPr>
          <w:rFonts w:ascii="Times New Roman" w:cs="Times New Roman" w:eastAsia="Times New Roman" w:hAnsi="Times New Roman"/>
          <w:sz w:val="11"/>
          <w:szCs w:val="11"/>
          <w:color w:val="auto"/>
        </w:rPr>
        <w:t>- Go to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b w:val="1"/>
          <w:bCs w:val="1"/>
          <w:u w:val="single" w:color="auto"/>
          <w:color w:val="auto"/>
        </w:rPr>
        <w:t>www.virtualshareholdermeeting.com/RAPP2025</w:t>
      </w:r>
    </w:p>
    <w:p>
      <w:pPr>
        <w:spacing w:after="0" w:line="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1"/>
          <w:szCs w:val="11"/>
          <w:color w:val="auto"/>
        </w:rPr>
        <w:t>You may attend the meeting via the Internet and vote during the meeting. Have the information that is printed in the box marked by the arrow available and follow the instructions.</w:t>
      </w:r>
    </w:p>
    <w:p>
      <w:pPr>
        <w:spacing w:after="0" w:line="200" w:lineRule="exact"/>
        <w:rPr>
          <w:sz w:val="20"/>
          <w:szCs w:val="20"/>
          <w:color w:val="auto"/>
        </w:rPr>
      </w:pPr>
    </w:p>
    <w:p>
      <w:pPr>
        <w:sectPr>
          <w:pgSz w:w="11900" w:h="16838" w:orient="portrait"/>
          <w:cols w:equalWidth="0" w:num="2">
            <w:col w:w="5240" w:space="720"/>
            <w:col w:w="518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p>
      <w:pPr>
        <w:ind w:left="6780"/>
        <w:spacing w:after="0"/>
        <w:tabs>
          <w:tab w:leader="none" w:pos="8640" w:val="left"/>
        </w:tabs>
        <w:rPr>
          <w:sz w:val="20"/>
          <w:szCs w:val="20"/>
          <w:color w:val="auto"/>
        </w:rPr>
      </w:pPr>
      <w:r>
        <w:rPr>
          <w:rFonts w:ascii="Times New Roman" w:cs="Times New Roman" w:eastAsia="Times New Roman" w:hAnsi="Times New Roman"/>
          <w:sz w:val="13"/>
          <w:szCs w:val="13"/>
          <w:color w:val="auto"/>
        </w:rPr>
        <w:t>V68856-P24981</w:t>
      </w:r>
      <w:r>
        <w:rPr>
          <w:sz w:val="20"/>
          <w:szCs w:val="20"/>
          <w:color w:val="auto"/>
        </w:rPr>
        <w:tab/>
      </w:r>
      <w:r>
        <w:rPr>
          <w:rFonts w:ascii="Times New Roman" w:cs="Times New Roman" w:eastAsia="Times New Roman" w:hAnsi="Times New Roman"/>
          <w:sz w:val="12"/>
          <w:szCs w:val="12"/>
          <w:color w:val="auto"/>
        </w:rPr>
        <w:t>KEEP THIS PORTION FOR YOUR RECORDS</w:t>
      </w:r>
    </w:p>
    <w:p>
      <w:pPr>
        <w:jc w:val="right"/>
        <w:ind w:right="4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jc w:val="right"/>
        <w:spacing w:after="0" w:line="236" w:lineRule="auto"/>
        <w:rPr>
          <w:sz w:val="20"/>
          <w:szCs w:val="20"/>
          <w:color w:val="auto"/>
        </w:rPr>
      </w:pPr>
      <w:r>
        <w:rPr>
          <w:rFonts w:ascii="Times New Roman" w:cs="Times New Roman" w:eastAsia="Times New Roman" w:hAnsi="Times New Roman"/>
          <w:sz w:val="13"/>
          <w:szCs w:val="13"/>
          <w:color w:val="auto"/>
        </w:rPr>
        <w:t>DETACH AND RETURN THIS PORTION ONLY</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69215</wp:posOffset>
            </wp:positionV>
            <wp:extent cx="7003415" cy="39255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3415" cy="39255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RAPPORT THERAPEUTICS, INC.</w:t>
      </w:r>
    </w:p>
    <w:p>
      <w:pPr>
        <w:spacing w:after="0" w:line="123"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w:t>
      </w:r>
    </w:p>
    <w:p>
      <w:pPr>
        <w:spacing w:after="0" w:line="80" w:lineRule="exact"/>
        <w:rPr>
          <w:sz w:val="20"/>
          <w:szCs w:val="20"/>
          <w:color w:val="auto"/>
        </w:rPr>
      </w:pPr>
    </w:p>
    <w:p>
      <w:pPr>
        <w:ind w:left="820" w:right="20" w:hanging="287"/>
        <w:spacing w:after="0" w:line="261" w:lineRule="auto"/>
        <w:rPr>
          <w:sz w:val="20"/>
          <w:szCs w:val="20"/>
          <w:color w:val="auto"/>
        </w:rPr>
      </w:pPr>
      <w:r>
        <w:rPr>
          <w:rFonts w:ascii="Times New Roman" w:cs="Times New Roman" w:eastAsia="Times New Roman" w:hAnsi="Times New Roman"/>
          <w:sz w:val="14"/>
          <w:szCs w:val="14"/>
          <w:color w:val="auto"/>
        </w:rPr>
        <w:t>1.   To elect Reid Huber, Ph.D., John Maraganore, Ph.D., and Wendy B. Young, Ph.D. as Class I Directors.</w:t>
      </w:r>
    </w:p>
    <w:p>
      <w:pPr>
        <w:spacing w:after="0" w:line="53" w:lineRule="exact"/>
        <w:rPr>
          <w:sz w:val="20"/>
          <w:szCs w:val="20"/>
          <w:color w:val="auto"/>
        </w:rPr>
      </w:pPr>
    </w:p>
    <w:p>
      <w:pPr>
        <w:ind w:left="580" w:hanging="154"/>
        <w:spacing w:after="0"/>
        <w:tabs>
          <w:tab w:leader="none" w:pos="58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Nominees</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b w:val="1"/>
          <w:bCs w:val="1"/>
          <w:color w:val="auto"/>
        </w:rPr>
      </w:pPr>
    </w:p>
    <w:p>
      <w:pPr>
        <w:ind w:left="720" w:hanging="78"/>
        <w:spacing w:after="0"/>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01)   Reid Huber, Ph.D.</w:t>
      </w:r>
    </w:p>
    <w:p>
      <w:pPr>
        <w:spacing w:after="0" w:line="3" w:lineRule="exact"/>
        <w:rPr>
          <w:rFonts w:ascii="Times New Roman" w:cs="Times New Roman" w:eastAsia="Times New Roman" w:hAnsi="Times New Roman"/>
          <w:sz w:val="14"/>
          <w:szCs w:val="14"/>
          <w:color w:val="auto"/>
        </w:rPr>
      </w:pPr>
    </w:p>
    <w:p>
      <w:pPr>
        <w:ind w:left="720" w:hanging="78"/>
        <w:spacing w:after="0" w:line="221" w:lineRule="auto"/>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02)   John Maraganore, Ph.D.</w:t>
      </w:r>
    </w:p>
    <w:p>
      <w:pPr>
        <w:ind w:left="720" w:hanging="78"/>
        <w:spacing w:after="0"/>
        <w:tabs>
          <w:tab w:leader="none" w:pos="7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03)   Wendy B. Young, Ph.D.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tabs>
          <w:tab w:leader="none" w:pos="300" w:val="left"/>
          <w:tab w:leader="none" w:pos="940" w:val="left"/>
          <w:tab w:leader="none" w:pos="1580" w:val="left"/>
        </w:tabs>
        <w:rPr>
          <w:sz w:val="20"/>
          <w:szCs w:val="20"/>
          <w:color w:val="auto"/>
        </w:rPr>
      </w:pPr>
      <w:r>
        <w:rPr>
          <w:rFonts w:ascii="Times New Roman" w:cs="Times New Roman" w:eastAsia="Times New Roman" w:hAnsi="Times New Roman"/>
          <w:sz w:val="13"/>
          <w:szCs w:val="13"/>
          <w:b w:val="1"/>
          <w:bCs w:val="1"/>
          <w:color w:val="auto"/>
        </w:rPr>
        <w:t>For</w:t>
        <w:tab/>
        <w:t>Withhold</w:t>
        <w:tab/>
        <w:t>For All</w:t>
      </w:r>
      <w:r>
        <w:rPr>
          <w:sz w:val="20"/>
          <w:szCs w:val="20"/>
          <w:color w:val="auto"/>
        </w:rPr>
        <w:tab/>
      </w:r>
      <w:r>
        <w:rPr>
          <w:rFonts w:ascii="Times New Roman" w:cs="Times New Roman" w:eastAsia="Times New Roman" w:hAnsi="Times New Roman"/>
          <w:sz w:val="12"/>
          <w:szCs w:val="12"/>
          <w:color w:val="auto"/>
        </w:rPr>
        <w:t>To withhold authority to vote for any individual nominee(s),</w:t>
      </w:r>
    </w:p>
    <w:p>
      <w:pPr>
        <w:ind w:left="20"/>
        <w:spacing w:after="0" w:line="237" w:lineRule="auto"/>
        <w:tabs>
          <w:tab w:leader="none" w:pos="480" w:val="left"/>
          <w:tab w:leader="none" w:pos="960" w:val="left"/>
          <w:tab w:leader="none" w:pos="1580" w:val="left"/>
        </w:tabs>
        <w:rPr>
          <w:sz w:val="20"/>
          <w:szCs w:val="20"/>
          <w:color w:val="auto"/>
        </w:rPr>
      </w:pPr>
      <w:r>
        <w:rPr>
          <w:rFonts w:ascii="Times New Roman" w:cs="Times New Roman" w:eastAsia="Times New Roman" w:hAnsi="Times New Roman"/>
          <w:sz w:val="13"/>
          <w:szCs w:val="13"/>
          <w:b w:val="1"/>
          <w:bCs w:val="1"/>
          <w:color w:val="auto"/>
        </w:rPr>
        <w:t>All</w:t>
      </w:r>
      <w:r>
        <w:rPr>
          <w:sz w:val="20"/>
          <w:szCs w:val="20"/>
          <w:color w:val="auto"/>
        </w:rPr>
        <w:tab/>
      </w:r>
      <w:r>
        <w:rPr>
          <w:rFonts w:ascii="Times New Roman" w:cs="Times New Roman" w:eastAsia="Times New Roman" w:hAnsi="Times New Roman"/>
          <w:sz w:val="13"/>
          <w:szCs w:val="13"/>
          <w:b w:val="1"/>
          <w:bCs w:val="1"/>
          <w:color w:val="auto"/>
        </w:rPr>
        <w:t>All</w:t>
      </w:r>
      <w:r>
        <w:rPr>
          <w:sz w:val="20"/>
          <w:szCs w:val="20"/>
          <w:color w:val="auto"/>
        </w:rPr>
        <w:tab/>
      </w:r>
      <w:r>
        <w:rPr>
          <w:rFonts w:ascii="Times New Roman" w:cs="Times New Roman" w:eastAsia="Times New Roman" w:hAnsi="Times New Roman"/>
          <w:sz w:val="13"/>
          <w:szCs w:val="13"/>
          <w:b w:val="1"/>
          <w:bCs w:val="1"/>
          <w:color w:val="auto"/>
        </w:rPr>
        <w:t>Except</w:t>
      </w:r>
      <w:r>
        <w:rPr>
          <w:sz w:val="20"/>
          <w:szCs w:val="20"/>
          <w:color w:val="auto"/>
        </w:rPr>
        <w:tab/>
      </w:r>
      <w:r>
        <w:rPr>
          <w:rFonts w:ascii="Times New Roman" w:cs="Times New Roman" w:eastAsia="Times New Roman" w:hAnsi="Times New Roman"/>
          <w:sz w:val="12"/>
          <w:szCs w:val="12"/>
          <w:color w:val="auto"/>
        </w:rPr>
        <w:t>mark “For All Except” and write the number(s) of the</w:t>
      </w:r>
    </w:p>
    <w:p>
      <w:pPr>
        <w:ind w:left="1600"/>
        <w:spacing w:after="0"/>
        <w:rPr>
          <w:sz w:val="20"/>
          <w:szCs w:val="20"/>
          <w:color w:val="auto"/>
        </w:rPr>
      </w:pPr>
      <w:r>
        <w:rPr>
          <w:rFonts w:ascii="Times New Roman" w:cs="Times New Roman" w:eastAsia="Times New Roman" w:hAnsi="Times New Roman"/>
          <w:sz w:val="13"/>
          <w:szCs w:val="13"/>
          <w:color w:val="auto"/>
        </w:rPr>
        <w:t>nominee(s) on the line below.</w:t>
      </w:r>
    </w:p>
    <w:p>
      <w:pPr>
        <w:spacing w:after="0" w:line="1" w:lineRule="exact"/>
        <w:rPr>
          <w:sz w:val="20"/>
          <w:szCs w:val="20"/>
          <w:color w:val="auto"/>
        </w:rPr>
      </w:pPr>
    </w:p>
    <w:p>
      <w:pPr>
        <w:ind w:left="20"/>
        <w:spacing w:after="0" w:line="242" w:lineRule="exact"/>
        <w:tabs>
          <w:tab w:leader="none" w:pos="460" w:val="left"/>
          <w:tab w:leader="none" w:pos="1040" w:val="left"/>
          <w:tab w:leader="none" w:pos="15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MS PGothic" w:cs="MS PGothic" w:eastAsia="MS PGothic" w:hAnsi="MS PGothic"/>
          <w:sz w:val="22"/>
          <w:szCs w:val="22"/>
          <w:color w:val="auto"/>
        </w:rPr>
        <w:t>☐</w:t>
        <w:tab/>
        <w:t>☐</w:t>
      </w:r>
      <w:r>
        <w:rPr>
          <w:sz w:val="20"/>
          <w:szCs w:val="20"/>
          <w:color w:val="auto"/>
        </w:rPr>
        <w:tab/>
      </w:r>
      <w:r>
        <w:rPr>
          <w:rFonts w:ascii="Times New Roman" w:cs="Times New Roman" w:eastAsia="Times New Roman" w:hAnsi="Times New Roman"/>
          <w:sz w:val="11"/>
          <w:szCs w:val="11"/>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    </w:t>
      </w:r>
    </w:p>
    <w:p>
      <w:pPr>
        <w:spacing w:after="0" w:line="1342" w:lineRule="exact"/>
        <w:rPr>
          <w:sz w:val="20"/>
          <w:szCs w:val="20"/>
          <w:color w:val="auto"/>
        </w:rPr>
      </w:pPr>
    </w:p>
    <w:p>
      <w:pPr>
        <w:sectPr>
          <w:pgSz w:w="11900" w:h="16838" w:orient="portrait"/>
          <w:cols w:equalWidth="0" w:num="3">
            <w:col w:w="3900" w:space="620"/>
            <w:col w:w="5680" w:space="720"/>
            <w:col w:w="220"/>
          </w:cols>
          <w:pgMar w:left="320" w:top="482"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w:t>
      </w:r>
    </w:p>
    <w:p>
      <w:pPr>
        <w:spacing w:after="0" w:line="192" w:lineRule="exact"/>
        <w:rPr>
          <w:sz w:val="20"/>
          <w:szCs w:val="20"/>
          <w:color w:val="auto"/>
        </w:rPr>
      </w:pPr>
    </w:p>
    <w:p>
      <w:pPr>
        <w:ind w:left="820" w:right="80" w:hanging="287"/>
        <w:spacing w:after="0" w:line="261" w:lineRule="auto"/>
        <w:rPr>
          <w:sz w:val="20"/>
          <w:szCs w:val="20"/>
          <w:color w:val="auto"/>
        </w:rPr>
      </w:pPr>
      <w:r>
        <w:rPr>
          <w:rFonts w:ascii="Times New Roman" w:cs="Times New Roman" w:eastAsia="Times New Roman" w:hAnsi="Times New Roman"/>
          <w:sz w:val="14"/>
          <w:szCs w:val="14"/>
          <w:color w:val="auto"/>
        </w:rPr>
        <w:t>2.   To ratify the appointment of PricewaterhouseCoopers LLP as Rapport’s independent registered public accounting firm for the fiscal year ending December 31, 2025.</w:t>
      </w:r>
    </w:p>
    <w:p>
      <w:pPr>
        <w:spacing w:after="0" w:line="161"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In their discretion, the proxies are authorized to vote upon such other business as may properly come before the meeting or any continuations,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adjournments and postponements thereof.</w:t>
      </w:r>
    </w:p>
    <w:p>
      <w:pPr>
        <w:spacing w:after="0" w:line="17" w:lineRule="exact"/>
        <w:rPr>
          <w:sz w:val="20"/>
          <w:szCs w:val="20"/>
          <w:color w:val="auto"/>
        </w:rPr>
      </w:pPr>
    </w:p>
    <w:p>
      <w:pPr>
        <w:ind w:left="220"/>
        <w:spacing w:after="0"/>
        <w:tabs>
          <w:tab w:leader="none" w:pos="4380" w:val="left"/>
        </w:tabs>
        <w:rPr>
          <w:sz w:val="20"/>
          <w:szCs w:val="20"/>
          <w:color w:val="auto"/>
        </w:rPr>
      </w:pPr>
      <w:r>
        <w:rPr>
          <w:rFonts w:ascii="Times New Roman" w:cs="Times New Roman" w:eastAsia="Times New Roman" w:hAnsi="Times New Roman"/>
          <w:sz w:val="13"/>
          <w:szCs w:val="13"/>
          <w:color w:val="auto"/>
        </w:rPr>
        <w:t> </w:t>
      </w:r>
      <w:r>
        <w:rPr>
          <w:sz w:val="20"/>
          <w:szCs w:val="20"/>
          <w:color w:val="auto"/>
        </w:rPr>
        <w:tab/>
      </w: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br w:type="column"/>
      </w:r>
    </w:p>
    <w:p>
      <w:pPr>
        <w:jc w:val="center"/>
        <w:ind w:right="340"/>
        <w:spacing w:after="0"/>
        <w:tabs>
          <w:tab w:leader="none" w:pos="100" w:val="left"/>
          <w:tab w:leader="none" w:pos="100" w:val="left"/>
        </w:tabs>
        <w:rPr>
          <w:sz w:val="20"/>
          <w:szCs w:val="20"/>
          <w:color w:val="auto"/>
        </w:rPr>
      </w:pPr>
      <w:r>
        <w:rPr>
          <w:rFonts w:ascii="Times New Roman" w:cs="Times New Roman" w:eastAsia="Times New Roman" w:hAnsi="Times New Roman"/>
          <w:sz w:val="13"/>
          <w:szCs w:val="13"/>
          <w:b w:val="1"/>
          <w:bCs w:val="1"/>
          <w:color w:val="auto"/>
        </w:rPr>
        <w:t>For</w:t>
        <w:tab/>
        <w:t>Against</w:t>
      </w:r>
      <w:r>
        <w:rPr>
          <w:sz w:val="20"/>
          <w:szCs w:val="20"/>
          <w:color w:val="auto"/>
        </w:rPr>
        <w:tab/>
      </w:r>
      <w:r>
        <w:rPr>
          <w:rFonts w:ascii="Times New Roman" w:cs="Times New Roman" w:eastAsia="Times New Roman" w:hAnsi="Times New Roman"/>
          <w:sz w:val="12"/>
          <w:szCs w:val="12"/>
          <w:b w:val="1"/>
          <w:bCs w:val="1"/>
          <w:color w:val="auto"/>
        </w:rPr>
        <w:t>Abstain</w:t>
      </w:r>
    </w:p>
    <w:p>
      <w:pPr>
        <w:spacing w:after="0" w:line="160" w:lineRule="exact"/>
        <w:rPr>
          <w:sz w:val="20"/>
          <w:szCs w:val="20"/>
          <w:color w:val="auto"/>
        </w:rPr>
      </w:pPr>
    </w:p>
    <w:p>
      <w:pPr>
        <w:ind w:left="20"/>
        <w:spacing w:after="0" w:line="221" w:lineRule="exact"/>
        <w:tabs>
          <w:tab w:leader="none" w:pos="940" w:val="left"/>
          <w:tab w:leader="none" w:pos="1420" w:val="left"/>
        </w:tabs>
        <w:rPr>
          <w:sz w:val="20"/>
          <w:szCs w:val="20"/>
          <w:color w:val="auto"/>
        </w:rPr>
      </w:pPr>
      <w:r>
        <w:rPr>
          <w:rFonts w:ascii="MS PGothic" w:cs="MS PGothic" w:eastAsia="MS PGothic" w:hAnsi="MS PGothic"/>
          <w:sz w:val="22"/>
          <w:szCs w:val="22"/>
          <w:color w:val="auto"/>
        </w:rPr>
        <w:t>☐  ☐</w:t>
        <w:tab/>
        <w:t>☐</w:t>
      </w:r>
      <w:r>
        <w:rPr>
          <w:sz w:val="20"/>
          <w:szCs w:val="20"/>
          <w:color w:val="auto"/>
        </w:rPr>
        <w:tab/>
      </w:r>
      <w:r>
        <w:rPr>
          <w:rFonts w:ascii="Times New Roman" w:cs="Times New Roman" w:eastAsia="Times New Roman" w:hAnsi="Times New Roman"/>
          <w:sz w:val="12"/>
          <w:szCs w:val="12"/>
          <w:color w:val="auto"/>
          <w:vertAlign w:val="superscript"/>
        </w:rPr>
        <w:t> </w:t>
      </w:r>
    </w:p>
    <w:p>
      <w:pPr>
        <w:spacing w:after="0" w:line="33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3"/>
          <w:szCs w:val="13"/>
          <w:color w:val="auto"/>
        </w:rPr>
        <w:t> </w:t>
      </w:r>
    </w:p>
    <w:p>
      <w:pPr>
        <w:spacing w:after="0" w:line="564" w:lineRule="exact"/>
        <w:rPr>
          <w:sz w:val="20"/>
          <w:szCs w:val="20"/>
          <w:color w:val="auto"/>
        </w:rPr>
      </w:pPr>
    </w:p>
    <w:p>
      <w:pPr>
        <w:sectPr>
          <w:pgSz w:w="11900" w:h="16838" w:orient="portrait"/>
          <w:cols w:equalWidth="0" w:num="2">
            <w:col w:w="9200" w:space="340"/>
            <w:col w:w="16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3"/>
          <w:szCs w:val="13"/>
          <w:color w:val="auto"/>
        </w:rPr>
        <w:t xml:space="preserve">       </w:t>
      </w:r>
    </w:p>
    <w:p>
      <w:pPr>
        <w:sectPr>
          <w:pgSz w:w="11900" w:h="16838" w:orient="portrait"/>
          <w:cols w:equalWidth="0" w:num="1">
            <w:col w:w="11140"/>
          </w:cols>
          <w:pgMar w:left="320" w:top="482" w:right="439" w:bottom="1440" w:gutter="0" w:footer="0" w:header="0"/>
          <w:type w:val="continuous"/>
        </w:sectPr>
      </w:pPr>
    </w:p>
    <w:p>
      <w:pPr>
        <w:spacing w:after="0" w:line="80" w:lineRule="exact"/>
        <w:rPr>
          <w:sz w:val="20"/>
          <w:szCs w:val="20"/>
          <w:color w:val="auto"/>
        </w:rPr>
      </w:pPr>
    </w:p>
    <w:p>
      <w:pPr>
        <w:ind w:left="560"/>
        <w:spacing w:after="0" w:line="222" w:lineRule="auto"/>
        <w:rPr>
          <w:sz w:val="20"/>
          <w:szCs w:val="20"/>
          <w:color w:val="auto"/>
        </w:rPr>
      </w:pPr>
      <w:r>
        <w:rPr>
          <w:rFonts w:ascii="Times New Roman" w:cs="Times New Roman" w:eastAsia="Times New Roman" w:hAnsi="Times New Roman"/>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ind w:left="240"/>
        <w:spacing w:after="0" w:line="219" w:lineRule="auto"/>
        <w:rPr>
          <w:sz w:val="20"/>
          <w:szCs w:val="20"/>
          <w:color w:val="auto"/>
        </w:rPr>
      </w:pPr>
      <w:r>
        <w:rPr>
          <w:rFonts w:ascii="Times New Roman" w:cs="Times New Roman" w:eastAsia="Times New Roman" w:hAnsi="Times New Roman"/>
          <w:sz w:val="13"/>
          <w:szCs w:val="13"/>
          <w:color w:val="auto"/>
        </w:rPr>
        <w:t> </w:t>
      </w:r>
    </w:p>
    <w:p>
      <w:pPr>
        <w:ind w:left="460"/>
        <w:spacing w:after="0" w:line="183" w:lineRule="auto"/>
        <w:tabs>
          <w:tab w:leader="none" w:pos="3220" w:val="left"/>
        </w:tabs>
        <w:rPr>
          <w:sz w:val="20"/>
          <w:szCs w:val="20"/>
          <w:color w:val="auto"/>
        </w:rPr>
      </w:pPr>
      <w:r>
        <w:rPr>
          <w:rFonts w:ascii="Times New Roman" w:cs="Times New Roman" w:eastAsia="Times New Roman" w:hAnsi="Times New Roman"/>
          <w:sz w:val="43"/>
          <w:szCs w:val="43"/>
          <w:color w:val="auto"/>
          <w:vertAlign w:val="superscript"/>
        </w:rPr>
        <w:t> </w:t>
      </w:r>
      <w:r>
        <w:rPr>
          <w:sz w:val="20"/>
          <w:szCs w:val="20"/>
          <w:color w:val="auto"/>
        </w:rPr>
        <w:tab/>
      </w:r>
      <w:r>
        <w:rPr>
          <w:rFonts w:ascii="Times New Roman" w:cs="Times New Roman" w:eastAsia="Times New Roman" w:hAnsi="Times New Roman"/>
          <w:sz w:val="32"/>
          <w:szCs w:val="32"/>
          <w:color w:val="auto"/>
        </w:rPr>
        <w:t>  </w:t>
      </w:r>
    </w:p>
    <w:p>
      <w:pPr>
        <w:ind w:left="560"/>
        <w:spacing w:after="0"/>
        <w:tabs>
          <w:tab w:leader="none" w:pos="3340" w:val="left"/>
        </w:tabs>
        <w:rPr>
          <w:sz w:val="20"/>
          <w:szCs w:val="20"/>
          <w:color w:val="auto"/>
        </w:rPr>
      </w:pPr>
      <w:r>
        <w:rPr>
          <w:rFonts w:ascii="Times New Roman" w:cs="Times New Roman" w:eastAsia="Times New Roman" w:hAnsi="Times New Roman"/>
          <w:sz w:val="13"/>
          <w:szCs w:val="13"/>
          <w:color w:val="auto"/>
        </w:rPr>
        <w:t>Signature [PLEASE SIGN WITHIN BOX]</w:t>
      </w:r>
      <w:r>
        <w:rPr>
          <w:sz w:val="20"/>
          <w:szCs w:val="20"/>
          <w:color w:val="auto"/>
        </w:rPr>
        <w:tab/>
      </w:r>
      <w:r>
        <w:rPr>
          <w:rFonts w:ascii="Times New Roman" w:cs="Times New Roman" w:eastAsia="Times New Roman" w:hAnsi="Times New Roman"/>
          <w:sz w:val="12"/>
          <w:szCs w:val="12"/>
          <w:color w:val="auto"/>
        </w:rPr>
        <w:t xml:space="preserve">         Date 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Signature (Joint Owners)                                         Date </w:t>
      </w:r>
    </w:p>
    <w:p>
      <w:pPr>
        <w:sectPr>
          <w:pgSz w:w="11900" w:h="16838" w:orient="portrait"/>
          <w:cols w:equalWidth="0" w:num="2">
            <w:col w:w="5260" w:space="120"/>
            <w:col w:w="5760"/>
          </w:cols>
          <w:pgMar w:left="320" w:top="482" w:right="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Notice, Proxy Statement and 2024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spacing w:after="0" w:line="48"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3"/>
          <w:szCs w:val="13"/>
          <w:color w:val="auto"/>
        </w:rPr>
        <w:t xml:space="preserve">V68857-P24981 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24130</wp:posOffset>
            </wp:positionV>
            <wp:extent cx="7003415" cy="384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3848735"/>
                    </a:xfrm>
                    <a:prstGeom prst="rect">
                      <a:avLst/>
                    </a:prstGeom>
                    <a:noFill/>
                  </pic:spPr>
                </pic:pic>
              </a:graphicData>
            </a:graphic>
          </wp:anchor>
        </w:drawing>
      </w:r>
    </w:p>
    <w:p>
      <w:pPr>
        <w:spacing w:after="0" w:line="29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RAPPORT THERAPEUTICS, INC.</w:t>
      </w:r>
    </w:p>
    <w:p>
      <w:pPr>
        <w:spacing w:after="0" w:line="2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JUNE 17, 2025 9:30 AM ET</w:t>
      </w:r>
    </w:p>
    <w:p>
      <w:pPr>
        <w:spacing w:after="0" w:line="19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w:t>
      </w:r>
    </w:p>
    <w:p>
      <w:pPr>
        <w:spacing w:after="0" w:line="200" w:lineRule="exact"/>
        <w:rPr>
          <w:sz w:val="20"/>
          <w:szCs w:val="20"/>
          <w:color w:val="auto"/>
        </w:rPr>
      </w:pPr>
    </w:p>
    <w:p>
      <w:pPr>
        <w:spacing w:after="0" w:line="262" w:lineRule="exact"/>
        <w:rPr>
          <w:sz w:val="20"/>
          <w:szCs w:val="20"/>
          <w:color w:val="auto"/>
        </w:rPr>
      </w:pPr>
    </w:p>
    <w:p>
      <w:pPr>
        <w:ind w:left="540" w:right="280"/>
        <w:spacing w:after="0" w:line="281" w:lineRule="auto"/>
        <w:rPr>
          <w:sz w:val="20"/>
          <w:szCs w:val="20"/>
          <w:color w:val="auto"/>
        </w:rPr>
      </w:pPr>
      <w:r>
        <w:rPr>
          <w:rFonts w:ascii="Times New Roman" w:cs="Times New Roman" w:eastAsia="Times New Roman" w:hAnsi="Times New Roman"/>
          <w:sz w:val="17"/>
          <w:szCs w:val="17"/>
          <w:color w:val="auto"/>
        </w:rPr>
        <w:t>The stockholder(s) hereby appoint(s) Abraham N. Ceesay and Troy Ignelzi, or either of them, as proxies, each with the power to appoint his substitute, and hereby authorize(s) them to represent and to vote, as designated on the reverse side of this ballot, all of the shares of Common Stock of RAPPORT THERAPEUTICS, INC. that the stockholder(s) is/are entitled to vote at the Annual Meeting to be held at 9:30 AM ET, on June 17, 2025, virtually at www.virtualshareholdermeeting.com/RAPP2025, and any continuations, adjournments and postponements thereof.</w:t>
      </w:r>
    </w:p>
    <w:p>
      <w:pPr>
        <w:spacing w:after="0" w:line="200" w:lineRule="exact"/>
        <w:rPr>
          <w:sz w:val="20"/>
          <w:szCs w:val="20"/>
          <w:color w:val="auto"/>
        </w:rPr>
      </w:pPr>
    </w:p>
    <w:p>
      <w:pPr>
        <w:spacing w:after="0" w:line="203" w:lineRule="exact"/>
        <w:rPr>
          <w:sz w:val="20"/>
          <w:szCs w:val="20"/>
          <w:color w:val="auto"/>
        </w:rPr>
      </w:pPr>
    </w:p>
    <w:p>
      <w:pPr>
        <w:ind w:left="540" w:right="3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sectPr>
      <w:pgSz w:w="11900" w:h="16838" w:orient="portrait"/>
      <w:cols w:equalWidth="0" w:num="1">
        <w:col w:w="11100"/>
      </w:cols>
      <w:pgMar w:left="320" w:top="48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4"/>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
      <w:numFmt w:val="bullet"/>
      <w:start w:val="1"/>
    </w:lvl>
    <w:lvl w:ilvl="1">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3"/>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lowerRoman"/>
      <w:start w:val="4"/>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6"/>
    </w:lvl>
  </w:abstractNum>
  <w:abstractNum w:abstractNumId="36">
    <w:nsid w:val="7724C67E"/>
    <w:multiLevelType w:val="hybridMultilevel"/>
    <w:lvl w:ilvl="0">
      <w:lvlJc w:val="left"/>
      <w:lvlText w:val=" "/>
      <w:numFmt w:val="bullet"/>
      <w:start w:val="1"/>
    </w:lvl>
  </w:abstractNum>
  <w:abstractNum w:abstractNumId="37">
    <w:nsid w:val="5C482A97"/>
    <w:multiLevelType w:val="hybridMultilevel"/>
    <w:lvl w:ilvl="0">
      <w:lvlJc w:val="left"/>
      <w:lvlText w:val=" "/>
      <w:numFmt w:val="bullet"/>
      <w:start w:val="1"/>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2025-04-24T05:21:06Z</dcterms:created>
  <dcterms:modified xsi:type="dcterms:W3CDTF">2025-04-24T05:21:06Z</dcterms:modified>
</cp:coreProperties>
</file>