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Yeleswaram Krishnaswamy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RAPPORT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99 HIGH STREET, SUITE 2100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Rapport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RAPP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Development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79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404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49.9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246,022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transactions were effected by the Reporting Person pursuant to a Rule 10b5-1 trading plan adopted on December 10, 2025.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Troy Ignelzi,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022156" TargetMode="External"/><Relationship Id="rId5" Type="http://schemas.openxmlformats.org/officeDocument/2006/relationships/hyperlink" Target="http://www.sec.gov/cgi-bin/browse-edgar?action=getcompany&amp;CIK=000201259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587</Words>
  <Characters>3220</Characters>
  <CharactersWithSpaces>3739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