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Rapport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Cormorant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2,657,521.00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2,657,521.00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2,657,521.00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Bihua Chen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2,657,521.00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2,657,521.00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2,657,521.00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Rapport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 High Street, Suite 2100, Boston, Massachusetts 02110</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Cormorant Asset Management, LP Bihua Chen This statement is filed by (i) Cormorant Asset Management, LP, a 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50th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2,657,521</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5.56%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2,657,521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2,657,521 The percentages reported herein with respect to the Reporting Persons' holdings are calculated based upon a statement in the Issuer's Quarterly Report on Form 10-Q for the quarterly period ended March 31, 2026, as filed with the Securities and Exchange Commission on May 7, 2026, that there were 47,826,929 shares of Common Stock of the Issuer outstanding as of May 4,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Bihua Chen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incorporated by reference to the Joint Filing Statement included with the Schedule 13G filed by the Reporting Persons on June 20,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1063</Words>
  <Characters>5509</Characters>
  <CharactersWithSpaces>6542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