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RAPPORT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001-42121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88-0724208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1325 Boylston Street, Suite 401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(857) 321-8020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8"/>
              </w:rPr>
              <w:t>Trade</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RAPP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6, 2024, Rapport Therapeutics, Inc. (the “Company”) entered into Stock Purchase Agreements (the “Purchase Agreements”) with Sofinnova Venture Partners, XI, L.P. and affiliates of Goldman Sachs &amp; Co. LLC (collectively, the “Purchasers”), including certain investment funds managed by Goldman Sachs &amp; Co. LLC, each of which were existing stockholders of the Company, for the purchase of an aggregate of 1,058,824 shares of its common stock, par value $0.001 (“Common Stock”), at a per share price equal to the initial public offering (“IPO”) price of $17.00 per share, through a private placement financing (the “Private Placement”), which took place concurrently with the IPO of the Company’s Common Stock.</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Goldman Sachs &amp; Co. LLC, Jefferies LLC, TD Securities (USA) LLC and Stifel, Nicolaus &amp; Company, Incorporated acted as placement agents (together, the “Placement Agents”) for the Private Placement, which closed on June 10, 2024. The Company entered into a letter agreement with the Placement Agents pursuant to which the Placement Agents agreed to act as placement agents for the Private Placement and the Company agreed to pay a placement agent fee equal to 7.0% of the total purchase price of the shares sold in the Private Placement.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with Sofinnova Venture Partners XI, L.P. (“Sofinnova”), Sofinnova is entitled to certain registration rights. If, following the one year anniversary of the date of effectiveness of the Company’s IPO registration statement, the shares issued to Sofinnova in the Private Placement cannot be sold without restriction pursuant to Rule 144 of the Securities Act of 1933, as amended (the “Securities Act”), then upon Sofinnova’s request, received within 30 days of such anniversary, the Company has agreed to use commercially reasonable efforts to register such shares for resale on a registration statement on Form S-3 to be filed with the Securities and Exchange Commission. The Purchase Agreements also contain customary representations, warranties and agreements by the Company and the Purchasers.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description of the Purchase Agreements does not purport to be complete and is qualified in its entirety by reference to the full text of the form of Purchase Agreement, which is filed as Exhibit 10.1 to this Current Report on Form 8-K and is incorporated herein by reference. The representations, warranties and covenants contained in the Purchase Agreements were made solely for the benefit of the parties to thereto and may be subject to limitations agreed upon by the contracting parties. Accordingly, the Purchase Agreements are incorporated herein by reference only to provide investors with information regarding the terms thereof and not to provide investors with any other factual information regarding the Company or its business.</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To the extent required by Item 3.02 of Form 8-K, the information regarding the Common Stock sold in the Private Placement set forth under Item 1.01 of this Current Report on Form 8-K is incorporated by reference in this Item 3.02. The Common Stock issued and sold in the Private Placement has not been registered under the Securities Act, or applicable state securities laws, and was issued and sold pursuant to Section 4(a)(2) of the Securities Act.</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Each of the Purchasers has represented that it is an “institutional accredited investor” within the meaning of Rule 501 of Regulation D under the Securities Act, and is acquiring the Common Stock for investment purposes only and not with a view to any public distribution or with any intention of selling, distributing or otherwise disposing of the Common Stock in a manner that would violate the registration requirements of the Securities Act. The Common Stock was offered without any general solicitation by the Company or its representatives.</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Certification of Incorporation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previously disclosed in the Registration Statement on Form S-1, as amended (File No. 333-279486) (the “Registration Statement”), of the Company, and in connection with the completion of the IPO, the Company filed its third amended and restated certificate of incorporation (the “Amended and Restated Certificate”) with the Secretary of State of the State of Delaware. The Company’s board of directors (the “Board”) and the Company’s stockholders previously approved the Amended and Restated Certificate to be filed in connection with, and to be effective immediately prior to, the completion of the IPO. The Amended and Restated Certificate amended and restated the Company’s second amended and restated certificate of incorporation, as amended, in its entirety to, among other things: (i) authorize 500,000,000 shares of Common Stock; (ii) eliminate all references to the previously-existing series of preferred stock; and (iii) authorize 10,000,000 shares of undesignated preferred stock that may be issued from time to time by the Board in one or more series.</w:t>
      </w:r>
    </w:p>
    <w:p>
      <w:pPr>
        <w:sectPr>
          <w:pgSz w:w="11900" w:h="16838" w:orient="portrait"/>
          <w:cols w:equalWidth="0" w:num="1">
            <w:col w:w="11000"/>
          </w:cols>
          <w:pgMar w:left="440" w:top="266" w:right="459" w:bottom="1440" w:gutter="0" w:footer="0" w:header="0"/>
        </w:sectPr>
      </w:pPr>
    </w:p>
    <w:bookmarkStart w:id="2" w:name="page3"/>
    <w:bookmarkEnd w:id="2"/>
    <w:p>
      <w:pPr>
        <w:ind w:left="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description of the Amended and Restated Certificate is qualified by reference to the full text of the Amended and Restated Certificate, a copy of which is attached hereto as Exhibit 3.1 and is incorporated herein by reference.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Bylaws</w:t>
      </w:r>
    </w:p>
    <w:p>
      <w:pPr>
        <w:spacing w:after="0" w:line="121"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In addition, as previously disclosed in the Registration Statement, the amended and restated bylaws of the Company (the “Amended and Restated Bylaws”), previously approved by the Board and the Company’s stockholders, became effective as of the effectiveness of the Registration Statement. The Amended and Restated Bylaws amended and restated the Company’s bylaws in their entirety to, among other things: (i) eliminate the ability of the Company’s stockholders to take action by written consent in lieu of a meeting and call special meetings of stockholders; (ii) establish an advance notice procedure for stockholder proposals to be brought before an annual meeting of the Company’s stockholders, including proposed nominations of persons for election to the Board; and (iii) conform to the amended provisions of the Amended and Restated Certificate.</w:t>
      </w:r>
    </w:p>
    <w:p>
      <w:pPr>
        <w:spacing w:after="0" w:line="18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is qualified by reference to the full text of the Amended and Restated Bylaws, a copy of which is attached hereto as Exhibit 3.2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8"/>
          <w:szCs w:val="18"/>
          <w:u w:val="single" w:color="auto"/>
          <w:color w:val="0000EE"/>
        </w:rPr>
        <w:t>Third Amended and Restated Certificate of Incorporation of Rapport Therapeutics, Inc.</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7"/>
          <w:szCs w:val="17"/>
          <w:u w:val="single" w:color="auto"/>
          <w:color w:val="0000EE"/>
        </w:rPr>
        <w:t>Amended and Restated Bylaws of Rapport Therapeutics, Inc.</w:t>
      </w:r>
    </w:p>
    <w:p>
      <w:pPr>
        <w:spacing w:after="0" w:line="129"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Stock Purchase Agreement, by and among the Company and the Purchasers.</w:t>
      </w:r>
    </w:p>
    <w:p>
      <w:pPr>
        <w:sectPr>
          <w:pgSz w:w="11900" w:h="16838" w:orient="portrait"/>
          <w:cols w:equalWidth="0" w:num="1">
            <w:col w:w="10984"/>
          </w:cols>
          <w:pgMar w:left="436" w:top="270" w:right="4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25" w:lineRule="exact"/>
        <w:rPr>
          <w:sz w:val="20"/>
          <w:szCs w:val="20"/>
          <w:color w:val="auto"/>
        </w:rPr>
      </w:pPr>
    </w:p>
    <w:p>
      <w:pPr>
        <w:spacing w:after="0"/>
        <w:tabs>
          <w:tab w:leader="none" w:pos="6260" w:val="left"/>
          <w:tab w:leader="none" w:pos="6700" w:val="left"/>
        </w:tabs>
        <w:rPr>
          <w:sz w:val="20"/>
          <w:szCs w:val="20"/>
          <w:color w:val="auto"/>
        </w:rPr>
      </w:pPr>
      <w:r>
        <w:rPr>
          <w:rFonts w:ascii="Times New Roman" w:cs="Times New Roman" w:eastAsia="Times New Roman" w:hAnsi="Times New Roman"/>
          <w:sz w:val="18"/>
          <w:szCs w:val="18"/>
          <w:color w:val="auto"/>
        </w:rPr>
        <w:t>Date: June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Abraham N. Ceesay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17145</wp:posOffset>
            </wp:positionV>
            <wp:extent cx="2726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Abraham N. Ceesay, M.B.A.</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ectPr>
          <w:pgSz w:w="11900" w:h="16838" w:orient="portrait"/>
          <w:cols w:equalWidth="0" w:num="1">
            <w:col w:w="10940"/>
          </w:cols>
          <w:pgMar w:left="440" w:top="266"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Rapport Therapeutics,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as follows:</w:t>
      </w:r>
    </w:p>
    <w:p>
      <w:pPr>
        <w:spacing w:after="0" w:line="51" w:lineRule="exact"/>
        <w:rPr>
          <w:sz w:val="20"/>
          <w:szCs w:val="20"/>
          <w:color w:val="auto"/>
        </w:rPr>
      </w:pPr>
    </w:p>
    <w:p>
      <w:pPr>
        <w:jc w:val="both"/>
        <w:ind w:right="40" w:firstLine="436"/>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Rapport Therapeutics, Inc. The date of the filing of its original Certificate of Incorporation with the Secretary of State of the State of Delaware was February 10, 2022 (the “</w:t>
      </w:r>
      <w:r>
        <w:rPr>
          <w:rFonts w:ascii="Times New Roman" w:cs="Times New Roman" w:eastAsia="Times New Roman" w:hAnsi="Times New Roman"/>
          <w:sz w:val="18"/>
          <w:szCs w:val="18"/>
          <w:b w:val="1"/>
          <w:bCs w:val="1"/>
          <w:color w:val="auto"/>
        </w:rPr>
        <w:t>Original Certificate</w:t>
      </w:r>
      <w:r>
        <w:rPr>
          <w:rFonts w:ascii="Times New Roman" w:cs="Times New Roman" w:eastAsia="Times New Roman" w:hAnsi="Times New Roman"/>
          <w:sz w:val="18"/>
          <w:szCs w:val="18"/>
          <w:color w:val="auto"/>
        </w:rPr>
        <w:t>”). The name under which the Corporation filed the Original Certificate was Precision Neuroscience NewCo, Inc. The name of the corporation was changed on October 7, 2022 to Rapport Therapeutics, Inc.</w:t>
      </w:r>
    </w:p>
    <w:p>
      <w:pPr>
        <w:spacing w:after="0" w:line="175" w:lineRule="exact"/>
        <w:rPr>
          <w:rFonts w:ascii="Times New Roman" w:cs="Times New Roman" w:eastAsia="Times New Roman" w:hAnsi="Times New Roman"/>
          <w:sz w:val="18"/>
          <w:szCs w:val="18"/>
          <w:color w:val="auto"/>
        </w:rPr>
      </w:pPr>
    </w:p>
    <w:p>
      <w:pPr>
        <w:ind w:right="200" w:firstLine="436"/>
        <w:spacing w:after="0" w:line="256" w:lineRule="auto"/>
        <w:tabs>
          <w:tab w:leader="none" w:pos="6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was amended by certain certificates of amendment dated as of May 10, 2022, August 9, 2022, October 7, 2022 and November 28, 2022 and further amended by that certain Amended and Restated Certificate of Incorporation dated as of December 9, 2022. This Third Amended and Restated Certificate of Incorporation (this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amends, restates and integrates the provisions of the Second Amended and Restated Certificate of Incorporation that was filed with the Secretary of State of the State of Delaware on August 7, 2023 (the “</w:t>
      </w:r>
      <w:r>
        <w:rPr>
          <w:rFonts w:ascii="Times New Roman" w:cs="Times New Roman" w:eastAsia="Times New Roman" w:hAnsi="Times New Roman"/>
          <w:sz w:val="18"/>
          <w:szCs w:val="18"/>
          <w:b w:val="1"/>
          <w:bCs w:val="1"/>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 and was duly adopted in accordance with the provisions of Sections 228, 242 and 245 of the General Corporation Law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is hereby amended, restated and integrated in its entirety to provide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Rapport Therapeutics,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ectPr>
          <w:pgSz w:w="11900" w:h="16838" w:orient="portrait"/>
          <w:cols w:equalWidth="0" w:num="1">
            <w:col w:w="11020"/>
          </w:cols>
          <w:pgMar w:left="440" w:top="117" w:right="439" w:bottom="1440" w:gutter="0" w:footer="0" w:header="0"/>
        </w:sectPr>
      </w:pPr>
    </w:p>
    <w:bookmarkStart w:id="5" w:name="page6"/>
    <w:bookmarkEnd w:id="5"/>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w:t>
      </w:r>
    </w:p>
    <w:p>
      <w:pPr>
        <w:spacing w:after="0" w:line="27" w:lineRule="exact"/>
        <w:rPr>
          <w:sz w:val="20"/>
          <w:szCs w:val="20"/>
          <w:color w:val="auto"/>
        </w:rPr>
      </w:pPr>
    </w:p>
    <w:p>
      <w:pPr>
        <w:ind w:left="224" w:hanging="224"/>
        <w:spacing w:after="0"/>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hundred million (500,000,000) shares shall be a class designated as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(10,000,000) shares shall be a class designated as undesignated preferred stock, par value $0.001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Except as otherwise provided in any certificate of designation of any series of Preferred Stock, the number of authorized shares of the class of Common Stock or Preferred Stock may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voting requirements of Section 242 of the DGCL, as permitted by Section 242(d) of the DGCL, shall apply to any amendments to the Amended and Restated Certificate of Incorporation (the “Certificate”).</w:t>
      </w:r>
    </w:p>
    <w:p>
      <w:pPr>
        <w:spacing w:after="0" w:line="173"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7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Preferred Stock and except as provided by law or in this Certificate (including any certificate of designation of any series of Preferred Stock):</w:t>
      </w:r>
    </w:p>
    <w:p>
      <w:pPr>
        <w:spacing w:after="0" w:line="54" w:lineRule="exact"/>
        <w:rPr>
          <w:sz w:val="20"/>
          <w:szCs w:val="20"/>
          <w:color w:val="auto"/>
        </w:rPr>
      </w:pPr>
    </w:p>
    <w:p>
      <w:pPr>
        <w:ind w:left="4" w:firstLine="1428"/>
        <w:spacing w:after="0" w:line="273" w:lineRule="auto"/>
        <w:tabs>
          <w:tab w:leader="none" w:pos="168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the Common Stock shall have the exclusive right to vote for the election of directors of the Corporation (the “</w:t>
      </w: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as such, shall not be entitled to vote on any amendment to this Certificate (including any amendment to a certificate of designation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6" w:name="page7"/>
    <w:bookmarkEnd w:id="6"/>
    <w:p>
      <w:pPr>
        <w:ind w:right="60" w:firstLine="1428"/>
        <w:spacing w:after="0" w:line="266" w:lineRule="auto"/>
        <w:tabs>
          <w:tab w:leader="none" w:pos="1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may be declared and paid or set apart for payment upon the shares of Common Stock out of any assets or funds of the Corporation legally available for the payment of dividends, but only when, as and if declared by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any authorized committee thereof; and</w:t>
      </w:r>
    </w:p>
    <w:p>
      <w:pPr>
        <w:spacing w:after="0" w:line="175" w:lineRule="exact"/>
        <w:rPr>
          <w:rFonts w:ascii="Times New Roman" w:cs="Times New Roman" w:eastAsia="Times New Roman" w:hAnsi="Times New Roman"/>
          <w:sz w:val="18"/>
          <w:szCs w:val="18"/>
          <w:color w:val="auto"/>
        </w:rPr>
      </w:pPr>
    </w:p>
    <w:p>
      <w:pPr>
        <w:ind w:right="320" w:firstLine="1428"/>
        <w:spacing w:after="0" w:line="282" w:lineRule="auto"/>
        <w:tabs>
          <w:tab w:leader="none" w:pos="16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STOCKHOLDER ACTION</w:t>
      </w:r>
    </w:p>
    <w:p>
      <w:pPr>
        <w:spacing w:after="0" w:line="225" w:lineRule="exact"/>
        <w:rPr>
          <w:sz w:val="20"/>
          <w:szCs w:val="20"/>
          <w:color w:val="auto"/>
        </w:rPr>
      </w:pPr>
    </w:p>
    <w:p>
      <w:pPr>
        <w:jc w:val="both"/>
        <w:ind w:right="100" w:firstLine="436"/>
        <w:spacing w:after="0" w:line="266"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Subject to the rights, if any, of the holders of shares of any series of Preferred Stock,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w:t>
      </w:r>
    </w:p>
    <w:p>
      <w:pPr>
        <w:spacing w:after="0" w:line="175"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shares of any series of Preferred Stock, special meetings of the stockholders of the Corporation may be called only by the Board of Directors,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7" w:name="page8"/>
    <w:bookmarkEnd w:id="7"/>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1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left="-60" w:right="120" w:firstLine="436"/>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left="-60" w:right="20" w:firstLine="436"/>
        <w:spacing w:after="0" w:line="25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xml:space="preserve"> Except as otherwise provided for or fixed pursuant to the provisions of Article IV (including any certificate of designation with respect to any series of Preferred Stock) and this Article VII relating to the rights of the holders of any series of Preferred Stock to elect additional Directors, the number of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regularly-scheduled annual meeting of stockholders following the closing of the Corporation’s sale of a class of its capital stock to the public pursuant to a registration statement on Form S-1 under the Securities Act (the “</w:t>
      </w:r>
      <w:r>
        <w:rPr>
          <w:rFonts w:ascii="Times New Roman" w:cs="Times New Roman" w:eastAsia="Times New Roman" w:hAnsi="Times New Roman"/>
          <w:sz w:val="18"/>
          <w:szCs w:val="18"/>
          <w:b w:val="1"/>
          <w:bCs w:val="1"/>
          <w:color w:val="auto"/>
        </w:rPr>
        <w:t>IPO Time</w:t>
      </w:r>
      <w:r>
        <w:rPr>
          <w:rFonts w:ascii="Times New Roman" w:cs="Times New Roman" w:eastAsia="Times New Roman" w:hAnsi="Times New Roman"/>
          <w:sz w:val="18"/>
          <w:szCs w:val="18"/>
          <w:color w:val="auto"/>
        </w:rPr>
        <w:t>”).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spacing w:after="0" w:line="88" w:lineRule="exact"/>
        <w:rPr>
          <w:sz w:val="20"/>
          <w:szCs w:val="20"/>
          <w:color w:val="auto"/>
        </w:rPr>
      </w:pPr>
    </w:p>
    <w:p>
      <w:pPr>
        <w:ind w:left="380"/>
        <w:spacing w:after="0" w:line="254"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500" w:top="270" w:right="519" w:bottom="1440" w:gutter="0" w:footer="0" w:header="0"/>
        </w:sectPr>
      </w:pPr>
    </w:p>
    <w:bookmarkStart w:id="8" w:name="page9"/>
    <w:bookmarkEnd w:id="8"/>
    <w:p>
      <w:pPr>
        <w:ind w:left="44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spacing w:after="0" w:line="189" w:lineRule="exact"/>
        <w:rPr>
          <w:sz w:val="20"/>
          <w:szCs w:val="20"/>
          <w:color w:val="auto"/>
        </w:rPr>
      </w:pPr>
    </w:p>
    <w:p>
      <w:pPr>
        <w:ind w:firstLine="436"/>
        <w:spacing w:after="0" w:line="253"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if any, of the holders of any series of Preferred Stock to elect Directors and to fill vacancies in the Board of Directors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Preferred Stock to elect Directors and to remove any Director whom the holders of any such series have the right to elect, any Director may be removed from office (i) only for cause and (ii) only by the affirmative vote of the holders not less than two-thirds (2/3) of the voting power of the outstanding shares of capital stock then entitled to vote at an election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right="140" w:firstLine="436"/>
        <w:spacing w:after="0" w:line="261"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To the fullest extent permitted by the DGCL, as the same exists or may hereafter be amended from time to time, a Director of the Corporation shall not be personally liable to the Corporation or its stockholders for monetary damages for breach of such Director’s fiduciary duty as a Director, except for liability (a) for any breach of the Director’s duty of loyalty to the Corporation or its stockholders, (b) for acts or omissions not in good faith or which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0" w:lineRule="exact"/>
        <w:rPr>
          <w:sz w:val="20"/>
          <w:szCs w:val="20"/>
          <w:color w:val="auto"/>
        </w:rPr>
      </w:pPr>
    </w:p>
    <w:p>
      <w:pPr>
        <w:ind w:firstLine="436"/>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To the fullest extent permitted by the DGCL, as the same exists or may thereafter be amended from time to time, an Officer (as defined below) of the Corporation shall not be personally liable to the Corporation or its stockholders for monetary damages for breach of such Officer’s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spacing w:after="0" w:line="194" w:lineRule="exact"/>
        <w:rPr>
          <w:rFonts w:ascii="Times New Roman" w:cs="Times New Roman" w:eastAsia="Times New Roman" w:hAnsi="Times New Roman"/>
          <w:sz w:val="18"/>
          <w:szCs w:val="18"/>
          <w:color w:val="auto"/>
        </w:rPr>
      </w:pPr>
    </w:p>
    <w:p>
      <w:pPr>
        <w:ind w:right="40" w:firstLine="436"/>
        <w:spacing w:after="0" w:line="28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or Modification</w:t>
      </w:r>
      <w:r>
        <w:rPr>
          <w:rFonts w:ascii="Times New Roman" w:cs="Times New Roman" w:eastAsia="Times New Roman" w:hAnsi="Times New Roman"/>
          <w:sz w:val="17"/>
          <w:szCs w:val="17"/>
          <w:color w:val="auto"/>
        </w:rPr>
        <w:t>. Any amendment, repeal or modification of this Article VII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right="280" w:firstLine="436"/>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adopted, amended or repealed by the Board of Directors.</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Text]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THIRD AMENDED AND RESTATED CERTIFICATE OF INCORPORATION is executed as of this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June, 2024.</w:t>
      </w:r>
    </w:p>
    <w:p>
      <w:pPr>
        <w:spacing w:after="0" w:line="17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2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Abraham N. Ceesay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18415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Abraham N. Ceesay</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579"/>
          </w:cols>
          <w:pgMar w:left="880" w:top="270"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Notice of Stockholder Business and Nominations.</w:t>
      </w:r>
    </w:p>
    <w:p>
      <w:pPr>
        <w:spacing w:after="0" w:line="225" w:lineRule="exact"/>
        <w:rPr>
          <w:sz w:val="20"/>
          <w:szCs w:val="20"/>
          <w:color w:val="auto"/>
        </w:rPr>
      </w:pPr>
    </w:p>
    <w:p>
      <w:pPr>
        <w:ind w:left="680" w:hanging="244"/>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0" w:right="240" w:firstLine="419"/>
        <w:spacing w:after="0" w:line="278" w:lineRule="auto"/>
        <w:tabs>
          <w:tab w:leader="none" w:pos="111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of the Corporation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and the proposal of other business to be considered by the stockholders may be brought before an Annual Meeting (i) by or at the direction of the Board of Directors or</w:t>
      </w:r>
    </w:p>
    <w:p>
      <w:pPr>
        <w:spacing w:after="0" w:line="1" w:lineRule="exact"/>
        <w:rPr>
          <w:rFonts w:ascii="Times New Roman" w:cs="Times New Roman" w:eastAsia="Times New Roman" w:hAnsi="Times New Roman"/>
          <w:sz w:val="17"/>
          <w:szCs w:val="17"/>
          <w:color w:val="auto"/>
        </w:rPr>
      </w:pPr>
    </w:p>
    <w:p>
      <w:pPr>
        <w:ind w:left="440" w:right="200" w:hanging="4"/>
        <w:spacing w:after="0" w:line="250" w:lineRule="auto"/>
        <w:tabs>
          <w:tab w:leader="none" w:pos="7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w:t>
      </w:r>
    </w:p>
    <w:p>
      <w:pPr>
        <w:spacing w:after="0" w:line="1" w:lineRule="exact"/>
        <w:rPr>
          <w:rFonts w:ascii="Times New Roman" w:cs="Times New Roman" w:eastAsia="Times New Roman" w:hAnsi="Times New Roman"/>
          <w:sz w:val="18"/>
          <w:szCs w:val="18"/>
          <w:color w:val="auto"/>
        </w:rPr>
      </w:pPr>
    </w:p>
    <w:p>
      <w:pPr>
        <w:ind w:left="4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14a-8 (or any successor rule)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1020"/>
          </w:cols>
          <w:pgMar w:left="440" w:top="117" w:right="439" w:bottom="1440" w:gutter="0" w:footer="0" w:header="0"/>
        </w:sectPr>
      </w:pPr>
    </w:p>
    <w:bookmarkStart w:id="13" w:name="page14"/>
    <w:bookmarkEnd w:id="13"/>
    <w:p>
      <w:pPr>
        <w:ind w:firstLine="419"/>
        <w:spacing w:after="0" w:line="252"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b w:val="1"/>
          <w:bCs w:val="1"/>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w:t>
      </w:r>
    </w:p>
    <w:p>
      <w:pPr>
        <w:spacing w:after="0" w:line="86" w:lineRule="exact"/>
        <w:rPr>
          <w:rFonts w:ascii="Times New Roman" w:cs="Times New Roman" w:eastAsia="Times New Roman" w:hAnsi="Times New Roman"/>
          <w:sz w:val="18"/>
          <w:szCs w:val="18"/>
          <w:color w:val="auto"/>
        </w:rPr>
      </w:pPr>
    </w:p>
    <w:p>
      <w:pPr>
        <w:ind w:left="540" w:right="20" w:firstLine="408"/>
        <w:spacing w:after="0" w:line="272" w:lineRule="auto"/>
        <w:tabs>
          <w:tab w:leader="none" w:pos="1236"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14" w:name="page15"/>
    <w:bookmarkEnd w:id="1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spacing w:after="0" w:line="80" w:lineRule="exact"/>
        <w:rPr>
          <w:sz w:val="20"/>
          <w:szCs w:val="20"/>
          <w:color w:val="auto"/>
        </w:rPr>
      </w:pPr>
    </w:p>
    <w:p>
      <w:pPr>
        <w:ind w:right="200" w:firstLine="408"/>
        <w:spacing w:after="0" w:line="266"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20"/>
          </w:cols>
          <w:pgMar w:left="1420" w:top="270" w:right="459" w:bottom="1440" w:gutter="0" w:footer="0" w:header="0"/>
        </w:sectPr>
      </w:pPr>
    </w:p>
    <w:bookmarkStart w:id="15" w:name="page16"/>
    <w:bookmarkEnd w:id="15"/>
    <w:p>
      <w:pPr>
        <w:ind w:left="-20" w:firstLine="408"/>
        <w:spacing w:after="0" w:line="251" w:lineRule="auto"/>
        <w:tabs>
          <w:tab w:leader="none" w:pos="6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w:t>
      </w:r>
      <w:r>
        <w:rPr>
          <w:rFonts w:ascii="Times New Roman" w:cs="Times New Roman" w:eastAsia="Times New Roman" w:hAnsi="Times New Roman"/>
          <w:sz w:val="18"/>
          <w:szCs w:val="18"/>
          <w:b w:val="1"/>
          <w:bCs w:val="1"/>
          <w:color w:val="auto"/>
        </w:rPr>
        <w:t>Responsible Person</w:t>
      </w:r>
      <w:r>
        <w:rPr>
          <w:rFonts w:ascii="Times New Roman" w:cs="Times New Roman" w:eastAsia="Times New Roman" w:hAnsi="Times New Roman"/>
          <w:sz w:val="18"/>
          <w:szCs w:val="18"/>
          <w:color w:val="auto"/>
        </w:rPr>
        <w:t>”),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w:t>
      </w:r>
      <w:r>
        <w:rPr>
          <w:rFonts w:ascii="Times New Roman" w:cs="Times New Roman" w:eastAsia="Times New Roman" w:hAnsi="Times New Roman"/>
          <w:sz w:val="18"/>
          <w:szCs w:val="18"/>
          <w:b w:val="1"/>
          <w:bCs w:val="1"/>
          <w:color w:val="auto"/>
        </w:rPr>
        <w:t>Material Ownership Interests</w:t>
      </w:r>
      <w:r>
        <w:rPr>
          <w:rFonts w:ascii="Times New Roman" w:cs="Times New Roman" w:eastAsia="Times New Roman" w:hAnsi="Times New Roman"/>
          <w:sz w:val="18"/>
          <w:szCs w:val="18"/>
          <w:color w:val="auto"/>
        </w:rPr>
        <w:t>”);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spacing w:after="0" w:line="1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16" w:name="page17"/>
    <w:bookmarkEnd w:id="16"/>
    <w:p>
      <w:pPr>
        <w:ind w:left="-20" w:right="160" w:firstLine="408"/>
        <w:spacing w:after="0" w:line="253" w:lineRule="auto"/>
        <w:tabs>
          <w:tab w:leader="none" w:pos="6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spacing w:after="0" w:line="86" w:lineRule="exact"/>
        <w:rPr>
          <w:rFonts w:ascii="Times New Roman" w:cs="Times New Roman" w:eastAsia="Times New Roman" w:hAnsi="Times New Roman"/>
          <w:sz w:val="18"/>
          <w:szCs w:val="18"/>
          <w:color w:val="auto"/>
        </w:rPr>
      </w:pPr>
    </w:p>
    <w:p>
      <w:pPr>
        <w:ind w:left="-20" w:firstLine="408"/>
        <w:spacing w:after="0" w:line="252" w:lineRule="auto"/>
        <w:tabs>
          <w:tab w:leader="none" w:pos="6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w:t>
      </w:r>
      <w:r>
        <w:rPr>
          <w:rFonts w:ascii="Times New Roman" w:cs="Times New Roman" w:eastAsia="Times New Roman" w:hAnsi="Times New Roman"/>
          <w:sz w:val="18"/>
          <w:szCs w:val="18"/>
          <w:b w:val="1"/>
          <w:bCs w:val="1"/>
          <w:color w:val="auto"/>
        </w:rPr>
        <w:t>Solicitation Statement</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spacing w:after="0" w:line="79" w:lineRule="exact"/>
        <w:rPr>
          <w:sz w:val="20"/>
          <w:szCs w:val="20"/>
          <w:color w:val="auto"/>
        </w:rPr>
      </w:pPr>
    </w:p>
    <w:p>
      <w:pPr>
        <w:ind w:right="20" w:firstLine="419"/>
        <w:spacing w:after="0" w:line="252"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8" w:name="page19"/>
    <w:bookmarkEnd w:id="18"/>
    <w:p>
      <w:pPr>
        <w:ind w:left="4" w:firstLine="419"/>
        <w:spacing w:after="0" w:line="255" w:lineRule="auto"/>
        <w:tabs>
          <w:tab w:leader="none" w:pos="68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spacing w:after="0" w:line="86"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67" w:lineRule="exact"/>
        <w:rPr>
          <w:rFonts w:ascii="Times New Roman" w:cs="Times New Roman" w:eastAsia="Times New Roman" w:hAnsi="Times New Roman"/>
          <w:sz w:val="18"/>
          <w:szCs w:val="18"/>
          <w:color w:val="auto"/>
        </w:rPr>
      </w:pPr>
    </w:p>
    <w:p>
      <w:pPr>
        <w:ind w:left="4" w:right="300" w:firstLine="419"/>
        <w:spacing w:after="0" w:line="261" w:lineRule="auto"/>
        <w:tabs>
          <w:tab w:leader="none" w:pos="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spacing w:after="0" w:line="72" w:lineRule="exact"/>
        <w:rPr>
          <w:sz w:val="20"/>
          <w:szCs w:val="20"/>
          <w:color w:val="auto"/>
        </w:rPr>
      </w:pPr>
    </w:p>
    <w:p>
      <w:pPr>
        <w:ind w:right="240" w:firstLine="419"/>
        <w:spacing w:after="0" w:line="266"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Bylaw, a stockholder shall also comply with all applicable requirements of the</w:t>
      </w:r>
    </w:p>
    <w:p>
      <w:pPr>
        <w:spacing w:after="0" w:line="27"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81"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20" w:name="page21"/>
    <w:bookmarkEnd w:id="20"/>
    <w:p>
      <w:pPr>
        <w:ind w:left="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spacing w:after="0" w:line="15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Notice of Meetings; Adjournments.</w:t>
      </w:r>
    </w:p>
    <w:p>
      <w:pPr>
        <w:spacing w:after="0" w:line="225" w:lineRule="exact"/>
        <w:rPr>
          <w:sz w:val="20"/>
          <w:szCs w:val="20"/>
          <w:color w:val="auto"/>
        </w:rPr>
      </w:pPr>
    </w:p>
    <w:p>
      <w:pPr>
        <w:ind w:right="60" w:firstLine="436"/>
        <w:spacing w:after="0" w:line="255"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188"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all special meetings of stockholders shall be given in the same manner as provided for Annual Meetings, except that the notice of all special meetings shall also state the purpose or purposes for which the meeting has been called.</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1" w:name="page22"/>
    <w:bookmarkEnd w:id="21"/>
    <w:p>
      <w:pPr>
        <w:jc w:val="both"/>
        <w:ind w:left="4" w:right="140" w:firstLine="436"/>
        <w:spacing w:after="0" w:line="261"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spacing w:after="0" w:line="179" w:lineRule="exact"/>
        <w:rPr>
          <w:rFonts w:ascii="Times New Roman" w:cs="Times New Roman" w:eastAsia="Times New Roman" w:hAnsi="Times New Roman"/>
          <w:sz w:val="18"/>
          <w:szCs w:val="18"/>
          <w:color w:val="auto"/>
        </w:rPr>
      </w:pPr>
    </w:p>
    <w:p>
      <w:pPr>
        <w:ind w:left="4" w:right="60" w:firstLine="436"/>
        <w:spacing w:after="0" w:line="268" w:lineRule="auto"/>
        <w:tabs>
          <w:tab w:leader="none" w:pos="68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w:t>
      </w:r>
    </w:p>
    <w:p>
      <w:pPr>
        <w:spacing w:after="0" w:line="4" w:lineRule="exact"/>
        <w:rPr>
          <w:rFonts w:ascii="Times New Roman" w:cs="Times New Roman" w:eastAsia="Times New Roman" w:hAnsi="Times New Roman"/>
          <w:sz w:val="17"/>
          <w:szCs w:val="17"/>
          <w:color w:val="auto"/>
        </w:rPr>
      </w:pPr>
    </w:p>
    <w:p>
      <w:pPr>
        <w:ind w:left="4" w:right="60" w:hanging="4"/>
        <w:spacing w:after="0" w:line="252"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or these Bylaws, is entitled to such notice.</w:t>
      </w:r>
    </w:p>
    <w:p>
      <w:pPr>
        <w:spacing w:after="0" w:line="18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Voting and Proxies.</w:t>
      </w:r>
    </w:p>
    <w:p>
      <w:pPr>
        <w:spacing w:after="0" w:line="225" w:lineRule="exact"/>
        <w:rPr>
          <w:sz w:val="20"/>
          <w:szCs w:val="20"/>
          <w:color w:val="auto"/>
        </w:rPr>
      </w:pPr>
    </w:p>
    <w:p>
      <w:pPr>
        <w:ind w:right="20" w:firstLine="436"/>
        <w:spacing w:after="0" w:line="253"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spacing w:after="0" w:line="189"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 of Directors.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Corporation shall prepare, no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spacing w:after="0" w:line="20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3" w:name="page24"/>
    <w:bookmarkEnd w:id="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spacing w:after="0" w:line="19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or by applicable law.</w:t>
      </w:r>
    </w:p>
    <w:p>
      <w:pPr>
        <w:spacing w:after="0" w:line="225" w:lineRule="exact"/>
        <w:rPr>
          <w:sz w:val="20"/>
          <w:szCs w:val="20"/>
          <w:color w:val="auto"/>
        </w:rPr>
      </w:pPr>
    </w:p>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spacing w:after="0" w:line="14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5" w:name="page26"/>
    <w:bookmarkEnd w:id="25"/>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8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affirmative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6" w:name="page27"/>
    <w:bookmarkEnd w:id="26"/>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In the event of any emergency, disaster, catastrophe or other similar emergency condition of a type described in Section 110(a) of the DGCL (an “</w:t>
      </w:r>
      <w:r>
        <w:rPr>
          <w:rFonts w:ascii="Times New Roman" w:cs="Times New Roman" w:eastAsia="Times New Roman" w:hAnsi="Times New Roman"/>
          <w:sz w:val="18"/>
          <w:szCs w:val="18"/>
          <w:b w:val="1"/>
          <w:bCs w:val="1"/>
          <w:color w:val="auto"/>
        </w:rPr>
        <w:t>Emergency</w:t>
      </w:r>
      <w:r>
        <w:rPr>
          <w:rFonts w:ascii="Times New Roman" w:cs="Times New Roman" w:eastAsia="Times New Roman" w:hAnsi="Times New Roman"/>
          <w:sz w:val="18"/>
          <w:szCs w:val="18"/>
          <w:color w:val="auto"/>
        </w:rPr>
        <w:t>”), notwithstanding any different or conflicting provisions in the DGCL, the Certificate or these By-laws, during such Emergency:</w:t>
      </w:r>
    </w:p>
    <w:p>
      <w:pPr>
        <w:spacing w:after="0" w:line="176" w:lineRule="exact"/>
        <w:rPr>
          <w:sz w:val="20"/>
          <w:szCs w:val="20"/>
          <w:color w:val="auto"/>
        </w:rPr>
      </w:pPr>
    </w:p>
    <w:p>
      <w:pPr>
        <w:ind w:firstLine="436"/>
        <w:spacing w:after="0" w:line="258"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directors in attendance at a meeting called in accordance with Section 17(a) of this Article II shall constitute a quorum.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7" w:name="page28"/>
    <w:bookmarkEnd w:id="27"/>
    <w:p>
      <w:pPr>
        <w:ind w:right="60" w:firstLine="436"/>
        <w:spacing w:after="0" w:line="282"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spacing w:after="0" w:line="183"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shall elect the President, the Treasurer and the Secretary. Other officers may be elected by the Board of Directors or by such officers delegated such authority by the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his or her successor is elected and qualified or until his or her earlier death, resignation or removal.</w:t>
      </w:r>
    </w:p>
    <w:p>
      <w:pPr>
        <w:spacing w:after="0" w:line="162"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8" w:name="page29"/>
    <w:bookmarkEnd w:id="28"/>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Treasurer and Assistant Treasurers</w:t>
      </w:r>
      <w:r>
        <w:rPr>
          <w:rFonts w:ascii="Times New Roman" w:cs="Times New Roman" w:eastAsia="Times New Roman" w:hAnsi="Times New Roman"/>
          <w:sz w:val="17"/>
          <w:szCs w:val="17"/>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8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9" w:name="page30"/>
    <w:bookmarkEnd w:id="2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Bonded Officers</w:t>
      </w:r>
      <w:r>
        <w:rPr>
          <w:rFonts w:ascii="Times New Roman" w:cs="Times New Roman" w:eastAsia="Times New Roman" w:hAnsi="Times New Roman"/>
          <w:sz w:val="18"/>
          <w:szCs w:val="18"/>
          <w:color w:val="auto"/>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spacing w:after="0" w:line="39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0" w:name="page31"/>
    <w:bookmarkEnd w:id="30"/>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at 5:00 p.m. Eastern time on the day on which the Board of Directors adopts the resolution relating thereto.</w:t>
      </w:r>
    </w:p>
    <w:p>
      <w:pPr>
        <w:spacing w:after="0" w:line="194"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V:</w:t>
      </w:r>
    </w:p>
    <w:p>
      <w:pPr>
        <w:spacing w:after="0" w:line="117" w:lineRule="exact"/>
        <w:rPr>
          <w:sz w:val="20"/>
          <w:szCs w:val="20"/>
          <w:color w:val="auto"/>
        </w:rPr>
      </w:pPr>
    </w:p>
    <w:p>
      <w:pPr>
        <w:ind w:left="-20" w:firstLine="436"/>
        <w:spacing w:after="0" w:line="254"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 of the Corporation;</w:t>
      </w:r>
    </w:p>
    <w:p>
      <w:pPr>
        <w:spacing w:after="0" w:line="225" w:lineRule="exact"/>
        <w:rPr>
          <w:rFonts w:ascii="Times New Roman" w:cs="Times New Roman" w:eastAsia="Times New Roman" w:hAnsi="Times New Roman"/>
          <w:sz w:val="18"/>
          <w:szCs w:val="18"/>
          <w:color w:val="auto"/>
        </w:rPr>
      </w:pPr>
    </w:p>
    <w:p>
      <w:pPr>
        <w:ind w:left="-20" w:right="340" w:firstLine="436"/>
        <w:spacing w:after="0" w:line="282"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61"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161" w:lineRule="exact"/>
        <w:rPr>
          <w:rFonts w:ascii="Times New Roman" w:cs="Times New Roman" w:eastAsia="Times New Roman" w:hAnsi="Times New Roman"/>
          <w:sz w:val="18"/>
          <w:szCs w:val="18"/>
          <w:color w:val="auto"/>
        </w:rPr>
      </w:pPr>
    </w:p>
    <w:p>
      <w:pPr>
        <w:ind w:left="-20" w:right="840" w:firstLine="436"/>
        <w:spacing w:after="0" w:line="282" w:lineRule="auto"/>
        <w:tabs>
          <w:tab w:leader="none" w:pos="6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70" w:right="47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Indemnification of Directors and Officers.</w:t>
      </w:r>
    </w:p>
    <w:p>
      <w:pPr>
        <w:spacing w:after="0" w:line="225" w:lineRule="exact"/>
        <w:rPr>
          <w:sz w:val="20"/>
          <w:szCs w:val="20"/>
          <w:color w:val="auto"/>
        </w:rPr>
      </w:pPr>
    </w:p>
    <w:p>
      <w:pPr>
        <w:jc w:val="both"/>
        <w:ind w:right="20" w:firstLine="436"/>
        <w:spacing w:after="0" w:line="261"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86"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3" w:name="page34"/>
    <w:bookmarkEnd w:id="33"/>
    <w:p>
      <w:pPr>
        <w:ind w:left="440" w:right="60" w:firstLine="419"/>
        <w:spacing w:after="0" w:line="258"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 Advancement of Expenses to Directors Prior to Final Disposition.</w:t>
      </w:r>
    </w:p>
    <w:p>
      <w:pPr>
        <w:spacing w:after="0" w:line="225" w:lineRule="exact"/>
        <w:rPr>
          <w:sz w:val="20"/>
          <w:szCs w:val="20"/>
          <w:color w:val="auto"/>
        </w:rPr>
      </w:pPr>
    </w:p>
    <w:p>
      <w:pPr>
        <w:ind w:firstLine="436"/>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4" w:name="page35"/>
    <w:bookmarkEnd w:id="34"/>
    <w:p>
      <w:pPr>
        <w:ind w:right="2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73" w:lineRule="exact"/>
        <w:rPr>
          <w:sz w:val="20"/>
          <w:szCs w:val="20"/>
          <w:color w:val="auto"/>
        </w:rPr>
      </w:pPr>
    </w:p>
    <w:p>
      <w:pPr>
        <w:ind w:firstLine="436"/>
        <w:spacing w:after="0" w:line="255"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 Advancement of Expenses to Officers and Non-Officer Employees Prior to Final Disposition.</w:t>
      </w:r>
    </w:p>
    <w:p>
      <w:pPr>
        <w:spacing w:after="0" w:line="225" w:lineRule="exact"/>
        <w:rPr>
          <w:sz w:val="20"/>
          <w:szCs w:val="20"/>
          <w:color w:val="auto"/>
        </w:rPr>
      </w:pPr>
    </w:p>
    <w:p>
      <w:pPr>
        <w:ind w:right="140" w:firstLine="436"/>
        <w:spacing w:after="0" w:line="255"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Contractual Nature of Rights.</w:t>
      </w:r>
    </w:p>
    <w:p>
      <w:pPr>
        <w:spacing w:after="0" w:line="225" w:lineRule="exact"/>
        <w:rPr>
          <w:sz w:val="20"/>
          <w:szCs w:val="20"/>
          <w:color w:val="auto"/>
        </w:rPr>
      </w:pPr>
    </w:p>
    <w:p>
      <w:pPr>
        <w:ind w:firstLine="436"/>
        <w:spacing w:after="0" w:line="253"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spacing w:after="0" w:line="194"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8"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6" w:name="page37"/>
    <w:bookmarkEnd w:id="3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b w:val="1"/>
          <w:bCs w:val="1"/>
          <w:color w:val="auto"/>
        </w:rPr>
        <w:t>Primary Indemnitor</w:t>
      </w:r>
      <w:r>
        <w:rPr>
          <w:rFonts w:ascii="Times New Roman" w:cs="Times New Roman" w:eastAsia="Times New Roman" w:hAnsi="Times New Roman"/>
          <w:sz w:val="18"/>
          <w:szCs w:val="18"/>
          <w:color w:val="auto"/>
        </w:rPr>
        <w:t>”).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7" w:name="page38"/>
    <w:bookmarkEnd w:id="37"/>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Certificate, as amended and/or restated and in effect from time to time.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 of Delaware Courts or the United States Federal District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 Amendment of Bylaws.</w:t>
      </w:r>
    </w:p>
    <w:p>
      <w:pPr>
        <w:spacing w:after="0" w:line="225" w:lineRule="exact"/>
        <w:rPr>
          <w:sz w:val="20"/>
          <w:szCs w:val="20"/>
          <w:color w:val="auto"/>
        </w:rPr>
      </w:pPr>
    </w:p>
    <w:p>
      <w:pPr>
        <w:ind w:left="680" w:hanging="24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required by law, these Bylaws may be amended or repealed by the Board of Directors.</w:t>
      </w:r>
    </w:p>
    <w:p>
      <w:pPr>
        <w:spacing w:after="0" w:line="157"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8" w:name="page39"/>
    <w:bookmarkEnd w:id="38"/>
    <w:p>
      <w:pPr>
        <w:ind w:right="120" w:firstLine="436"/>
        <w:spacing w:after="0" w:line="256"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by Stockholders</w:t>
      </w:r>
      <w:r>
        <w:rPr>
          <w:rFonts w:ascii="Times New Roman" w:cs="Times New Roman" w:eastAsia="Times New Roman" w:hAnsi="Times New Roman"/>
          <w:sz w:val="18"/>
          <w:szCs w:val="18"/>
          <w:color w:val="auto"/>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Adopted by the Board of Directors on May 29, 2024, approved by the stockholders on May 30, 2024 and effective upon the effectiveness of the S-1 registration statement.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SHARE PURCHASE AGREEMENT</w:t>
      </w:r>
    </w:p>
    <w:p>
      <w:pPr>
        <w:spacing w:after="0" w:line="225" w:lineRule="exact"/>
        <w:rPr>
          <w:sz w:val="20"/>
          <w:szCs w:val="20"/>
          <w:color w:val="auto"/>
        </w:rPr>
      </w:pPr>
    </w:p>
    <w:p>
      <w:pPr>
        <w:ind w:left="4" w:right="560"/>
        <w:spacing w:after="0" w:line="286" w:lineRule="auto"/>
        <w:rPr>
          <w:sz w:val="20"/>
          <w:szCs w:val="20"/>
          <w:color w:val="auto"/>
        </w:rPr>
      </w:pPr>
      <w:r>
        <w:rPr>
          <w:rFonts w:ascii="Times New Roman" w:cs="Times New Roman" w:eastAsia="Times New Roman" w:hAnsi="Times New Roman"/>
          <w:sz w:val="18"/>
          <w:szCs w:val="18"/>
          <w:color w:val="auto"/>
        </w:rPr>
        <w:t>This SHARE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June 6,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[_]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Rapport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right="320"/>
        <w:spacing w:after="0" w:line="268" w:lineRule="auto"/>
        <w:rPr>
          <w:sz w:val="20"/>
          <w:szCs w:val="20"/>
          <w:color w:val="auto"/>
        </w:rPr>
      </w:pPr>
      <w:r>
        <w:rPr>
          <w:rFonts w:ascii="Times New Roman" w:cs="Times New Roman" w:eastAsia="Times New Roman" w:hAnsi="Times New Roman"/>
          <w:sz w:val="18"/>
          <w:szCs w:val="18"/>
          <w:color w:val="auto"/>
        </w:rPr>
        <w:t>WHEREAS, the Company is proposing to issue and sell to the Investor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[  ] of the Company’s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contemporaneously with the Company’s initial public offering of Common Stock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pursuant to the terms and subject to the conditions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-314325</wp:posOffset>
            </wp:positionV>
            <wp:extent cx="114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1"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color w:val="auto"/>
        </w:rPr>
        <w:t>WHEREAS, the closing of the Offering shall take place concurrently with the closing of the IPO (the “</w:t>
      </w:r>
      <w:r>
        <w:rPr>
          <w:rFonts w:ascii="Times New Roman" w:cs="Times New Roman" w:eastAsia="Times New Roman" w:hAnsi="Times New Roman"/>
          <w:sz w:val="18"/>
          <w:szCs w:val="18"/>
          <w:b w:val="1"/>
          <w:bCs w:val="1"/>
          <w:color w:val="auto"/>
        </w:rPr>
        <w:t>IPO Closing Time</w:t>
      </w:r>
      <w:r>
        <w:rPr>
          <w:rFonts w:ascii="Times New Roman" w:cs="Times New Roman" w:eastAsia="Times New Roman" w:hAnsi="Times New Roman"/>
          <w:sz w:val="18"/>
          <w:szCs w:val="18"/>
          <w:color w:val="auto"/>
        </w:rPr>
        <w:t>”) and at a price per share equal to the initial public offering price per share that the Common Stock is sold to the public in the IPO (the “</w:t>
      </w:r>
      <w:r>
        <w:rPr>
          <w:rFonts w:ascii="Times New Roman" w:cs="Times New Roman" w:eastAsia="Times New Roman" w:hAnsi="Times New Roman"/>
          <w:sz w:val="18"/>
          <w:szCs w:val="18"/>
          <w:b w:val="1"/>
          <w:bCs w:val="1"/>
          <w:color w:val="auto"/>
        </w:rPr>
        <w:t>IPO Price</w:t>
      </w:r>
      <w:r>
        <w:rPr>
          <w:rFonts w:ascii="Times New Roman" w:cs="Times New Roman" w:eastAsia="Times New Roman" w:hAnsi="Times New Roman"/>
          <w:sz w:val="18"/>
          <w:szCs w:val="18"/>
          <w:color w:val="auto"/>
        </w:rPr>
        <w:t>”), as set forth on the cover of the final prospectus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WHEREAS, the Shares are being offered to the Investor pursuant to a private placement exemption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ind w:left="4" w:right="420"/>
        <w:spacing w:after="0" w:line="291" w:lineRule="auto"/>
        <w:rPr>
          <w:sz w:val="20"/>
          <w:szCs w:val="20"/>
          <w:color w:val="auto"/>
        </w:rPr>
      </w:pPr>
      <w:r>
        <w:rPr>
          <w:rFonts w:ascii="Times New Roman" w:cs="Times New Roman" w:eastAsia="Times New Roman" w:hAnsi="Times New Roman"/>
          <w:sz w:val="17"/>
          <w:szCs w:val="17"/>
          <w:color w:val="auto"/>
        </w:rPr>
        <w:t>WHEREAS, in order to effect the IPO, the Company shall enter into an Underwriting Agreement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with Goldman Sachs &amp; Co. LLC, Jefferies LLC, TD Securities (USA) LLC and Stifel, Nicolaus &amp; Company, Incorporated, as representatives of the several underwriters named therein (acting in such capacity, collectively,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xml:space="preserve">”),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promises and covenants set forth below, the parties hereto hereby agree as follows:</w:t>
      </w:r>
    </w:p>
    <w:p>
      <w:pPr>
        <w:spacing w:after="0" w:line="54" w:lineRule="exact"/>
        <w:rPr>
          <w:sz w:val="20"/>
          <w:szCs w:val="20"/>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80" w:hanging="4"/>
        <w:spacing w:after="0" w:line="258" w:lineRule="auto"/>
        <w:tabs>
          <w:tab w:leader="none" w:pos="2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Subject to the terms and conditions set forth in this Agreement, the Company hereby agrees to sell to the Investor,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hereby agrees to purchase from the Company, [_] of the Company’s Common Stock (the “</w:t>
      </w: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18"/>
          <w:szCs w:val="18"/>
          <w:color w:val="auto"/>
        </w:rPr>
        <w:t>”) at the IPO Price. The number of shares of Common Stock to be sold by the Company and purchased by the Investor hereunder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equal the number of shares determined by dividing the Investment Amount by the IPO Price (rounded down to the nearest whole share). The total purchase price to be paid by the Investor for the Shares is equal to (i) the number of Shares multiplied by (ii) the IPO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60" w:hanging="4"/>
        <w:spacing w:after="0" w:line="257"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The closing of the purchase and sale of the Shares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at the offices of Goodwin Procter LLP, 100 Northern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Avenue, Boston, Massachusetts 02210 or at such other place as shall be agreed upon by the parties hereto, after the satisfaction or waiver of each of the conditions set forth in Section 4 (other than those conditions that by their nature are to be satisfied at the Closing, but subject to the fulfillment or waiver of those conditions) concurrently with the IPO Closing Time. At the Closing, (i) the Company shall cause the Company’s transfer agent to deliver the Shares directly to the Investor registered in the name of the Investor, and (ii) the Purchase Price for the Shares shall be delivered by or on behalf of the Investor directly to the Company.</w:t>
      </w:r>
    </w:p>
    <w:p>
      <w:pPr>
        <w:spacing w:after="0" w:line="184" w:lineRule="exact"/>
        <w:rPr>
          <w:rFonts w:ascii="Times New Roman" w:cs="Times New Roman" w:eastAsia="Times New Roman" w:hAnsi="Times New Roman"/>
          <w:sz w:val="18"/>
          <w:szCs w:val="18"/>
          <w:color w:val="auto"/>
        </w:rPr>
      </w:pPr>
    </w:p>
    <w:p>
      <w:pPr>
        <w:ind w:left="4" w:right="660" w:hanging="4"/>
        <w:spacing w:after="0" w:line="267" w:lineRule="auto"/>
        <w:tabs>
          <w:tab w:leader="none" w:pos="2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Purchase Price</w:t>
      </w:r>
      <w:r>
        <w:rPr>
          <w:rFonts w:ascii="Times New Roman" w:cs="Times New Roman" w:eastAsia="Times New Roman" w:hAnsi="Times New Roman"/>
          <w:sz w:val="18"/>
          <w:szCs w:val="18"/>
          <w:color w:val="auto"/>
        </w:rPr>
        <w:t>. Payment by the Investor of the Purchase Price to the Company shall be made at the Closing by wire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available funds equal to the Purchase Price to an account specified in writing by the Company at least one business day prior to the Closing.</w:t>
      </w:r>
    </w:p>
    <w:p>
      <w:pPr>
        <w:spacing w:after="0" w:line="175"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Payment of the Purchase Price for the Shares shall be made against delivery to the Investor of the Shares, which Shares shall be uncertificated and shall be registered in the name of the Investor on the books of the Company by the Company’s transfer agent.</w:t>
      </w:r>
    </w:p>
    <w:p>
      <w:pPr>
        <w:sectPr>
          <w:pgSz w:w="11900" w:h="16838" w:orient="portrait"/>
          <w:cols w:equalWidth="0" w:num="1">
            <w:col w:w="11024"/>
          </w:cols>
          <w:pgMar w:left="436" w:top="117" w:right="439" w:bottom="1440" w:gutter="0" w:footer="0" w:header="0"/>
        </w:sectPr>
      </w:pPr>
    </w:p>
    <w:bookmarkStart w:id="40" w:name="page41"/>
    <w:bookmarkEnd w:id="40"/>
    <w:p>
      <w:pPr>
        <w:ind w:left="184" w:hanging="184"/>
        <w:spacing w:after="0"/>
        <w:tabs>
          <w:tab w:leader="none" w:pos="1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p>
    <w:p>
      <w:pPr>
        <w:spacing w:after="0" w:line="22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Investor as follows as of the date hereof and as of the time of the Closing:</w:t>
      </w:r>
    </w:p>
    <w:p>
      <w:pPr>
        <w:spacing w:after="0" w:line="54" w:lineRule="exact"/>
        <w:rPr>
          <w:sz w:val="20"/>
          <w:szCs w:val="20"/>
          <w:color w:val="auto"/>
        </w:rPr>
      </w:pPr>
    </w:p>
    <w:p>
      <w:pPr>
        <w:ind w:left="4" w:right="220" w:hanging="4"/>
        <w:spacing w:after="0" w:line="261" w:lineRule="auto"/>
        <w:tabs>
          <w:tab w:leader="none" w:pos="2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set forth in the Underwriting Agreement are true and correct on and as of the date hereof, with the same effect as if made to the Investor herein on the date hereof (except to the extent any such representations and warranties expressly relate to a particular date, in which case such representations and warranties are true and correct, with the same effect as if made to the Investor as of such particular date) (after giving effect to any materiality or other qualifiers contained therein);</w:t>
      </w:r>
    </w:p>
    <w:p>
      <w:pPr>
        <w:spacing w:after="0" w:line="179" w:lineRule="exact"/>
        <w:rPr>
          <w:rFonts w:ascii="Times New Roman" w:cs="Times New Roman" w:eastAsia="Times New Roman" w:hAnsi="Times New Roman"/>
          <w:sz w:val="18"/>
          <w:szCs w:val="18"/>
          <w:color w:val="auto"/>
        </w:rPr>
      </w:pPr>
    </w:p>
    <w:p>
      <w:pPr>
        <w:ind w:left="4" w:right="220" w:hanging="4"/>
        <w:spacing w:after="0" w:line="289" w:lineRule="auto"/>
        <w:tabs>
          <w:tab w:leader="none" w:pos="25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full right, power, authority and capacity to enter into this Agreement and the Placement Agent Agreement (as hereinafter defined) and to consummate the transactions contemplated hereby and thereby and has taken all necessary action to authorize the execution, delivery and performance of this Agreement and the Placement Agent Agreement and the consummation of the transactions contemplated hereby and thereby;</w:t>
      </w:r>
    </w:p>
    <w:p>
      <w:pPr>
        <w:spacing w:after="0" w:line="157" w:lineRule="exact"/>
        <w:rPr>
          <w:rFonts w:ascii="Times New Roman" w:cs="Times New Roman" w:eastAsia="Times New Roman" w:hAnsi="Times New Roman"/>
          <w:sz w:val="17"/>
          <w:szCs w:val="17"/>
          <w:color w:val="auto"/>
        </w:rPr>
      </w:pPr>
    </w:p>
    <w:p>
      <w:pPr>
        <w:ind w:left="4" w:hanging="4"/>
        <w:spacing w:after="0" w:line="253" w:lineRule="auto"/>
        <w:tabs>
          <w:tab w:leader="none" w:pos="2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and the Placement Agent Agreement constitutes the valid and legally binding obligation of the Company, enforceable in accordance with its terms, subject to bankruptcy, reorganization, insolvency and other similar laws affecting the enforcement of creditors’ rights generally and to general principles of equity. Upon issuance in accordance with, and payment pursuant to, the terms of this Agreement, the Shares will be duly authorized, validly issued and fully-paid and nonassessable, not subject to any preemptive or similar rights and will be issued to the Investor free of liens, encumbrances and restrictions on transfer other than (i) restrictions on transfer under this Agreement and under applicable state and federal securities laws, (ii) restrictions on transfer under the lock-up agreement entered into by the Investor or its affiliates in connection with the IPO and</w:t>
      </w:r>
    </w:p>
    <w:p>
      <w:pPr>
        <w:spacing w:after="0" w:line="5" w:lineRule="exact"/>
        <w:rPr>
          <w:rFonts w:ascii="Times New Roman" w:cs="Times New Roman" w:eastAsia="Times New Roman" w:hAnsi="Times New Roman"/>
          <w:sz w:val="18"/>
          <w:szCs w:val="18"/>
          <w:color w:val="auto"/>
        </w:rPr>
      </w:pPr>
    </w:p>
    <w:p>
      <w:pPr>
        <w:jc w:val="both"/>
        <w:ind w:left="4" w:right="400" w:hanging="4"/>
        <w:spacing w:after="0" w:line="255"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encumbrances or restrictions on transfer that are created or imposed by the Investors. Subject in part to the truth and accuracy of the Investors’ representations set forth in Section 3 of this Agreement, the offer, sale and issuance of the Shares as contemplated by this Agreement are exempt from the registration requirements of applicable state and federal securities laws;</w:t>
      </w:r>
    </w:p>
    <w:p>
      <w:pPr>
        <w:spacing w:after="0" w:line="185"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each of this Agreement and the Placement Agent Agreement, the offer, issuance, sale and delivery of the Shares, the consummation of the transactions contemplated hereby and compliance by the Company with its obligations hereunder does not and will not conflict with or result in a breach or violation of any of the terms or provisions of, or constitute a default under, (i)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(ii) the certificate of incorporation or by-laws (or other applicable organizational document) of the Company or any of its subsidiaries, or (iii) any statute or any judgment, order, rule or regulation of any court or governmental agency or body having jurisdiction over the Company or any of its subsidiaries or any of their properties, except, in the case of clauses (i) and (iii) for such defaults, breaches, or violations that would not, individually or in the aggregate, reasonably be expected to result in a Material Adverse Effect (as defined in the Underwriting Agreement);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Securities Act, approvals, authorizations, orders, registrations or qualifications as may be required under state securities or Blue Sky laws, which have been made or will be made in a timely manner, or have otherwise been duly waived.</w:t>
      </w:r>
    </w:p>
    <w:p>
      <w:pPr>
        <w:spacing w:after="0" w:line="187" w:lineRule="exact"/>
        <w:rPr>
          <w:rFonts w:ascii="Times New Roman" w:cs="Times New Roman" w:eastAsia="Times New Roman" w:hAnsi="Times New Roman"/>
          <w:sz w:val="18"/>
          <w:szCs w:val="18"/>
          <w:color w:val="auto"/>
        </w:rPr>
      </w:pPr>
    </w:p>
    <w:p>
      <w:pPr>
        <w:ind w:left="4" w:right="620" w:hanging="4"/>
        <w:spacing w:after="0" w:line="266"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“Disqualification Event”) is applicable to the Company or, to the Company’s knowledge, any Company Covered Person (as defined in the first paragraph of Rule 506(d)(1)), except for a Disqualification Event as to which Rule 506(d)(2)(ii–iv) or (d)(3), is applicable;</w:t>
      </w:r>
    </w:p>
    <w:p>
      <w:pPr>
        <w:spacing w:after="0" w:line="175" w:lineRule="exact"/>
        <w:rPr>
          <w:rFonts w:ascii="Times New Roman" w:cs="Times New Roman" w:eastAsia="Times New Roman" w:hAnsi="Times New Roman"/>
          <w:sz w:val="18"/>
          <w:szCs w:val="18"/>
          <w:color w:val="auto"/>
        </w:rPr>
      </w:pPr>
    </w:p>
    <w:p>
      <w:pPr>
        <w:ind w:left="4" w:right="80" w:hanging="4"/>
        <w:spacing w:after="0" w:line="255" w:lineRule="auto"/>
        <w:tabs>
          <w:tab w:leader="none" w:pos="2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best of the Company’s knowledge, any of its Affiliates (which term, as used herein, shall have the meaning set forth in Rule 405 under the Securities Act) or any person or entity acting on its or their behalf has, directly or indirectly, at any time within the past six months, made any offers or sales of any Company security or solicited any offers to buy any security under circumstances that would (i) eliminate the availability of the exemption from registration under Section 4(a)(2) the Securities Act in connection with the offer and sale by the Company of the Shares as contemplated hereby or (ii) cause the offering of the Shares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 and</w:t>
      </w:r>
    </w:p>
    <w:p>
      <w:pPr>
        <w:sectPr>
          <w:pgSz w:w="11900" w:h="16838" w:orient="portrait"/>
          <w:cols w:equalWidth="0" w:num="1">
            <w:col w:w="11004"/>
          </w:cols>
          <w:pgMar w:left="436" w:top="270" w:right="459" w:bottom="1440" w:gutter="0" w:footer="0" w:header="0"/>
        </w:sectPr>
      </w:pPr>
    </w:p>
    <w:bookmarkStart w:id="41" w:name="page42"/>
    <w:bookmarkEnd w:id="41"/>
    <w:p>
      <w:pPr>
        <w:ind w:left="4" w:right="520" w:hanging="4"/>
        <w:spacing w:after="0" w:line="282"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issuance, the Shares will be treated as “Registrable Securities” as defined in and pursuant to that certain Amended and Restated Investor Rights Agreement, dated August 7, 2023, by and among the Company, and each of the investors listed on Schedule A thereto.</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Representations and Warranties of the Investor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Investor represents and warrants to the Company as follows:</w:t>
      </w:r>
    </w:p>
    <w:p>
      <w:pPr>
        <w:spacing w:after="0" w:line="119" w:lineRule="exact"/>
        <w:rPr>
          <w:sz w:val="20"/>
          <w:szCs w:val="20"/>
          <w:color w:val="auto"/>
        </w:rPr>
      </w:pPr>
    </w:p>
    <w:p>
      <w:pPr>
        <w:ind w:left="4" w:right="60" w:hanging="4"/>
        <w:spacing w:after="0" w:line="252"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is an institutional “accredited investor” as defined in Rule 501(a) promulgated under the Securities Act; (ii) it has sufficient knowledge and experience in investing in companies similar to the Company so as to be able to evaluate the risks and merits of its investment in the Company and it is able financially to bear the risks thereof; (iii) it has had an opportunity to discuss the Company’s business, management and financial affairs with the Company’s management; (iv) all documents, records, and information pertaining to its investment in the Common Stock and the Company that have been requested by it, if any, have been made available or delivered to it prior to the date hereof; (v) its financial condition is such that it is able to bear the risk of holding the Shares for an indefinite period of time and can bear the loss of the entire investment in such Shares; (vi) it is not purchasing the Shares as the result of any form of general solicitation or general advertising within the meaning of Rule 502(c) under the Securities Act or as a result of the Investor’s review of public filings by the Company; (vii) it has independently evaluated the merits of its decision to purchase securities of the Company; (viii) it has not relied on the advice of, or any representations by, any of Goldman Sachs &amp; Co. LLC, Jefferies LLC, TD Securities (USA) LLC and Stifel, Nicolaus &amp; Company, Incorporated (acting in their capacity as placement agents for the Offering, collectively,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or any of their affiliates or any representative of the Placement Agents or their affiliates in making such decision; and (ix) none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Agents nor any of their representatives has any responsibility with respect to the completeness or accuracy of any information or materials furnished to the Investor in connection with the transactions contemplated hereby, and the Investor understands that the Placement Agents have acted solely as the agents of the Company in this placement of the Shares and the Investor has not relied on the business or legal advice of the Placement Agents or any of their agents, counsel or affiliates in making its investment decision hereunder, and confirms that none of such persons has made any representations or warranties to the Issuer in connection with the transactions contemplated hereby.;</w:t>
      </w:r>
    </w:p>
    <w:p>
      <w:pPr>
        <w:spacing w:after="0" w:line="194" w:lineRule="exact"/>
        <w:rPr>
          <w:rFonts w:ascii="Times New Roman" w:cs="Times New Roman" w:eastAsia="Times New Roman" w:hAnsi="Times New Roman"/>
          <w:sz w:val="18"/>
          <w:szCs w:val="18"/>
          <w:color w:val="auto"/>
        </w:rPr>
      </w:pPr>
    </w:p>
    <w:p>
      <w:pPr>
        <w:ind w:left="4" w:right="40" w:hanging="4"/>
        <w:spacing w:after="0" w:line="256"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this Agreement is made in reliance upon the Investor’s express representations, which it hereby represents and warrants to the Company, that (i) the Shares being purchased by the Investor are being acquired for the Investor’s own account (and not on behalf of any other person or entity) for the purpose of investment and not with a view to, or for sale in connection with, the distribution thereof, nor with any present intention of distributing or selling the Shares or any portion thereof; (ii) the Investor was not organized for the specific purpose of acquiring the Shares; and (iii) the Shares will not be sold by the Investor without registration under the Securities Act or applicable state securities laws, or an exemption therefrom;</w:t>
      </w:r>
    </w:p>
    <w:p>
      <w:pPr>
        <w:spacing w:after="0" w:line="187"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further understands that the Shares being purchased by the Investor hereunder have not been registered under the Securities Act or any state securities laws and are instead being offered and sold in reliance on an exemption from such registration requirements. The Investor represents and warrants to the Company that, to the Investor’s knowledge, the Investor has not taken any action which could reasonably be expected to cause the sale of the Shares to be sold by the Company to the Investor to fail to qualify as exempt from the registration requirements of the Securities Act. The Investor further understands that until such time as the Shares shall have been registered under the Securities Act and applicable state securities laws or shall have been transferred in accordance with an opinion of counsel reasonably satisfactory to the Company that such registration is not required, stop transfer instructions shall be issued to the Company’s transfer agent and any certificate or certificates representing such securities shall bear a restrictive legend stating that such securities have not been registered under the Securities Act and applicable state securities laws and referring to restrictions on the transferability and sale thereof;</w:t>
      </w:r>
    </w:p>
    <w:p>
      <w:pPr>
        <w:spacing w:after="0" w:line="188" w:lineRule="exact"/>
        <w:rPr>
          <w:rFonts w:ascii="Times New Roman" w:cs="Times New Roman" w:eastAsia="Times New Roman" w:hAnsi="Times New Roman"/>
          <w:sz w:val="18"/>
          <w:szCs w:val="18"/>
          <w:color w:val="auto"/>
        </w:rPr>
      </w:pPr>
    </w:p>
    <w:p>
      <w:pPr>
        <w:ind w:left="4" w:right="20" w:hanging="4"/>
        <w:spacing w:after="0" w:line="258"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further understands that its representations and warranties hereunder will not preclude disposition of the Shares without registration thereof, in compliance with Rule 144 promulgated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The Investor understands and acknowledges, however, that there may not be available when the Investor wishes to sell the Shares, or any portion thereof, the adequate current public information with respect to the Company which would permit offers or sales of such securities pursuant to Rule 144, and, therefore, compliance with the Securities Act or some other exemption from the registration and prospectus delivery requirements of the Securities Act may be required for any such offer or sale; and</w:t>
      </w:r>
    </w:p>
    <w:p>
      <w:pPr>
        <w:sectPr>
          <w:pgSz w:w="11900" w:h="16838" w:orient="portrait"/>
          <w:cols w:equalWidth="0" w:num="1">
            <w:col w:w="11024"/>
          </w:cols>
          <w:pgMar w:left="436" w:top="270" w:right="439" w:bottom="1440" w:gutter="0" w:footer="0" w:header="0"/>
        </w:sectPr>
      </w:pPr>
    </w:p>
    <w:bookmarkStart w:id="42" w:name="page43"/>
    <w:bookmarkEnd w:id="42"/>
    <w:p>
      <w:pPr>
        <w:ind w:left="4" w:right="20" w:hanging="4"/>
        <w:spacing w:after="0" w:line="261"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Investor is validly existing as a limited partnership in good standing under the laws of Delaware; (ii) the Investor has all requisite power and authority to execute and deliver this Agreement; and (iii) this Agreement constitutes the valid and legally binding obligation of the Investor, enforceable against the Investor in accordance with its terms, subject to bankruptcy, reorganization, insolvency and other similar laws affecting the enforcement of creditors’ rights generally and to general principles of equity.</w:t>
      </w:r>
    </w:p>
    <w:p>
      <w:pPr>
        <w:spacing w:after="0" w:line="180" w:lineRule="exact"/>
        <w:rPr>
          <w:sz w:val="20"/>
          <w:szCs w:val="20"/>
          <w:color w:val="auto"/>
        </w:rPr>
      </w:pPr>
    </w:p>
    <w:p>
      <w:pPr>
        <w:ind w:left="4" w:hanging="4"/>
        <w:spacing w:after="0" w:line="256" w:lineRule="auto"/>
        <w:tabs>
          <w:tab w:leader="none" w:pos="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Closing</w:t>
      </w:r>
      <w:r>
        <w:rPr>
          <w:rFonts w:ascii="Times New Roman" w:cs="Times New Roman" w:eastAsia="Times New Roman" w:hAnsi="Times New Roman"/>
          <w:sz w:val="18"/>
          <w:szCs w:val="18"/>
          <w:color w:val="auto"/>
        </w:rPr>
        <w:t>. The obligations of the Company and the Investor hereunder are subject to the satisfaction of the conditions set forth below on or before the Closing. If for any reason any of the conditions set forth in this Section 4 are not satisfied or waived by each party entitled to the benefit of such conditions at or prior to the Closing, then each party by written notice given to the other parties hereto shall have the right to elect to terminate this Agreement and each party shall be released from their obligations hereunder and shall have no further liability hereunder, provided, however, that nothing contained in this Section 4 shall relieve any party from liabilities or damages arising out of any fraud or willful breach by such party of this Agreement prior to such termination.</w:t>
      </w:r>
    </w:p>
    <w:p>
      <w:pPr>
        <w:spacing w:after="0" w:line="185" w:lineRule="exact"/>
        <w:rPr>
          <w:sz w:val="20"/>
          <w:szCs w:val="20"/>
          <w:color w:val="auto"/>
        </w:rPr>
      </w:pPr>
    </w:p>
    <w:p>
      <w:pPr>
        <w:ind w:left="4" w:right="660" w:hanging="4"/>
        <w:spacing w:after="0" w:line="284" w:lineRule="auto"/>
        <w:tabs>
          <w:tab w:leader="none" w:pos="2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to the Investor’s Obligations. </w:t>
      </w:r>
      <w:r>
        <w:rPr>
          <w:rFonts w:ascii="Times New Roman" w:cs="Times New Roman" w:eastAsia="Times New Roman" w:hAnsi="Times New Roman"/>
          <w:sz w:val="18"/>
          <w:szCs w:val="18"/>
          <w:color w:val="auto"/>
        </w:rPr>
        <w:t>The Investor’s obligation to purchase the Shares at the Closing are subject to the satisfaction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conditions:</w:t>
      </w:r>
    </w:p>
    <w:p>
      <w:pPr>
        <w:spacing w:after="0" w:line="52" w:lineRule="exact"/>
        <w:rPr>
          <w:rFonts w:ascii="Times New Roman" w:cs="Times New Roman" w:eastAsia="Times New Roman" w:hAnsi="Times New Roman"/>
          <w:sz w:val="18"/>
          <w:szCs w:val="18"/>
          <w:color w:val="auto"/>
        </w:rPr>
      </w:pPr>
    </w:p>
    <w:p>
      <w:pPr>
        <w:ind w:left="444" w:right="100" w:hanging="4"/>
        <w:spacing w:after="0" w:line="261" w:lineRule="auto"/>
        <w:tabs>
          <w:tab w:leader="none" w:pos="65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Section 2.1 herein shall be true and accurate on and as of the Closing with the same force and effect as if they had been made at the Closing (except to the extent any such representations and warranties expressly relate to a particular date, in which case such representations and warranties are true and correct as of such particular date) (after giving effect to any materiality or other qualifiers contained therein);</w:t>
      </w:r>
    </w:p>
    <w:p>
      <w:pPr>
        <w:spacing w:after="0" w:line="71" w:lineRule="exact"/>
        <w:rPr>
          <w:rFonts w:ascii="Times New Roman" w:cs="Times New Roman" w:eastAsia="Times New Roman" w:hAnsi="Times New Roman"/>
          <w:sz w:val="18"/>
          <w:szCs w:val="18"/>
          <w:color w:val="auto"/>
        </w:rPr>
      </w:pPr>
    </w:p>
    <w:p>
      <w:pPr>
        <w:ind w:left="444" w:right="160" w:hanging="4"/>
        <w:spacing w:after="0" w:line="266" w:lineRule="auto"/>
        <w:tabs>
          <w:tab w:leader="none" w:pos="70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67" w:lineRule="exact"/>
        <w:rPr>
          <w:rFonts w:ascii="Times New Roman" w:cs="Times New Roman" w:eastAsia="Times New Roman" w:hAnsi="Times New Roman"/>
          <w:sz w:val="18"/>
          <w:szCs w:val="18"/>
          <w:color w:val="auto"/>
        </w:rPr>
      </w:pPr>
    </w:p>
    <w:p>
      <w:pPr>
        <w:jc w:val="both"/>
        <w:ind w:left="444" w:right="80" w:hanging="4"/>
        <w:spacing w:after="0" w:line="261" w:lineRule="auto"/>
        <w:tabs>
          <w:tab w:leader="none" w:pos="75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or body shall have enacted, issued, promulgated, enforced or entered any decision, injunction, decree, ruling, law or order enjoining, suspending or otherwise prohibiting or making illegal the consummation of the transactions contemplated at the Closing, any stop order suspending the effectiveness of the Registration Statement shall be or shall have been in effect, or any proceedings for such purpose or pursuant to Section 8A under the Securities Act shall be or shall have been pending before or threatened by the SEC;</w:t>
      </w:r>
    </w:p>
    <w:p>
      <w:pPr>
        <w:spacing w:after="0" w:line="71" w:lineRule="exact"/>
        <w:rPr>
          <w:rFonts w:ascii="Times New Roman" w:cs="Times New Roman" w:eastAsia="Times New Roman" w:hAnsi="Times New Roman"/>
          <w:sz w:val="18"/>
          <w:szCs w:val="18"/>
          <w:color w:val="auto"/>
        </w:rPr>
      </w:pPr>
    </w:p>
    <w:p>
      <w:pPr>
        <w:ind w:left="444" w:right="140" w:hanging="4"/>
        <w:spacing w:after="0" w:line="282" w:lineRule="auto"/>
        <w:tabs>
          <w:tab w:leader="none" w:pos="74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Agreement shall be in full force and effect and none of the parties thereto shall have asserted any claim or initiated any action pursuant thereto;</w:t>
      </w:r>
    </w:p>
    <w:p>
      <w:pPr>
        <w:spacing w:after="0" w:line="53" w:lineRule="exact"/>
        <w:rPr>
          <w:rFonts w:ascii="Times New Roman" w:cs="Times New Roman" w:eastAsia="Times New Roman" w:hAnsi="Times New Roman"/>
          <w:sz w:val="18"/>
          <w:szCs w:val="18"/>
          <w:color w:val="auto"/>
        </w:rPr>
      </w:pPr>
    </w:p>
    <w:p>
      <w:pPr>
        <w:ind w:left="444" w:right="20" w:hanging="4"/>
        <w:spacing w:after="0" w:line="266" w:lineRule="auto"/>
        <w:tabs>
          <w:tab w:leader="none" w:pos="6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consummated the IPO and the Underwriters shall have purchased, concurrently with the purchase of the Shares by the Investor hereunder, the Initial Securities (as defined in the Underwriting Agreement) at the IPO Price (less any applicable underwriting discounts or commissions); and</w:t>
      </w:r>
    </w:p>
    <w:p>
      <w:pPr>
        <w:spacing w:after="0" w:line="6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with Nasdaq a Notification Form: Listing of Additional Shares for the listing of the Shares.</w:t>
      </w:r>
    </w:p>
    <w:p>
      <w:pPr>
        <w:spacing w:after="0" w:line="223" w:lineRule="exact"/>
        <w:rPr>
          <w:rFonts w:ascii="Times New Roman" w:cs="Times New Roman" w:eastAsia="Times New Roman" w:hAnsi="Times New Roman"/>
          <w:sz w:val="18"/>
          <w:szCs w:val="18"/>
          <w:color w:val="auto"/>
        </w:rPr>
      </w:pPr>
    </w:p>
    <w:p>
      <w:pPr>
        <w:ind w:left="4" w:right="20" w:hanging="4"/>
        <w:spacing w:after="0" w:line="284"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to the Company’s Obligations. </w:t>
      </w:r>
      <w:r>
        <w:rPr>
          <w:rFonts w:ascii="Times New Roman" w:cs="Times New Roman" w:eastAsia="Times New Roman" w:hAnsi="Times New Roman"/>
          <w:sz w:val="18"/>
          <w:szCs w:val="18"/>
          <w:color w:val="auto"/>
        </w:rPr>
        <w:t>The Company’s obligations to sell the Shares at the Closing are subject to the satisfaction of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w:t>
      </w:r>
    </w:p>
    <w:p>
      <w:pPr>
        <w:spacing w:after="0" w:line="52" w:lineRule="exact"/>
        <w:rPr>
          <w:rFonts w:ascii="Times New Roman" w:cs="Times New Roman" w:eastAsia="Times New Roman" w:hAnsi="Times New Roman"/>
          <w:sz w:val="18"/>
          <w:szCs w:val="18"/>
          <w:color w:val="auto"/>
        </w:rPr>
      </w:pPr>
    </w:p>
    <w:p>
      <w:pPr>
        <w:ind w:left="444" w:right="140" w:hanging="4"/>
        <w:spacing w:after="0" w:line="282" w:lineRule="auto"/>
        <w:tabs>
          <w:tab w:leader="none" w:pos="65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paid the Purchase Price to the Company by wire transfer of immediately available funds as specified in Section 1(c) of this Agreement;</w:t>
      </w:r>
    </w:p>
    <w:p>
      <w:pPr>
        <w:spacing w:after="0" w:line="53" w:lineRule="exact"/>
        <w:rPr>
          <w:rFonts w:ascii="Times New Roman" w:cs="Times New Roman" w:eastAsia="Times New Roman" w:hAnsi="Times New Roman"/>
          <w:sz w:val="18"/>
          <w:szCs w:val="18"/>
          <w:color w:val="auto"/>
        </w:rPr>
      </w:pPr>
    </w:p>
    <w:p>
      <w:pPr>
        <w:ind w:left="444" w:right="240" w:hanging="4"/>
        <w:spacing w:after="0" w:line="282" w:lineRule="auto"/>
        <w:tabs>
          <w:tab w:leader="none" w:pos="70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Investor contained in Section 2.2 shall be true and accurate on and as of the Closing with the same force and effect as if they had been made at the Closing; and</w:t>
      </w:r>
    </w:p>
    <w:p>
      <w:pPr>
        <w:spacing w:after="0" w:line="53" w:lineRule="exact"/>
        <w:rPr>
          <w:rFonts w:ascii="Times New Roman" w:cs="Times New Roman" w:eastAsia="Times New Roman" w:hAnsi="Times New Roman"/>
          <w:sz w:val="18"/>
          <w:szCs w:val="18"/>
          <w:color w:val="auto"/>
        </w:rPr>
      </w:pPr>
    </w:p>
    <w:p>
      <w:pPr>
        <w:ind w:left="444" w:right="500" w:hanging="4"/>
        <w:spacing w:after="0" w:line="282" w:lineRule="auto"/>
        <w:tabs>
          <w:tab w:leader="none" w:pos="75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purchased, concurrently with the purchase of the Shares by the Investor hereunder, the Initial Securities (as defined in the Underwriting Agreement) at the IPO Price (less any underwriting discounts or commissions).</w:t>
      </w:r>
    </w:p>
    <w:p>
      <w:pPr>
        <w:sectPr>
          <w:pgSz w:w="11900" w:h="16838" w:orient="portrait"/>
          <w:cols w:equalWidth="0" w:num="1">
            <w:col w:w="10984"/>
          </w:cols>
          <w:pgMar w:left="436" w:top="270" w:right="479" w:bottom="1440" w:gutter="0" w:footer="0" w:header="0"/>
        </w:sectPr>
      </w:pPr>
    </w:p>
    <w:bookmarkStart w:id="43" w:name="page44"/>
    <w:bookmarkEnd w:id="43"/>
    <w:p>
      <w:pPr>
        <w:ind w:left="184" w:hanging="184"/>
        <w:spacing w:after="0"/>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Reliance by the Placement Agents</w:t>
      </w:r>
      <w:r>
        <w:rPr>
          <w:rFonts w:ascii="Times New Roman" w:cs="Times New Roman" w:eastAsia="Times New Roman" w:hAnsi="Times New Roman"/>
          <w:sz w:val="18"/>
          <w:szCs w:val="18"/>
          <w:color w:val="auto"/>
        </w:rPr>
        <w:t>. The parties agree and acknowledge that the Placement Agents may rely on, as an express third-party beneficiary,</w:t>
      </w:r>
    </w:p>
    <w:p>
      <w:pPr>
        <w:spacing w:after="0" w:line="27" w:lineRule="exact"/>
        <w:rPr>
          <w:rFonts w:ascii="Times New Roman" w:cs="Times New Roman" w:eastAsia="Times New Roman" w:hAnsi="Times New Roman"/>
          <w:sz w:val="18"/>
          <w:szCs w:val="18"/>
          <w:color w:val="auto"/>
        </w:rPr>
      </w:pPr>
    </w:p>
    <w:p>
      <w:pPr>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warranties, agreements and covenants of the Company contained in this Agreement and (b) the representations and warranties of the Investor contained in this Agreement, in each case as if such representations, warranties, agreements and covenants, as applicable, were made directly to the Placement Agents.</w:t>
      </w:r>
    </w:p>
    <w:p>
      <w:pPr>
        <w:spacing w:after="0" w:line="185" w:lineRule="exact"/>
        <w:rPr>
          <w:rFonts w:ascii="Times New Roman" w:cs="Times New Roman" w:eastAsia="Times New Roman" w:hAnsi="Times New Roman"/>
          <w:sz w:val="18"/>
          <w:szCs w:val="18"/>
          <w:color w:val="auto"/>
        </w:rPr>
      </w:pPr>
    </w:p>
    <w:p>
      <w:pPr>
        <w:ind w:left="4" w:right="980" w:hanging="4"/>
        <w:spacing w:after="0" w:line="282" w:lineRule="auto"/>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of Placement Agents</w:t>
      </w:r>
      <w:r>
        <w:rPr>
          <w:rFonts w:ascii="Times New Roman" w:cs="Times New Roman" w:eastAsia="Times New Roman" w:hAnsi="Times New Roman"/>
          <w:sz w:val="18"/>
          <w:szCs w:val="18"/>
          <w:color w:val="auto"/>
        </w:rPr>
        <w:t>. Each party agrees, for the express benefit of the Placement Agents, their affiliates and their respective representatives, that:</w:t>
      </w:r>
    </w:p>
    <w:p>
      <w:pPr>
        <w:spacing w:after="0" w:line="54" w:lineRule="exact"/>
        <w:rPr>
          <w:sz w:val="20"/>
          <w:szCs w:val="20"/>
          <w:color w:val="auto"/>
        </w:rPr>
      </w:pPr>
    </w:p>
    <w:p>
      <w:pPr>
        <w:ind w:left="4" w:right="20" w:hanging="4"/>
        <w:spacing w:after="0" w:line="254"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Placement Agents, any of their affiliates or any of their respective representatives (i) has any duties or obligations other than those specifically set forth herein or in the Placement Agent Agreement by and among the Company and the Placement Agents, entered into on May 31, 2024 (as amended from time to time, the “</w:t>
      </w:r>
      <w:r>
        <w:rPr>
          <w:rFonts w:ascii="Times New Roman" w:cs="Times New Roman" w:eastAsia="Times New Roman" w:hAnsi="Times New Roman"/>
          <w:sz w:val="18"/>
          <w:szCs w:val="18"/>
          <w:b w:val="1"/>
          <w:bCs w:val="1"/>
          <w:color w:val="auto"/>
        </w:rPr>
        <w:t>Placement Agent Agreement</w:t>
      </w:r>
      <w:r>
        <w:rPr>
          <w:rFonts w:ascii="Times New Roman" w:cs="Times New Roman" w:eastAsia="Times New Roman" w:hAnsi="Times New Roman"/>
          <w:sz w:val="18"/>
          <w:szCs w:val="18"/>
          <w:color w:val="auto"/>
        </w:rPr>
        <w:t>”); (ii) makes any representation or warranty, express or implied, pursuant to this Agreement or in connection with any of the transactions contemplated hereby and has not provided any advice or recommendation to the Investors in connection with the purchase or sale of the Shares; or (iii) shall be liable for (x) any action taken, suffered or omitted by any of them in good faith and reasonably believed to be authorized or within the discretion, rights or powers conferred upon it by this Agreement, (y) any improper payment made in accordance with the information provided by the Company, or (z) anything which any of them may do or refrain from doing in connection with this Agreement, except for such party’s own gross negligence, recklessness or willful misconduct as determined by a court of competent jurisdiction by final and non-appealable judgment.</w:t>
      </w:r>
    </w:p>
    <w:p>
      <w:pPr>
        <w:spacing w:after="0" w:line="188" w:lineRule="exact"/>
        <w:rPr>
          <w:rFonts w:ascii="Times New Roman" w:cs="Times New Roman" w:eastAsia="Times New Roman" w:hAnsi="Times New Roman"/>
          <w:sz w:val="18"/>
          <w:szCs w:val="18"/>
          <w:color w:val="auto"/>
        </w:rPr>
      </w:pPr>
    </w:p>
    <w:p>
      <w:pPr>
        <w:ind w:left="4" w:right="80" w:hanging="4"/>
        <w:spacing w:after="0" w:line="256"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Placement Agents, any of their affiliates or any of their respective representatives shall be responsible for, or have any duty to ascertain or inquire into, (i) any statement, warranty or representation made in or in connection with this Agreement, (ii) the contents, validity, accuracy, value or genuineness of any certificate, report or other document delivered by or on behalf of the Company, the Investor or any other party pursuant to this Agreement or in connection with any of the transactions contemplated hereby, (iii) the performance or observance of any of the covenants, agreements or other terms or conditions set forth in this Agreement, (iv) the validity, enforceability, effectiveness or genuineness of this Agreement, or (v) the satisfaction of any condition set forth in Section 4 of this Agreement.</w:t>
      </w:r>
    </w:p>
    <w:p>
      <w:pPr>
        <w:spacing w:after="0" w:line="187" w:lineRule="exact"/>
        <w:rPr>
          <w:rFonts w:ascii="Times New Roman" w:cs="Times New Roman" w:eastAsia="Times New Roman" w:hAnsi="Times New Roman"/>
          <w:sz w:val="18"/>
          <w:szCs w:val="18"/>
          <w:color w:val="auto"/>
        </w:rPr>
      </w:pPr>
    </w:p>
    <w:p>
      <w:pPr>
        <w:ind w:left="4" w:right="20" w:hanging="4"/>
        <w:spacing w:after="0" w:line="258"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Agents, their affiliates and their respective representatives shall be entitled to (i) rely on, and shall not incur any liability for acting reasonably upon, any certificate, instrument, opinion, notice, letter or any other document or security delivered to any of them by or on behalf of the Company; (ii) consult with legal counsel and other experts, and shall not be liable for any lawful action taken or not taken in accordance with the advice of any such counsel or experts; and (iii) be indemnified by the Company for acting as Placement Agents hereunder pursuant to the indemnification provisions set forth in the Placement Agent Agreement.</w:t>
      </w:r>
    </w:p>
    <w:p>
      <w:pPr>
        <w:spacing w:after="0" w:line="183" w:lineRule="exact"/>
        <w:rPr>
          <w:rFonts w:ascii="Times New Roman" w:cs="Times New Roman" w:eastAsia="Times New Roman" w:hAnsi="Times New Roman"/>
          <w:sz w:val="18"/>
          <w:szCs w:val="18"/>
          <w:color w:val="auto"/>
        </w:rPr>
      </w:pPr>
    </w:p>
    <w:p>
      <w:pPr>
        <w:ind w:left="4" w:right="180" w:hanging="4"/>
        <w:spacing w:after="0" w:line="266"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Section 6 or elsewhere in this Agreement shall affect the obligations and liability of any of the Placement Agents, any of their affiliates or any of their respective representatives pursuant to the Underwriting Agreement or otherwise under applicable law or regulation in connection therewith.</w:t>
      </w:r>
    </w:p>
    <w:p>
      <w:pPr>
        <w:spacing w:after="0" w:line="175" w:lineRule="exact"/>
        <w:rPr>
          <w:rFonts w:ascii="Times New Roman" w:cs="Times New Roman" w:eastAsia="Times New Roman" w:hAnsi="Times New Roman"/>
          <w:sz w:val="18"/>
          <w:szCs w:val="18"/>
          <w:color w:val="auto"/>
        </w:rPr>
      </w:pPr>
    </w:p>
    <w:p>
      <w:pPr>
        <w:jc w:val="both"/>
        <w:ind w:left="4" w:right="200" w:hanging="4"/>
        <w:spacing w:after="0" w:line="266" w:lineRule="auto"/>
        <w:tabs>
          <w:tab w:leader="none" w:pos="24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Placement Agents is acting solely as placement agent to the Company in connection with the sale of the Shares and is not acting as an underwriter or in any other capacity and is not and shall not be construed as a fiduciary for any Investor, the Company or any other person or entity in connection with the sale of Shares.</w:t>
      </w:r>
    </w:p>
    <w:p>
      <w:pPr>
        <w:spacing w:after="0" w:line="176" w:lineRule="exact"/>
        <w:rPr>
          <w:sz w:val="20"/>
          <w:szCs w:val="20"/>
          <w:color w:val="auto"/>
        </w:rPr>
      </w:pPr>
    </w:p>
    <w:p>
      <w:pPr>
        <w:ind w:left="4" w:hanging="4"/>
        <w:spacing w:after="0" w:line="256" w:lineRule="auto"/>
        <w:tabs>
          <w:tab w:leader="none" w:pos="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(other than the Investor) shall,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to Purchaser, or that would be integrated with the offer or sale of such Shares for purposes of the rules and regulations of any trading market such that it would require stockholder approval prior to the closing of such other transaction unless stockholder approval is obtained before the closing of such subsequent transaction.</w:t>
      </w:r>
    </w:p>
    <w:p>
      <w:pPr>
        <w:sectPr>
          <w:pgSz w:w="11900" w:h="16838" w:orient="portrait"/>
          <w:cols w:equalWidth="0" w:num="1">
            <w:col w:w="10984"/>
          </w:cols>
          <w:pgMar w:left="436" w:top="270" w:right="479" w:bottom="1440" w:gutter="0" w:footer="0" w:header="0"/>
        </w:sectPr>
      </w:pPr>
    </w:p>
    <w:bookmarkStart w:id="44" w:name="page45"/>
    <w:bookmarkEnd w:id="44"/>
    <w:p>
      <w:pPr>
        <w:ind w:left="4" w:right="280" w:hanging="4"/>
        <w:spacing w:after="0" w:line="282" w:lineRule="auto"/>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144 Reporting.</w:t>
      </w:r>
      <w:r>
        <w:rPr>
          <w:rFonts w:ascii="Times New Roman" w:cs="Times New Roman" w:eastAsia="Times New Roman" w:hAnsi="Times New Roman"/>
          <w:sz w:val="18"/>
          <w:szCs w:val="18"/>
          <w:color w:val="auto"/>
        </w:rPr>
        <w:t xml:space="preserve"> With a view to making available to the Investor the benefits of certain rules and regulations of the SEC which may permit the sale of the Shares to the public without registration, the Company agrees to use commercially reasonable efforts to:</w:t>
      </w:r>
    </w:p>
    <w:p>
      <w:pPr>
        <w:spacing w:after="0" w:line="54" w:lineRule="exact"/>
        <w:rPr>
          <w:sz w:val="20"/>
          <w:szCs w:val="20"/>
          <w:color w:val="auto"/>
        </w:rPr>
      </w:pPr>
    </w:p>
    <w:p>
      <w:pPr>
        <w:ind w:left="244" w:hanging="244"/>
        <w:spacing w:after="0"/>
        <w:tabs>
          <w:tab w:leader="none" w:pos="2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ind w:left="4" w:right="540" w:hanging="4"/>
        <w:spacing w:after="0" w:line="282"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4" w:right="20" w:hanging="4"/>
        <w:spacing w:after="0" w:line="266"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 promptly upon written request (i) a written statement by the Company as to its compliance with the public information requirements of Rule 144, (ii) a copy of the most recent annual or quarterly report of the Company, and (iii) such other reports and documents as may be reasonably requested in availing the Investor of any rule or regulation of the SEC permitting the sale of the Shares to the public without registration.</w:t>
      </w:r>
    </w:p>
    <w:p>
      <w:pPr>
        <w:spacing w:after="0" w:line="176" w:lineRule="exact"/>
        <w:rPr>
          <w:sz w:val="20"/>
          <w:szCs w:val="20"/>
          <w:color w:val="auto"/>
        </w:rPr>
      </w:pPr>
    </w:p>
    <w:p>
      <w:pPr>
        <w:ind w:left="184" w:hanging="184"/>
        <w:spacing w:after="0"/>
        <w:tabs>
          <w:tab w:leader="none" w:pos="1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p>
    <w:p>
      <w:pPr>
        <w:spacing w:after="0" w:line="225" w:lineRule="exact"/>
        <w:rPr>
          <w:sz w:val="20"/>
          <w:szCs w:val="20"/>
          <w:color w:val="auto"/>
        </w:rPr>
      </w:pPr>
    </w:p>
    <w:p>
      <w:pPr>
        <w:ind w:left="4" w:right="40" w:hanging="4"/>
        <w:spacing w:after="0" w:line="258"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one year anniversary of the date the Registration Statement is declared effective by the Commission, the Shares cannot be sold without restriction pursuant to Rule 144 promulgated under the Securities Act, then upon Investor’s written request, received by the Company within 30 days of such anniversary, the Company will use commercially reasonable efforts to register the Shares for resale under the Securities Act on a Registration Statement on Form S-3 (the “Resale Registration Statement”), filed within 90 days of such written request, and will use commercially reasonable efforts to have such Resale Registration Statement promptly declared effective by the Commission.</w:t>
      </w:r>
    </w:p>
    <w:p>
      <w:pPr>
        <w:spacing w:after="0" w:line="183" w:lineRule="exact"/>
        <w:rPr>
          <w:rFonts w:ascii="Times New Roman" w:cs="Times New Roman" w:eastAsia="Times New Roman" w:hAnsi="Times New Roman"/>
          <w:sz w:val="18"/>
          <w:szCs w:val="18"/>
          <w:color w:val="auto"/>
        </w:rPr>
      </w:pPr>
    </w:p>
    <w:p>
      <w:pPr>
        <w:ind w:left="4" w:right="80" w:hanging="4"/>
        <w:spacing w:after="0" w:line="266"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commercially reasonable efforts to keep the Resale Registration Statement continuously effective under the Securities Act until the earlier of (i) the date all of the Shares covered by such Resale Registration Statement have been sold or can be sold publicly without restriction or limitation under Rule 144 or (ii) the date that is two years following the Closing Date.</w:t>
      </w:r>
    </w:p>
    <w:p>
      <w:pPr>
        <w:spacing w:after="0" w:line="175" w:lineRule="exact"/>
        <w:rPr>
          <w:rFonts w:ascii="Times New Roman" w:cs="Times New Roman" w:eastAsia="Times New Roman" w:hAnsi="Times New Roman"/>
          <w:sz w:val="18"/>
          <w:szCs w:val="18"/>
          <w:color w:val="auto"/>
        </w:rPr>
      </w:pPr>
    </w:p>
    <w:p>
      <w:pPr>
        <w:ind w:left="4" w:right="260" w:hanging="4"/>
        <w:spacing w:after="0" w:line="282"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furnish to the Company such information regarding the Investor, and the distribution proposed by the Investor, as the Company may reasonably request in writing and as shall be required in connection with the Resale Registration Statement.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all fees and expenses incident to the performance of or compliance with this Section 9 by the Company.]</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ind w:left="4" w:right="420" w:hanging="4"/>
        <w:spacing w:after="0" w:line="282" w:lineRule="auto"/>
        <w:tabs>
          <w:tab w:leader="none" w:pos="2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hereto and their respective successors and permitted assigns.</w:t>
      </w:r>
    </w:p>
    <w:p>
      <w:pPr>
        <w:spacing w:after="0" w:line="161" w:lineRule="exact"/>
        <w:rPr>
          <w:rFonts w:ascii="Times New Roman" w:cs="Times New Roman" w:eastAsia="Times New Roman" w:hAnsi="Times New Roman"/>
          <w:sz w:val="18"/>
          <w:szCs w:val="18"/>
          <w:color w:val="auto"/>
        </w:rPr>
      </w:pPr>
    </w:p>
    <w:p>
      <w:pPr>
        <w:ind w:left="4" w:right="200" w:hanging="4"/>
        <w:spacing w:after="0" w:line="276" w:lineRule="auto"/>
        <w:tabs>
          <w:tab w:leader="none" w:pos="26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Notices given hereunder shall be deemed to have been duly given, only if given in writing, and on (i) the date of personal delivery; (ii) on the date one day after being delivered to a reputable overnight courier with proper delivery instructions; or (iii) if delivered by email, upon electronic</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confirmation of receipt to the party being notified as addressed as follows: (a) if to the Investor, to: [   ], (b) if to the Company, to: Rapport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-12065</wp:posOffset>
            </wp:positionV>
            <wp:extent cx="114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 at 1325 Boylston Street, Suite 401, Boston, MA 02215, Attention: Chief Financial Officer (tignelzi@rapportrx.com), with a copy (which shall 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constitute notice) to: Goodwin Procter LLP, 100 Northern Ave, Boston, MA 02210.</w:t>
      </w:r>
    </w:p>
    <w:p>
      <w:pPr>
        <w:spacing w:after="0" w:line="207" w:lineRule="exact"/>
        <w:rPr>
          <w:sz w:val="20"/>
          <w:szCs w:val="20"/>
          <w:color w:val="auto"/>
        </w:rPr>
      </w:pPr>
    </w:p>
    <w:p>
      <w:pPr>
        <w:ind w:left="4" w:right="140" w:hanging="4"/>
        <w:spacing w:after="0" w:line="289" w:lineRule="auto"/>
        <w:tabs>
          <w:tab w:leader="none" w:pos="27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and Amendments.</w:t>
      </w:r>
      <w:r>
        <w:rPr>
          <w:rFonts w:ascii="Times New Roman" w:cs="Times New Roman" w:eastAsia="Times New Roman" w:hAnsi="Times New Roman"/>
          <w:sz w:val="17"/>
          <w:szCs w:val="17"/>
          <w:color w:val="auto"/>
        </w:rPr>
        <w:t xml:space="preserve"> This Agreement constitutes the entire agreement of the parties with respect to the subject matter hereof. This Agreement may be amended or waived if, and only if, such amendment or waiver is in writing and signed, in the case of an amendment, by each of the parties hereto or, in the case of a waiver, by the party waiving compliance. No waiver shall be deemed a waiver of any subsequent breach or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SPA with Sofinnova Venture Partners XI, L.P. only.</w:t>
      </w:r>
    </w:p>
    <w:p>
      <w:pPr>
        <w:sectPr>
          <w:pgSz w:w="11900" w:h="16838" w:orient="portrait"/>
          <w:cols w:equalWidth="0" w:num="1">
            <w:col w:w="11004"/>
          </w:cols>
          <w:pgMar w:left="436" w:top="270" w:right="459" w:bottom="1440" w:gutter="0" w:footer="0" w:header="0"/>
        </w:sectPr>
      </w:pPr>
    </w:p>
    <w:bookmarkStart w:id="45" w:name="page46"/>
    <w:bookmarkEnd w:id="45"/>
    <w:p>
      <w:pPr>
        <w:ind w:left="4"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Sections 5 and 6 of this Agreement may not be waived, modified, supplemented or amended without the written consent of the Placement Agents.</w:t>
      </w:r>
    </w:p>
    <w:p>
      <w:pPr>
        <w:spacing w:after="0" w:line="162" w:lineRule="exact"/>
        <w:rPr>
          <w:sz w:val="20"/>
          <w:szCs w:val="20"/>
          <w:color w:val="auto"/>
        </w:rPr>
      </w:pPr>
    </w:p>
    <w:p>
      <w:pPr>
        <w:ind w:left="4" w:right="520" w:hanging="4"/>
        <w:spacing w:after="0" w:line="282" w:lineRule="auto"/>
        <w:tabs>
          <w:tab w:leader="none" w:pos="2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governed by and interpreted in accordance with the laws of the State of New York without regard to conflict of laws principles which would result in the application of the law of any other jurisdiction.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invalidity or unenforceability of any particular provision of this Agreement shall not affect the other provisions hereof.</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may not be assigned by the Company or the Investor without the prior written consent of the other parties hereto.</w:t>
      </w:r>
    </w:p>
    <w:p>
      <w:pPr>
        <w:spacing w:after="0" w:line="225" w:lineRule="exact"/>
        <w:rPr>
          <w:rFonts w:ascii="Times New Roman" w:cs="Times New Roman" w:eastAsia="Times New Roman" w:hAnsi="Times New Roman"/>
          <w:sz w:val="18"/>
          <w:szCs w:val="18"/>
          <w:color w:val="auto"/>
        </w:rPr>
      </w:pPr>
    </w:p>
    <w:p>
      <w:pPr>
        <w:ind w:left="4" w:right="360" w:hanging="4"/>
        <w:spacing w:after="0" w:line="282" w:lineRule="auto"/>
        <w:tabs>
          <w:tab w:leader="none" w:pos="2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xml:space="preserve"> Captions are for convenience only and are not deemed to be part of this Agreement. All references herein to numbered Sections are to Sections of this Agreement unless otherwise indicated.</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w:t>
      </w:r>
    </w:p>
    <w:p>
      <w:pPr>
        <w:spacing w:after="0" w:line="225" w:lineRule="exact"/>
        <w:rPr>
          <w:rFonts w:ascii="Times New Roman" w:cs="Times New Roman" w:eastAsia="Times New Roman" w:hAnsi="Times New Roman"/>
          <w:sz w:val="18"/>
          <w:szCs w:val="18"/>
          <w:color w:val="auto"/>
        </w:rPr>
      </w:pPr>
    </w:p>
    <w:p>
      <w:pPr>
        <w:ind w:left="4" w:hanging="4"/>
        <w:spacing w:after="0" w:line="282" w:lineRule="auto"/>
        <w:tabs>
          <w:tab w:leader="none" w:pos="2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by pdf and in counterparts, each of which shall be deemed an original, but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2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parties agree to execute such further instruments and to take such further action as may reasonably be necessary to carry out the intent of this Agreement.</w:t>
      </w:r>
    </w:p>
    <w:p>
      <w:pPr>
        <w:spacing w:after="0" w:line="161" w:lineRule="exact"/>
        <w:rPr>
          <w:rFonts w:ascii="Times New Roman" w:cs="Times New Roman" w:eastAsia="Times New Roman" w:hAnsi="Times New Roman"/>
          <w:sz w:val="18"/>
          <w:szCs w:val="18"/>
          <w:color w:val="auto"/>
        </w:rPr>
      </w:pPr>
    </w:p>
    <w:p>
      <w:pPr>
        <w:ind w:left="4" w:right="20" w:hanging="4"/>
        <w:spacing w:after="0" w:line="251" w:lineRule="auto"/>
        <w:tabs>
          <w:tab w:leader="none" w:pos="2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 Removal</w:t>
      </w:r>
      <w:r>
        <w:rPr>
          <w:rFonts w:ascii="Times New Roman" w:cs="Times New Roman" w:eastAsia="Times New Roman" w:hAnsi="Times New Roman"/>
          <w:sz w:val="18"/>
          <w:szCs w:val="18"/>
          <w:color w:val="auto"/>
        </w:rPr>
        <w:t>. If a Investor has resold all or a portion of the Shares in a manner described under the caption “Plan of Distribution” in a then-effective and available Resale Registration Statement or pursuant to Rule 144 or other available exemption from registration under the Securities Act, such Investor shall promptly (a) send a confirmation to the Company’s transfer agent setting forth the number of such Shares that have been so resold and the date of such resale (such confirmation, the “</w:t>
      </w:r>
      <w:r>
        <w:rPr>
          <w:rFonts w:ascii="Times New Roman" w:cs="Times New Roman" w:eastAsia="Times New Roman" w:hAnsi="Times New Roman"/>
          <w:sz w:val="18"/>
          <w:szCs w:val="18"/>
          <w:b w:val="1"/>
          <w:bCs w:val="1"/>
          <w:color w:val="auto"/>
        </w:rPr>
        <w:t>Transfer Agent Confirmation</w:t>
      </w:r>
      <w:r>
        <w:rPr>
          <w:rFonts w:ascii="Times New Roman" w:cs="Times New Roman" w:eastAsia="Times New Roman" w:hAnsi="Times New Roman"/>
          <w:sz w:val="18"/>
          <w:szCs w:val="18"/>
          <w:color w:val="auto"/>
        </w:rPr>
        <w:t>”) and (b) deliver to the Company, the transfer agent and legal counsel to the Company a customary seller’s representation letter and broker’s representation letter confirming the resale of such Shares in the manner described above, together with any other documentation reasonably required by the transfer agent and/or the Depository Trust Company and, if applicable and requested by the Company, a legal opinion of the investor’s counsel that the sale of such shares did not require registration under the Securities Act, in a form and substance reasonably satisfactory to the Company and its legal counsel (the “</w:t>
      </w:r>
      <w:r>
        <w:rPr>
          <w:rFonts w:ascii="Times New Roman" w:cs="Times New Roman" w:eastAsia="Times New Roman" w:hAnsi="Times New Roman"/>
          <w:sz w:val="18"/>
          <w:szCs w:val="18"/>
          <w:b w:val="1"/>
          <w:bCs w:val="1"/>
          <w:color w:val="auto"/>
        </w:rPr>
        <w:t>Resale Deliverables</w:t>
      </w:r>
      <w:r>
        <w:rPr>
          <w:rFonts w:ascii="Times New Roman" w:cs="Times New Roman" w:eastAsia="Times New Roman" w:hAnsi="Times New Roman"/>
          <w:sz w:val="18"/>
          <w:szCs w:val="18"/>
          <w:color w:val="auto"/>
        </w:rPr>
        <w:t>”). The Company and the Investor hereby acknowledge that, if and when such Investor has (i) resold Shares in a manner described under the caption “Plan of Distribution” in the Resale Registration Statement or pursuant to Rule 144 or other available exemption from registration under the Securities Act and (ii) delivered the Resale Deliverables, the Company shall instruct the transfer agent to cause such shares to be credited to accounts designated by the Investor for the persons who purchased such Shares from the Investor. Upon the written request by the Investor to the Company if, at the time of such request, such Investor (i) is not, and has not been during the preceding three months, an affiliate of the Company and (ii) has held the portion of the Shares subject to such request for at least one year as determined in accordance with Rule 144, and at such time no other requirements would need to be satisfied in order for the Investor to sell the Shares under Rule 144, the Company shall, no later than two business days following the delivery by such Investor to the Company’s transfer agent of one or more legended certificates or book-entry statements representing such Shares issued to such Investor together with such other documentation from such Investor and its designated broker as the transfer agent or the Company deems necessary and appropriate, authorize the transfer agent to remove the Securities Act restrictive legend (and any stop transfer instructions placed against transfer of any such Shares) affixed to the portion of such Shares for which all conditions to such Investor’s ability to resell under Rule 144 have then been satisfied. At the time the Company authorizes the removal of the Securities Act restrictive legend (and any stop transfer instructions placed against transfer of any such Shares) pursuant to this Section 20, the Company shall also use its commercially reasonable efforts, at its sole expense, to cause its legal counsel to issue to the transfer agent a legal opinion or direction letter instructing the transfer agent that it is authorized to remove the Securities Act restrictive legend affixed to such Shares as contemplated by this Section 20. The Company shall be responsible for the fees of its transfer agent and any Depository Trust Company fees associated with such issuance.</w:t>
      </w:r>
    </w:p>
    <w:p>
      <w:pPr>
        <w:sectPr>
          <w:pgSz w:w="11900" w:h="16838" w:orient="portrait"/>
          <w:cols w:equalWidth="0" w:num="1">
            <w:col w:w="11004"/>
          </w:cols>
          <w:pgMar w:left="436" w:top="270" w:right="459" w:bottom="1440" w:gutter="0" w:footer="0" w:header="0"/>
        </w:sectPr>
      </w:pPr>
    </w:p>
    <w:bookmarkStart w:id="46" w:name="page47"/>
    <w:bookmarkEnd w:id="46"/>
    <w:p>
      <w:pPr>
        <w:ind w:left="4" w:hanging="4"/>
        <w:spacing w:after="0" w:line="256" w:lineRule="auto"/>
        <w:tabs>
          <w:tab w:leader="none" w:pos="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 xml:space="preserve"> This Agreement shall automatically terminate upon the earliest to occur, if any, of: (a) either the Company, on the one hand, or the Underwriters, on the other hand, advising the other in writing, prior to the execution of the Underwriting Agreement, that they have determined not to proceed with the IPO; (b) termination of the Underwriting Agreement (other than the provisions thereof which survive termination) prior to the sale of any of the Common Stock to the Underwriters; (c) termination of the Placement Agent Agreement; (d) the registration statement filed with the SEC with respect to the IPO is withdrawn; (e) if the Closing has not occurred on or prior to June 24, 2024; or (f) the written consent of each of the Company and the Investor.</w:t>
      </w:r>
    </w:p>
    <w:p>
      <w:pPr>
        <w:spacing w:after="0" w:line="18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to be effective as of the date first set forth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RAPPORT THERAPEUTICS,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Troy Ignelzi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-7620</wp:posOffset>
            </wp:positionV>
            <wp:extent cx="114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[Signature Page to Share Purchase Agreement]</w:t>
      </w:r>
    </w:p>
    <w:p>
      <w:pPr>
        <w:sectPr>
          <w:pgSz w:w="11900" w:h="16838" w:orient="portrait"/>
          <w:cols w:equalWidth="0" w:num="1">
            <w:col w:w="10019"/>
          </w:cols>
          <w:pgMar w:left="440" w:top="270"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Underwriting Agreement</w:t>
      </w:r>
    </w:p>
    <w:p>
      <w:pPr>
        <w:sectPr>
          <w:pgSz w:w="11900" w:h="16838" w:orient="portrait"/>
          <w:cols w:equalWidth="0" w:num="1">
            <w:col w:w="9019"/>
          </w:cols>
          <w:pgMar w:left="1440" w:top="266"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Rapport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(the “Representatives”) of the several Underwriters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7th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Rapport Therapeutics,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common stock, par value $0.001 per share (“Stock”) of the Company. The Firm Shares and the Optional Shares that the Underwriters elect to purchase pursuant to Section 2 hereof are herein collectively called the “Shares.”</w:t>
      </w:r>
    </w:p>
    <w:p>
      <w:pPr>
        <w:spacing w:after="0" w:line="183" w:lineRule="exact"/>
        <w:rPr>
          <w:sz w:val="20"/>
          <w:szCs w:val="20"/>
          <w:color w:val="auto"/>
        </w:rPr>
      </w:pPr>
    </w:p>
    <w:p>
      <w:pPr>
        <w:ind w:left="620" w:hanging="184"/>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each of the Underwriters that:</w:t>
      </w:r>
    </w:p>
    <w:p>
      <w:pPr>
        <w:spacing w:after="0" w:line="117" w:lineRule="exact"/>
        <w:rPr>
          <w:rFonts w:ascii="Times New Roman" w:cs="Times New Roman" w:eastAsia="Times New Roman" w:hAnsi="Times New Roman"/>
          <w:sz w:val="18"/>
          <w:szCs w:val="18"/>
          <w:color w:val="auto"/>
        </w:rPr>
      </w:pPr>
    </w:p>
    <w:p>
      <w:pPr>
        <w:ind w:right="120" w:firstLine="987"/>
        <w:spacing w:after="0" w:line="254" w:lineRule="auto"/>
        <w:tabs>
          <w:tab w:leader="none" w:pos="12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S-1 (File No. 333-279486)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w:t>
      </w:r>
    </w:p>
    <w:p>
      <w:pPr>
        <w:sectPr>
          <w:pgSz w:w="11900" w:h="16838" w:orient="portrait"/>
          <w:cols w:equalWidth="0" w:num="1">
            <w:col w:w="11020"/>
          </w:cols>
          <w:pgMar w:left="440" w:top="266" w:right="439" w:bottom="1440" w:gutter="0" w:footer="0" w:header="0"/>
        </w:sectPr>
      </w:pPr>
    </w:p>
    <w:bookmarkStart w:id="50" w:name="page51"/>
    <w:bookmarkEnd w:id="5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w:t>
      </w:r>
    </w:p>
    <w:p>
      <w:pPr>
        <w:spacing w:after="0" w:line="187" w:lineRule="exact"/>
        <w:rPr>
          <w:sz w:val="20"/>
          <w:szCs w:val="20"/>
          <w:color w:val="auto"/>
        </w:rPr>
      </w:pPr>
    </w:p>
    <w:p>
      <w:pPr>
        <w:ind w:firstLine="987"/>
        <w:spacing w:after="0" w:line="255"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order preventing or suspending the use of any Preliminary Prospectus or any Issuer Free Writing Prospectus has been issued by the Commission, (B) no proceeding for that purpose or pursuant to Section 8A of the Securities Act against the Company or related to the offering of the Shares has been initiated or threatened by the Commission, and (C)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p>
    <w:p>
      <w:pPr>
        <w:spacing w:after="0" w:line="188"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“Applicable Time” is [•] p.m., New York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each broadly available road show and each Written Testing-the-Waters Communication does not conflict with the information contained in the Registration Statement, the Pricing Prospectus or the Prospectus, and each Issuer Free Writing Prospectus, each broadly available road show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191"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documents were filed by the Company with the Commission since the Commission’s close of business on the business day immediately prior to the date of this Agreement and prior to the execution of this Agreement, except as set forth on Schedule II(b) hereto;</w:t>
      </w:r>
    </w:p>
    <w:p>
      <w:pPr>
        <w:spacing w:after="0" w:line="161"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at the time it was declared effective, conformed, and the Prospectus and any further amendments or supplements to the Registration Statement and the Prospectus, as of the date of the Prospectus or such amendment or supplement,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w:t>
      </w:r>
    </w:p>
    <w:p>
      <w:pPr>
        <w:sectPr>
          <w:pgSz w:w="11900" w:h="16838" w:orient="portrait"/>
          <w:cols w:equalWidth="0" w:num="1">
            <w:col w:w="11000"/>
          </w:cols>
          <w:pgMar w:left="440" w:top="270" w:right="459" w:bottom="1440" w:gutter="0" w:footer="0" w:header="0"/>
        </w:sectPr>
      </w:pPr>
    </w:p>
    <w:bookmarkStart w:id="51" w:name="page52"/>
    <w:bookmarkEnd w:id="51"/>
    <w:p>
      <w:pPr>
        <w:ind w:left="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this representation and warranty shall not apply to any statements or omissions made in reliance upon and in conformity with the Underwriter Information;</w:t>
      </w:r>
    </w:p>
    <w:p>
      <w:pPr>
        <w:spacing w:after="0" w:line="162" w:lineRule="exact"/>
        <w:rPr>
          <w:sz w:val="20"/>
          <w:szCs w:val="20"/>
          <w:color w:val="auto"/>
        </w:rPr>
      </w:pPr>
    </w:p>
    <w:p>
      <w:pPr>
        <w:ind w:left="4" w:right="20" w:firstLine="987"/>
        <w:spacing w:after="0" w:line="268" w:lineRule="auto"/>
        <w:tabs>
          <w:tab w:leader="none" w:pos="122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since the date of the latest audited financial statements included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w:t>
      </w:r>
    </w:p>
    <w:p>
      <w:pPr>
        <w:spacing w:after="0" w:line="4" w:lineRule="exact"/>
        <w:rPr>
          <w:rFonts w:ascii="Times New Roman" w:cs="Times New Roman" w:eastAsia="Times New Roman" w:hAnsi="Times New Roman"/>
          <w:sz w:val="17"/>
          <w:szCs w:val="17"/>
          <w:color w:val="auto"/>
        </w:rPr>
      </w:pPr>
    </w:p>
    <w:p>
      <w:pPr>
        <w:ind w:left="4" w:right="320" w:hanging="4"/>
        <w:spacing w:after="0" w:line="265" w:lineRule="auto"/>
        <w:tabs>
          <w:tab w:leader="none" w:pos="25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w:t>
      </w:r>
    </w:p>
    <w:p>
      <w:pPr>
        <w:ind w:left="4" w:right="140" w:hanging="4"/>
        <w:spacing w:after="0" w:line="265" w:lineRule="auto"/>
        <w:tabs>
          <w:tab w:leader="none" w:pos="26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if any, of stock upon conversion of the Company’s securities as described in the Pricing Prospectus and the Prospectus) or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w:t>
      </w:r>
    </w:p>
    <w:p>
      <w:pPr>
        <w:ind w:left="4" w:right="120" w:hanging="4"/>
        <w:spacing w:after="0" w:line="255" w:lineRule="auto"/>
        <w:tabs>
          <w:tab w:leader="none" w:pos="2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properties, general affairs, management, financial position, stockholders’ equity, prospects or results of operations of the Company and its subsidiaries, taken as a whole, or (ii) the ability of the Company to perform its obligations under this Agreement, including the issuance and sale of the Shares, or to consummate the transactions contemplated in the Pricing Prospectus and the Prospectus;</w:t>
      </w:r>
    </w:p>
    <w:p>
      <w:pPr>
        <w:spacing w:after="0" w:line="185"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in fee simple to all real property and good and marketable title to all personal property owned by them,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187"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or other business entity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identified in Exhibit 21.1 to the Registration Statement;</w:t>
      </w:r>
    </w:p>
    <w:p>
      <w:pPr>
        <w:spacing w:after="0" w:line="188"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Prospectus and all of the issued shares of capital stock of the Company have been duly and validly authorized and issued, are fully paid and non-assessable and conform, in all material respects, to the description of the Stock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and none of the outstanding capital stock or equity interest in any subsidiary was issued in violation of preemptive or similar rights of any security holder of such subsidiary;</w:t>
      </w:r>
    </w:p>
    <w:p>
      <w:pPr>
        <w:spacing w:after="0" w:line="188" w:lineRule="exact"/>
        <w:rPr>
          <w:rFonts w:ascii="Times New Roman" w:cs="Times New Roman" w:eastAsia="Times New Roman" w:hAnsi="Times New Roman"/>
          <w:sz w:val="18"/>
          <w:szCs w:val="18"/>
          <w:color w:val="auto"/>
        </w:rPr>
      </w:pPr>
    </w:p>
    <w:p>
      <w:pPr>
        <w:ind w:left="4" w:firstLine="987"/>
        <w:spacing w:after="0" w:line="261" w:lineRule="auto"/>
        <w:tabs>
          <w:tab w:leader="none" w:pos="12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duly and validly waived or complied with;</w:t>
      </w:r>
    </w:p>
    <w:p>
      <w:pPr>
        <w:sectPr>
          <w:pgSz w:w="11900" w:h="16838" w:orient="portrait"/>
          <w:cols w:equalWidth="0" w:num="1">
            <w:col w:w="11004"/>
          </w:cols>
          <w:pgMar w:left="436" w:top="270" w:right="459" w:bottom="1440" w:gutter="0" w:footer="0" w:header="0"/>
        </w:sectPr>
      </w:pPr>
    </w:p>
    <w:bookmarkStart w:id="52" w:name="page53"/>
    <w:bookmarkEnd w:id="52"/>
    <w:p>
      <w:pPr>
        <w:ind w:left="-987" w:firstLine="987"/>
        <w:spacing w:after="0" w:line="253"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that would not, individually or in the aggregate, reasonably be expected to result in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the Shares on The Nasdaq Global Market (the “Exchange”) and such consents, approvals, authorizations, orders, registrations or qualifications as may be required under state securities or Blue Sky laws in connection with the purchase and distribution of the Shares by the Underwriters;</w:t>
      </w:r>
    </w:p>
    <w:p>
      <w:pPr>
        <w:spacing w:after="0" w:line="187" w:lineRule="exact"/>
        <w:rPr>
          <w:rFonts w:ascii="Times New Roman" w:cs="Times New Roman" w:eastAsia="Times New Roman" w:hAnsi="Times New Roman"/>
          <w:sz w:val="18"/>
          <w:szCs w:val="18"/>
          <w:color w:val="auto"/>
        </w:rPr>
      </w:pPr>
    </w:p>
    <w:p>
      <w:pPr>
        <w:ind w:left="-987" w:firstLine="987"/>
        <w:spacing w:after="0" w:line="256" w:lineRule="auto"/>
        <w:tabs>
          <w:tab w:leader="none" w:pos="2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987" w:firstLine="987"/>
        <w:spacing w:after="0" w:line="261" w:lineRule="auto"/>
        <w:tabs>
          <w:tab w:leader="none" w:pos="3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the Prospectus under the captions “Description of Capital Stock” and “Shares Eligible for Future Sale,” insofar as they purport to constitute a summary of the terms of the Stock and under the captions “Material U.S. Federal Income Tax Consequences to Non-U.S. Holders” and “Underwriting,” insofar as they purport to describe the provisions of the laws and documents referred to therein, are accurate, complete and fair in all material respects;</w:t>
      </w:r>
    </w:p>
    <w:p>
      <w:pPr>
        <w:spacing w:after="0" w:line="179" w:lineRule="exact"/>
        <w:rPr>
          <w:rFonts w:ascii="Times New Roman" w:cs="Times New Roman" w:eastAsia="Times New Roman" w:hAnsi="Times New Roman"/>
          <w:sz w:val="18"/>
          <w:szCs w:val="18"/>
          <w:color w:val="auto"/>
        </w:rPr>
      </w:pPr>
    </w:p>
    <w:p>
      <w:pPr>
        <w:ind w:left="-987" w:right="20" w:firstLine="987"/>
        <w:spacing w:after="0" w:line="253"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there are no legal, governmental or regulatory investigations, actions, demands, claims, suits, arbitrations, inquiries or proceedings (“Actions”) pending to which the Company or any of its subsidiaries or any of their properties or assets or, to the Company’s knowledge, any officer or director of the Company is a party or of which any property or assets of the Company or any of its subsidiaries or, to the Company’s knowledge, any of their properties or assets or any officer or director of the Company is the subject which, if determined adversely to the Company or any of its subsidiaries or any of their properties or assets (or such officer or director), would individually or in the aggregate have a Material Adverse Effect or which are required to be described in the Registration Statement and Prospectus and are not so described; and no such proceedings are threatened or, to the Company’s knowledge,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191" w:lineRule="exact"/>
        <w:rPr>
          <w:rFonts w:ascii="Times New Roman" w:cs="Times New Roman" w:eastAsia="Times New Roman" w:hAnsi="Times New Roman"/>
          <w:sz w:val="18"/>
          <w:szCs w:val="18"/>
          <w:color w:val="auto"/>
        </w:rPr>
      </w:pPr>
    </w:p>
    <w:p>
      <w:pPr>
        <w:ind w:left="-987" w:right="40" w:firstLine="987"/>
        <w:spacing w:after="0" w:line="266"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75" w:lineRule="exact"/>
        <w:rPr>
          <w:rFonts w:ascii="Times New Roman" w:cs="Times New Roman" w:eastAsia="Times New Roman" w:hAnsi="Times New Roman"/>
          <w:sz w:val="18"/>
          <w:szCs w:val="18"/>
          <w:color w:val="auto"/>
        </w:rPr>
      </w:pPr>
    </w:p>
    <w:p>
      <w:pPr>
        <w:jc w:val="both"/>
        <w:ind w:left="-987" w:right="100" w:firstLine="987"/>
        <w:spacing w:after="0" w:line="266"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ectPr>
          <w:pgSz w:w="11900" w:h="16838" w:orient="portrait"/>
          <w:cols w:equalWidth="0" w:num="1">
            <w:col w:w="10013"/>
          </w:cols>
          <w:pgMar w:left="1427" w:top="270" w:right="459" w:bottom="1440" w:gutter="0" w:footer="0" w:header="0"/>
        </w:sectPr>
      </w:pPr>
    </w:p>
    <w:bookmarkStart w:id="53" w:name="page54"/>
    <w:bookmarkEnd w:id="53"/>
    <w:p>
      <w:pPr>
        <w:ind w:left="-987" w:right="300" w:firstLine="987"/>
        <w:spacing w:after="0" w:line="282"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PricewaterhouseCoopers LLP, who have certified certain financial statements of the Company and its subsidiaries, are independent public accountants as required by the Act and the rules and regulations of the Commission thereunder;</w:t>
      </w:r>
    </w:p>
    <w:p>
      <w:pPr>
        <w:spacing w:after="0" w:line="161" w:lineRule="exact"/>
        <w:rPr>
          <w:rFonts w:ascii="Times New Roman" w:cs="Times New Roman" w:eastAsia="Times New Roman" w:hAnsi="Times New Roman"/>
          <w:sz w:val="18"/>
          <w:szCs w:val="18"/>
          <w:color w:val="auto"/>
        </w:rPr>
      </w:pPr>
    </w:p>
    <w:p>
      <w:pPr>
        <w:ind w:left="-987" w:firstLine="987"/>
        <w:spacing w:after="0" w:line="253" w:lineRule="auto"/>
        <w:tabs>
          <w:tab w:leader="none" w:pos="2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Securities Exchange Act of 1934, as amended (the “Exchange Act”)) that (i) complies with the requirements of the Exchange Act as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amended (the “Sarbanes-Oxley Act”) as of an earlier date than it would otherwise be required to so comply under applicable law). There are no material weaknesses in the Company’s internal controls;</w:t>
      </w:r>
    </w:p>
    <w:p>
      <w:pPr>
        <w:spacing w:after="0" w:line="189" w:lineRule="exact"/>
        <w:rPr>
          <w:rFonts w:ascii="Times New Roman" w:cs="Times New Roman" w:eastAsia="Times New Roman" w:hAnsi="Times New Roman"/>
          <w:sz w:val="18"/>
          <w:szCs w:val="18"/>
          <w:color w:val="auto"/>
        </w:rPr>
      </w:pPr>
    </w:p>
    <w:p>
      <w:pPr>
        <w:ind w:left="-987" w:right="100" w:firstLine="987"/>
        <w:spacing w:after="0" w:line="266" w:lineRule="auto"/>
        <w:tabs>
          <w:tab w:leader="none" w:pos="23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987" w:right="220" w:firstLine="987"/>
        <w:spacing w:after="0" w:line="261"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79"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987" w:firstLine="987"/>
        <w:spacing w:after="0" w:line="266"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right, power and authority to execute and deliver this Agreement and to perform its obligations hereunder; and all action required to be taken for the due and proper authorization, execution and delivery by the Company of this Agreement and the consummation by the Company of the transactions contemplated hereby has been duly and validly taken;</w:t>
      </w:r>
    </w:p>
    <w:p>
      <w:pPr>
        <w:spacing w:after="0" w:line="175" w:lineRule="exact"/>
        <w:rPr>
          <w:rFonts w:ascii="Times New Roman" w:cs="Times New Roman" w:eastAsia="Times New Roman" w:hAnsi="Times New Roman"/>
          <w:sz w:val="18"/>
          <w:szCs w:val="18"/>
          <w:color w:val="auto"/>
        </w:rPr>
      </w:pPr>
    </w:p>
    <w:p>
      <w:pPr>
        <w:ind w:left="-987" w:firstLine="987"/>
        <w:spacing w:after="0" w:line="252" w:lineRule="auto"/>
        <w:tabs>
          <w:tab w:leader="none" w:pos="2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 of the Company or its subsidiaries, or any director or officer thereof, nor, to the knowledge of the Company any affiliate, employee, or agent or other person associated with or acting on behalf of the Company or any of its subsidiaries or affiliates, has (i) made, offered, promised or authorized any unlawful contribution, gift, entertainment or other unlawful expense (or taken any act in furtherance thereof), (ii) taken or will take any action in furtherance of an offer, payment, promise to pay, or authorization or approval of the payment, giving or receipt of money, property, gifts, entertainment, other expense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improperly influence official action, or to any person in violation of any applicable anti-corruption laws; or (iii) violated or is in violation of any provision of the U.S. Foreign Corrupt Practices Act of 1977, as amended, or the rules and regulations thereunder, the Bribery Act 2010 of the United Kingdom or any other applicable anti-bribery or anti-corruption laws (collectively, “Anti-Corruption Laws”); (B)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and (C) neither the Company nor any of its subsidiaries will use, directly or indirectly, the proceeds of the offering of the Shares hereunder in furtherance of any unlawful expense or any direct or indirect unlawful payment in violation of any Anti-Corruption Laws;</w:t>
      </w:r>
    </w:p>
    <w:p>
      <w:pPr>
        <w:sectPr>
          <w:pgSz w:w="11900" w:h="16838" w:orient="portrait"/>
          <w:cols w:equalWidth="0" w:num="1">
            <w:col w:w="9993"/>
          </w:cols>
          <w:pgMar w:left="1427" w:top="270" w:right="479" w:bottom="1440" w:gutter="0" w:footer="0" w:header="0"/>
        </w:sectPr>
      </w:pPr>
    </w:p>
    <w:bookmarkStart w:id="54" w:name="page55"/>
    <w:bookmarkEnd w:id="54"/>
    <w:p>
      <w:pPr>
        <w:ind w:left="-987" w:right="60" w:firstLine="987"/>
        <w:spacing w:after="0" w:line="255"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its subsidiaries are and have been conducted at all times in compliance with the requirements of applicable financial recordkeeping and reporting requirements and anti-money laundering laws, including, but not limited to, the Bank Secrecy Act of 1970, as amended by the USA PATRIOT ACT of 2001, and the rules and regulations promulgated thereunder, and any similar rules, regulations or guidelines issued, administered or enforced by any governmental agency,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left="-987" w:right="20" w:firstLine="987"/>
        <w:spacing w:after="0" w:line="252"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 of the Company or any of its subsidiaries, nor any director, officer or employee thereof, nor, to the knowledge of the Company, any agent, affiliate or other person acting on behalf of the Company or any of its subsidiaries is a person or entity that is, or is 50% or more owned or, where relevant under applicable Sanctions, controlled by one or more persons or entities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or located, organized, or resident in a country or territory that is the subject or target of Sanctions (currently, Crimea, Cuba, Iran, North Korea, Syria, the so-called Donetsk People’s Republic and so-called Luhansk People’s Republic and the non-government controlled areas of Zaporizhzhia and Kherson regions of Ukraine (each a “Sanctioned Jurisdiction”)); (B) the Company will not directly or indirectly use the proceeds of the offering of the Shares hereunder, or lend, contribute or otherwise make available such proceeds to any subsidiary, joint venture partner or other person or entity (i) to fund or facilitate any unlawful activities of or business with any Sanctioned Jurisdiction or any person or entity, that, at the time of such funding or facilitation, is the subject or the target of Sanctions or (ii) in any other manner that will result in a violation by any person or entity (including any person or entity participating in the transaction, whether as underwriter, advisor, investor or otherwise) of Sanctions; and (C) the Company and its subsidiaries have not since April 24, 2019 knowingly engaged in, are not now knowingly engaged in and will not engage in any unlawful dealings or transactions with any Sanctioned Jurisdiction or involving any person or entity, that, at the time of such dealing or transaction, is or was the subject or the target of Sanctions; the Company and its subsidiaries have instituted, and maintain, policies and procedures designed to promote and achieve continued compliance with Sanctions;</w:t>
      </w:r>
    </w:p>
    <w:p>
      <w:pPr>
        <w:spacing w:after="0" w:line="193" w:lineRule="exact"/>
        <w:rPr>
          <w:rFonts w:ascii="Times New Roman" w:cs="Times New Roman" w:eastAsia="Times New Roman" w:hAnsi="Times New Roman"/>
          <w:sz w:val="18"/>
          <w:szCs w:val="18"/>
          <w:color w:val="auto"/>
        </w:rPr>
      </w:pPr>
    </w:p>
    <w:p>
      <w:pPr>
        <w:ind w:left="-987" w:firstLine="987"/>
        <w:spacing w:after="0" w:line="253"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GAAP applied on a consistent basis throughout the periods involved, except in the case of any unaudited financial statements, which are subject to normal year-end adjustments and do not contain certain footnotes as permitted by the applicable rules of the Commission.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94" w:lineRule="exact"/>
        <w:rPr>
          <w:sz w:val="20"/>
          <w:szCs w:val="20"/>
          <w:color w:val="auto"/>
        </w:rPr>
      </w:pPr>
    </w:p>
    <w:p>
      <w:pPr>
        <w:ind w:left="-987" w:right="40" w:firstLine="987"/>
        <w:spacing w:after="0" w:line="261" w:lineRule="auto"/>
        <w:tabs>
          <w:tab w:leader="none" w:pos="3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w:t>
      </w:r>
    </w:p>
    <w:p>
      <w:pPr>
        <w:sectPr>
          <w:pgSz w:w="11900" w:h="16838" w:orient="portrait"/>
          <w:cols w:equalWidth="0" w:num="1">
            <w:col w:w="10013"/>
          </w:cols>
          <w:pgMar w:left="1427" w:top="270" w:right="459" w:bottom="1440" w:gutter="0" w:footer="0" w:header="0"/>
        </w:sectPr>
      </w:pPr>
    </w:p>
    <w:bookmarkStart w:id="55" w:name="page56"/>
    <w:bookmarkEnd w:id="55"/>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businesses and (iii) are in compliance with all terms and conditions of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spacing w:after="0" w:line="158" w:lineRule="exact"/>
        <w:rPr>
          <w:sz w:val="20"/>
          <w:szCs w:val="20"/>
          <w:color w:val="auto"/>
        </w:rPr>
      </w:pPr>
    </w:p>
    <w:p>
      <w:pPr>
        <w:ind w:right="140" w:firstLine="987"/>
        <w:spacing w:after="0" w:line="261" w:lineRule="auto"/>
        <w:tabs>
          <w:tab w:leader="none" w:pos="13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3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 except as otherwise have been validly waived in connection with the issuance and sale of Shares contemplated hereby and as described in the Time of Sale Prospectus and Prospectus;</w:t>
      </w:r>
    </w:p>
    <w:p>
      <w:pPr>
        <w:spacing w:after="0" w:line="179" w:lineRule="exact"/>
        <w:rPr>
          <w:rFonts w:ascii="Times New Roman" w:cs="Times New Roman" w:eastAsia="Times New Roman" w:hAnsi="Times New Roman"/>
          <w:sz w:val="18"/>
          <w:szCs w:val="18"/>
          <w:color w:val="auto"/>
        </w:rPr>
      </w:pPr>
    </w:p>
    <w:p>
      <w:pPr>
        <w:ind w:right="20" w:firstLine="987"/>
        <w:spacing w:after="0" w:line="253" w:lineRule="auto"/>
        <w:tabs>
          <w:tab w:leader="none" w:pos="13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their respective directors, officers and employees, and to the Company’s knowledge, their respective agents, affiliates and representatives, are, and at all times have been, in compliance with all applicable Health Care Laws.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and 1349, and the health care fraud criminal provisions under the Health Insurance Portability and Accountability Act of 1996 (42 U.S.C. §§ 1320d et seq.) (“HIPAA”), the exclusion law (42 U.S.C. §</w:t>
      </w:r>
    </w:p>
    <w:p>
      <w:pPr>
        <w:spacing w:after="0" w:line="5"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 the civil monetary penalties law (42 U.S.C. § 1320a-7a), HIPAA, as amended by the Health Information Technology for Economic and Clinical Health Act (42 U.S.C. §§ 17921 et seq.), the Federal Food, Drug, and Cosmetic Act (21 U.S.C. §§ 301 et seq.), the Public Health Service Act (42 U.S.C. §§ 201 et seq.), the statutes, regulations and directives of applicable federal healthcare programs, including but not limited to Medicare (Title XVIII of the Social Security Act) and Medicaid (Title XIX of the Social Security Act), any rules and regulations promulgated pursuant to the statutes listed herein, and any other applicable federal, state, or foreign health care laws. The Company is not a party to nor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court, arbitrator, governmental or regulatory authority or third party, of potential or actual non-compliance by, or liability of, the Company under any Health Care Laws;</w:t>
      </w:r>
    </w:p>
    <w:p>
      <w:pPr>
        <w:spacing w:after="0" w:line="192" w:lineRule="exact"/>
        <w:rPr>
          <w:rFonts w:ascii="Times New Roman" w:cs="Times New Roman" w:eastAsia="Times New Roman" w:hAnsi="Times New Roman"/>
          <w:sz w:val="18"/>
          <w:szCs w:val="18"/>
          <w:color w:val="auto"/>
        </w:rPr>
      </w:pPr>
    </w:p>
    <w:p>
      <w:pPr>
        <w:ind w:firstLine="987"/>
        <w:spacing w:after="0" w:line="255" w:lineRule="auto"/>
        <w:tabs>
          <w:tab w:leader="none" w:pos="13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possesses, and is in compliance with the terms of, all applications, certificates, approvals, clearances, registrations, exemptions, franchises, licenses, permits, consents and other authorizations necessary to conduct their respective businesses (collectively, “Licenses”), issued by the appropriate governmental authorities, including, without limitation, all Licenses required by the FDA, or any component thereof and/or by any other U.S., state, local or foreign government or drug regulatory agency (collectively, the “Regulatory Agencies”). All Licenses are in full force and effect and the Company is not in violation of any term or conditions of any License. The Company has not received any written notice of proceedings relating to the revocation or modification of any Licenses and no Regulatory Agency has taken any action to limit, suspend or revoke any License possessed by the Company;</w:t>
      </w:r>
    </w:p>
    <w:p>
      <w:pPr>
        <w:spacing w:after="0" w:line="188" w:lineRule="exact"/>
        <w:rPr>
          <w:rFonts w:ascii="Times New Roman" w:cs="Times New Roman" w:eastAsia="Times New Roman" w:hAnsi="Times New Roman"/>
          <w:sz w:val="18"/>
          <w:szCs w:val="18"/>
          <w:color w:val="auto"/>
        </w:rPr>
      </w:pPr>
    </w:p>
    <w:p>
      <w:pPr>
        <w:ind w:right="220" w:firstLine="987"/>
        <w:spacing w:after="0" w:line="258" w:lineRule="auto"/>
        <w:tabs>
          <w:tab w:leader="none" w:pos="12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procedures and controls pursuant to, where applicable, accepted professional and scientific standards, and all applicable laws and regulations; the descriptions of the pre-clinical studies and clinical trials conducted by or, to the Company’s knowledge, on behalf of the Company, and the results thereof, contained in the Registration</w:t>
      </w:r>
    </w:p>
    <w:p>
      <w:pPr>
        <w:sectPr>
          <w:pgSz w:w="11900" w:h="16838" w:orient="portrait"/>
          <w:cols w:equalWidth="0" w:num="1">
            <w:col w:w="11000"/>
          </w:cols>
          <w:pgMar w:left="440" w:top="270" w:right="459" w:bottom="1440" w:gutter="0" w:footer="0" w:header="0"/>
        </w:sectPr>
      </w:pPr>
    </w:p>
    <w:bookmarkStart w:id="56" w:name="page57"/>
    <w:bookmarkEnd w:id="56"/>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written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183" w:lineRule="exact"/>
        <w:rPr>
          <w:sz w:val="20"/>
          <w:szCs w:val="20"/>
          <w:color w:val="auto"/>
        </w:rPr>
      </w:pPr>
    </w:p>
    <w:p>
      <w:pPr>
        <w:ind w:right="20" w:firstLine="987"/>
        <w:spacing w:after="0" w:line="258" w:lineRule="auto"/>
        <w:tabs>
          <w:tab w:leader="none" w:pos="13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any of its or their respective officers, employees, directors, nor to the Company’s knowledge, their agents or clinical investigators,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 or has been convicted of any crime or engaged in any conduct that would reasonably be expected to result in debarment under 42 U.S.C. § 1320a-7 or 21 U.S.C. § 335a;</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3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own, or possess valid and enforceable license rights in, all patents, patent applications, inventions, copyrights and registrations and applications thereof, works of authorship, know how (including trade secrets and other unpatented and/or unpatentable proprietary or confidential information, systems or procedures), trademarks, service marks, domain names, trade names, software, systems and technology (collectively, “Intellectual Property”) as described in the Registration Statement, the Pricing Prospectus and the Prospectus (collectively, “Company Intellectual Property”). To the Company’s knowledge, the Company and its subsidiaries, and the conduct of their respective businesses and the proposed conduct of their businesses, does not and will not infringe, misappropriate or otherwise violate any Intellectual Property rights of others. Neither the Company nor any of its subsidiaries has received any written notice of infringement of or conflict with asserted rights of others with respect to any of the Company Intellectual Property and there is no pending or threatened action, suit, proceeding or claim by others (i) challenging the Company’s or its subsidiaries’ rights in or to any Company Intellectual Property, and the Company and its subsidiaries are unaware of any facts which would form a reasonable basis for any such action, suit, proceeding or claim; (ii) challenging the validity, enforceability or scope of any Company Intellectual Property, and the Company and its subsidiaries are unaware of any facts which would form a reasonable basis for any such action, suit, proceeding or claim; or (iii) asserting that the Company or any of its subsidiaries infringes or otherwise violates, or would, upon the commercialization of any product or service described in the Pricing Prospectus or the Prospectus as under development, infringe or violate, any Intellectual Property of third parties, and the Company and its subsidiaries have not received any notice of, and are unaware of any facts which would form a reasonable basis for any such action, suit, proceeding or claim. The Company Intellectual Property is enforceable, subsisting and, to the knowledge of Company, valid. To the Company’s knowledge, the Company Intellectual Property is free and clear of all material liens, security interests, or encumbrances, other than non-exclusive licenses granted in the ordinary course of business. To the Company’s knowledge, there are no material defects in any of the patents or patent applications, trademark applications or trademark registration, or copyright registrations included in the Company Intellectual Property. To the Company’s knowledge, there is no infringement, misappropriation or other violation by third parties of any Company Intellectual Property owned by the Company or its subsidiaries. The Company and its subsidiaries have complied with the terms of each agreement pursuant to which Company Intellectual Property has been licensed to the Company or any subsidiary, and all such agreements are in full force and effect, except as would not have a Material Adverse Effect. To the Company’s knowledge, the Company and its subsidiaries have taken all reasonable steps to protect, maintain and safeguard the Company Intellectual Property, including payment of applicable maintenance fees, filing of applicable statements of use, timely responding to office actions, complying with the duties of candor and good faith required by the United States Patent and Trademark Office, and the disclosure of any required information, and the execution of appropriate nondisclosure, confidentiality agreements, invention or intellectual property assignments or assignment agreements with their employees, consultants and contractors. To the Company’s knowledge, no employee, consultant or independent contractor of the Company is in or has ever been in violation in any material respect of any term of any invention assignment agreement, non-competition agreement, non-solicitation agreement, or non-disclosure agreement. The Company and each of its subsidiaries have taken reasonable measures to protect their confidential information and trade secrets, including the execution of appropriate nondisclosure and confidentiality agreements;</w:t>
      </w:r>
    </w:p>
    <w:p>
      <w:pPr>
        <w:sectPr>
          <w:pgSz w:w="11900" w:h="16838" w:orient="portrait"/>
          <w:cols w:equalWidth="0" w:num="1">
            <w:col w:w="11000"/>
          </w:cols>
          <w:pgMar w:left="440" w:top="270" w:right="459" w:bottom="1440" w:gutter="0" w:footer="0" w:header="0"/>
        </w:sectPr>
      </w:pPr>
    </w:p>
    <w:bookmarkStart w:id="57" w:name="page58"/>
    <w:bookmarkEnd w:id="57"/>
    <w:p>
      <w:pPr>
        <w:jc w:val="both"/>
        <w:ind w:left="-987" w:right="60" w:firstLine="987"/>
        <w:spacing w:after="0" w:line="266" w:lineRule="auto"/>
        <w:tabs>
          <w:tab w:leader="none" w:pos="2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or contractors, except as would not have a Material Adverse Effect;</w:t>
      </w:r>
    </w:p>
    <w:p>
      <w:pPr>
        <w:spacing w:after="0" w:line="175" w:lineRule="exact"/>
        <w:rPr>
          <w:rFonts w:ascii="Times New Roman" w:cs="Times New Roman" w:eastAsia="Times New Roman" w:hAnsi="Times New Roman"/>
          <w:sz w:val="18"/>
          <w:szCs w:val="18"/>
          <w:color w:val="auto"/>
        </w:rPr>
      </w:pPr>
    </w:p>
    <w:p>
      <w:pPr>
        <w:ind w:left="-987" w:firstLine="987"/>
        <w:spacing w:after="0" w:line="277" w:lineRule="auto"/>
        <w:tabs>
          <w:tab w:leader="none" w:pos="26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and each of its subsidiaries are insured by insurers of recognized financial responsibility against such losses and risks and in such amounts as are prudent and customary in the businesses in which they are engaged; (B) neither the Company nor any of its subsidiaries has been refused any insurance coverage sought or applied for; and (C)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taken as a whole, be reasonably expected to have a Material Adverse Effect;</w:t>
      </w:r>
    </w:p>
    <w:p>
      <w:pPr>
        <w:spacing w:after="0" w:line="167" w:lineRule="exact"/>
        <w:rPr>
          <w:rFonts w:ascii="Times New Roman" w:cs="Times New Roman" w:eastAsia="Times New Roman" w:hAnsi="Times New Roman"/>
          <w:sz w:val="17"/>
          <w:szCs w:val="17"/>
          <w:color w:val="auto"/>
        </w:rPr>
      </w:pPr>
    </w:p>
    <w:p>
      <w:pPr>
        <w:ind w:left="-987" w:right="280" w:firstLine="987"/>
        <w:spacing w:after="0" w:line="261" w:lineRule="auto"/>
        <w:tabs>
          <w:tab w:leader="none" w:pos="3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Registration Statement, the Company has not sold, issued or distributed any shares of its common stock during the six-month period preceding the date of this Agreement, including any sales pursuant to Regulation D or S of the Act, other than shares issued pursuant to employee benefit plans, qualified stock option plans or other employee compensation plans or pursuant to outstanding options, rights or warrants;</w:t>
      </w:r>
    </w:p>
    <w:p>
      <w:pPr>
        <w:spacing w:after="0" w:line="179" w:lineRule="exact"/>
        <w:rPr>
          <w:rFonts w:ascii="Times New Roman" w:cs="Times New Roman" w:eastAsia="Times New Roman" w:hAnsi="Times New Roman"/>
          <w:sz w:val="18"/>
          <w:szCs w:val="18"/>
          <w:color w:val="auto"/>
        </w:rPr>
      </w:pPr>
    </w:p>
    <w:p>
      <w:pPr>
        <w:ind w:left="-987" w:right="20" w:firstLine="987"/>
        <w:spacing w:after="0" w:line="253" w:lineRule="auto"/>
        <w:tabs>
          <w:tab w:leader="none" w:pos="2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 federal income tax returns of the Company and its subsidiaries required by law to be filed have been filed and all taxes shown as due on such returns or that otherwise have been assessed that are due and payable have been paid, except assessments against which appeals have been promptly taken and as to which adequate reserves have been established in the audited financial statements included in the Pricing Prospectus. The Company and each of its subsidiaries have timely filed all other U.S. federal, state, local and foreign tax returns required to be filed through the date of this Agreement, or have requested extensions thereof, and have paid all taxes required to be paid thereon (except where the failure to file or pay would not, individually or in the aggregate, have a Material Adverse Effect, or except as currently being contested in good faith and for which adequate reserves have been established in the audited financial statements included in the Pricing Prospectus), no tax deficiency has been determined adversely to the Company or any of its subsidiaries which has had (nor does the Company nor any of its subsidiaries have any notice or knowledge of any tax deficiency that could reasonably be expected to be determined adversely to the Company or its subsidiaries and that could reasonably be expected to have) a Material Adverse Effect and no audit or other examination of or with respect to any tax return or taxes of the Company or any of its subsidiaries is presently in progress, nor has the Company or any of its subsidiaries been notified in writing of any request for an audit or other examination that has not been finally resolved and that in each case could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987" w:right="140" w:firstLine="987"/>
        <w:spacing w:after="0" w:line="266" w:lineRule="auto"/>
        <w:tabs>
          <w:tab w:leader="none" w:pos="4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a registration statement relating to the Shares with the Commission through the date of this Agreement, the Company has been and is an “emerging growth company” as defined in Section 2(a)(19) of the Act (an “Emerging Growth Company”);</w:t>
      </w:r>
    </w:p>
    <w:p>
      <w:pPr>
        <w:spacing w:after="0" w:line="175" w:lineRule="exact"/>
        <w:rPr>
          <w:rFonts w:ascii="Times New Roman" w:cs="Times New Roman" w:eastAsia="Times New Roman" w:hAnsi="Times New Roman"/>
          <w:sz w:val="18"/>
          <w:szCs w:val="18"/>
          <w:color w:val="auto"/>
        </w:rPr>
      </w:pPr>
    </w:p>
    <w:p>
      <w:pPr>
        <w:ind w:left="-987" w:right="80" w:firstLine="987"/>
        <w:spacing w:after="0" w:line="253" w:lineRule="auto"/>
        <w:tabs>
          <w:tab w:leader="none" w:pos="3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information technology assets and equipment, computers, systems, networks, hardware, software, websites, applications and databases, and any other information technology systems owned, licensed, leased, or otherwise used by the Company, and any such equipment or technology maintained or provided by any third parties to the Company or its subsidiaries (collectively, “IT Systems”) are (A) adequate for, and operate and perform in all material respects as necessary for the uninterrupted operation of the business of the Company and its subsidiaries as currently conducted and as anticipated to be conducted as described in the Registration Statement, the Pricing Disclosure Package, and the Prospectus, and (B) are free and clear of all bugs, errors, defects, Trojan horses, time bombs, malware, harmful code, or other corruptants. The Company and its subsidiaries have at all times implemented and maintained reasonable and appropriate controls, policies, procedures and safeguards designed to maintain and protect its confidential, proprietary, and sensitive information and the privacy, confidentiality, integrity, availability, continuous operation, redundancy and security of all IT Systems and data (including any and all (A) information that (i) relates to an identified or identifiable individual, or (ii) is defined as “personal information,” “personally identifiable information,” “personal data,” or similar term under applicable Data Protection Requirements (as defined below) (collectively, “Personal Data”), and (B) confidential, sensitive, or proprietary data (collectively “Protected Information”)) used in connection with the business of the Company or its subsidiaries. The Company and its subsidiaries have at all times established and maintained reasonable and</w:t>
      </w:r>
    </w:p>
    <w:p>
      <w:pPr>
        <w:sectPr>
          <w:pgSz w:w="11900" w:h="16838" w:orient="portrait"/>
          <w:cols w:equalWidth="0" w:num="1">
            <w:col w:w="9993"/>
          </w:cols>
          <w:pgMar w:left="1427" w:top="270" w:right="479" w:bottom="1440" w:gutter="0" w:footer="0" w:header="0"/>
        </w:sectPr>
      </w:pPr>
    </w:p>
    <w:bookmarkStart w:id="58" w:name="page59"/>
    <w:bookmarkEnd w:id="5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disaster recovery and security plans and procedures for their business, including, without limitation, for the IT Systems and Protected Information. The security programs of the Company and its subsidiaries comply and have at all times complied, in all material respects, with all applicable Data Protection Requirements. There have been no actual or reasonably suspected breaches or attacks involving the accidental, unlawful, or unauthorized destruction of, loss of, alteration of, uses of, or accesses to, any IT Systems or Protected Information (collectively, a “Data Breach”) except for those that have been remedied without material cost or liability or the duty to notify any other person. There are no Data Breaches under internal review or investigations relating to the same. The Company and its subsidiaries have not been notified of, and have no knowledge of, any fact or circumstance that would reasonably be expected to result in any such Data Breach;</w:t>
      </w:r>
    </w:p>
    <w:p>
      <w:pPr>
        <w:spacing w:after="0" w:line="189" w:lineRule="exact"/>
        <w:rPr>
          <w:sz w:val="20"/>
          <w:szCs w:val="20"/>
          <w:color w:val="auto"/>
        </w:rPr>
      </w:pPr>
    </w:p>
    <w:p>
      <w:pPr>
        <w:ind w:right="20" w:firstLine="987"/>
        <w:spacing w:after="0" w:line="255" w:lineRule="auto"/>
        <w:tabs>
          <w:tab w:leader="none" w:pos="1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at all times materially complied with all of the following, as they relate to the protection, collection, use, disclosure, transfer, storage, disposal, confidentiality, integrity, availability, processing, privacy, and security of IT Systems and Personal Data: (A) applicable laws, statutes, regulations, directives, self-regulatory guidelines and standards, in all relevant jurisdictions (including, but not limited to, in each case as applicable, the European Union General Data Protection Regulation (“GDPR”) (EU 2016/679); the United Kingdom General Data Protection Regulation (“UK GDPR”); and the California Consumer Privacy Act (“CCPA”)); (B) all judgments, orders, rules and regulations of any court or arbitrator or governmental or regulatory authority; (C) internal or external policies; and (D) contractual obligations (collectively, “Data Protection Requirements”);</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at all times made all disclosures to, and obtained all consents from, individuals as required by Data Protection Requirements for the Company’s and its subsidiaries’ collection, use, disclosure or other processing of Personal Data. None of such disclosures have been materially inaccurate, deceptive, misleading, incomplete, or in violation of Data Protection Requirements;</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have not received written notice of any actual or potential liability under or relating to, or actual or potential violation of, Data Protection Requirements, (B) have no knowledge of any fact or circumstance that would reasonably indicate the Company or one of its subsidiaries is not in compliance with any of the Data Protection Requirements; (C) are not currently participating, in whole or in part, in any investigation, remediation, or other corrective action relating to a violation of any of the Data Protection Requirements; and (D) are not a party to any order, decree, or agreement by any court or arbitrator or governmental or regulatory authority that imposes any obligation or liability relating to any Data Protection Requirement;</w:t>
      </w:r>
    </w:p>
    <w:p>
      <w:pPr>
        <w:spacing w:after="0" w:line="187" w:lineRule="exact"/>
        <w:rPr>
          <w:rFonts w:ascii="Times New Roman" w:cs="Times New Roman" w:eastAsia="Times New Roman" w:hAnsi="Times New Roman"/>
          <w:sz w:val="18"/>
          <w:szCs w:val="18"/>
          <w:color w:val="auto"/>
        </w:rPr>
      </w:pPr>
    </w:p>
    <w:p>
      <w:pPr>
        <w:ind w:right="120" w:firstLine="987"/>
        <w:spacing w:after="0" w:line="261" w:lineRule="auto"/>
        <w:tabs>
          <w:tab w:leader="none" w:pos="12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the Company that has caused the Company to believe that the statistical and market-related data included in each of the Registration Statement, the Pricing Prospectus, and the Prospectus, each Issuer Free Writing Prospectus and each Section 5(d) Writing, as supplemented by and taken together with the Pricing Disclosure Package, is not based on or derived from sources that are reliable and accurate in all material respects;</w:t>
      </w:r>
    </w:p>
    <w:p>
      <w:pPr>
        <w:spacing w:after="0" w:line="179" w:lineRule="exact"/>
        <w:rPr>
          <w:rFonts w:ascii="Times New Roman" w:cs="Times New Roman" w:eastAsia="Times New Roman" w:hAnsi="Times New Roman"/>
          <w:sz w:val="18"/>
          <w:szCs w:val="18"/>
          <w:color w:val="auto"/>
        </w:rPr>
      </w:pPr>
    </w:p>
    <w:p>
      <w:pPr>
        <w:ind w:right="120" w:firstLine="987"/>
        <w:spacing w:after="0" w:line="266" w:lineRule="auto"/>
        <w:tabs>
          <w:tab w:leader="none" w:pos="12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with any applicable provision of the Sarbanes-Oxley Act, including Section 402 related to loans and Sections 302 and 906 related to certifications;</w:t>
      </w:r>
    </w:p>
    <w:p>
      <w:pPr>
        <w:spacing w:after="0" w:line="175" w:lineRule="exact"/>
        <w:rPr>
          <w:rFonts w:ascii="Times New Roman" w:cs="Times New Roman" w:eastAsia="Times New Roman" w:hAnsi="Times New Roman"/>
          <w:sz w:val="18"/>
          <w:szCs w:val="18"/>
          <w:color w:val="auto"/>
        </w:rPr>
      </w:pPr>
    </w:p>
    <w:p>
      <w:pPr>
        <w:ind w:right="640" w:firstLine="987"/>
        <w:spacing w:after="0" w:line="282" w:lineRule="auto"/>
        <w:tabs>
          <w:tab w:leader="none" w:pos="12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debt securities or preferred stock issued or guaranteed by the Company that are rated by a “nationally recognized statistical rating organization,” as such term is defined under Section 3(a)(62) under the Exchange Act;</w:t>
      </w:r>
    </w:p>
    <w:p>
      <w:pPr>
        <w:spacing w:after="0" w:line="161" w:lineRule="exact"/>
        <w:rPr>
          <w:rFonts w:ascii="Times New Roman" w:cs="Times New Roman" w:eastAsia="Times New Roman" w:hAnsi="Times New Roman"/>
          <w:sz w:val="18"/>
          <w:szCs w:val="18"/>
          <w:color w:val="auto"/>
        </w:rPr>
      </w:pPr>
    </w:p>
    <w:p>
      <w:pPr>
        <w:ind w:right="20" w:firstLine="987"/>
        <w:spacing w:after="0" w:line="255" w:lineRule="auto"/>
        <w:tabs>
          <w:tab w:leader="none" w:pos="1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w:t>
      </w:r>
    </w:p>
    <w:p>
      <w:pPr>
        <w:sectPr>
          <w:pgSz w:w="11900" w:h="16838" w:orient="portrait"/>
          <w:cols w:equalWidth="0" w:num="1">
            <w:col w:w="10980"/>
          </w:cols>
          <w:pgMar w:left="440" w:top="270" w:right="479" w:bottom="1440" w:gutter="0" w:footer="0" w:header="0"/>
        </w:sectPr>
      </w:pPr>
    </w:p>
    <w:bookmarkStart w:id="59" w:name="page60"/>
    <w:bookmarkEnd w:id="59"/>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193" w:lineRule="exact"/>
        <w:rPr>
          <w:sz w:val="20"/>
          <w:szCs w:val="20"/>
          <w:color w:val="auto"/>
        </w:rPr>
      </w:pPr>
    </w:p>
    <w:p>
      <w:pPr>
        <w:ind w:right="280" w:firstLine="987"/>
        <w:spacing w:after="0" w:line="266" w:lineRule="auto"/>
        <w:tabs>
          <w:tab w:leader="none" w:pos="13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off-balance sheet arrangements (as defined in Regulation S-K Item 303(a)(4)(ii)) that have or are reasonably likely to have a material current or future effect on the Company’s financial condition, changes in financial condition, results of operations, liquidity, capital expenditures or capital resources;</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4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arrangements or other documents that are required to be described in the Registration Statement, the Pricing Prospectus or the Prospectus or to be filed as exhibits to the Registration Statement that are not described or filed as required;</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3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have a Material Adverse Effect;</w:t>
      </w:r>
    </w:p>
    <w:p>
      <w:pPr>
        <w:spacing w:after="0" w:line="187" w:lineRule="exact"/>
        <w:rPr>
          <w:rFonts w:ascii="Times New Roman" w:cs="Times New Roman" w:eastAsia="Times New Roman" w:hAnsi="Times New Roman"/>
          <w:sz w:val="18"/>
          <w:szCs w:val="18"/>
          <w:color w:val="auto"/>
        </w:rPr>
      </w:pPr>
    </w:p>
    <w:p>
      <w:pPr>
        <w:ind w:right="60" w:firstLine="987"/>
        <w:spacing w:after="0" w:line="266" w:lineRule="auto"/>
        <w:tabs>
          <w:tab w:leader="none" w:pos="13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controlled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3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spacing w:after="0" w:line="176" w:lineRule="exact"/>
        <w:rPr>
          <w:sz w:val="20"/>
          <w:szCs w:val="20"/>
          <w:color w:val="auto"/>
        </w:rPr>
      </w:pPr>
    </w:p>
    <w:p>
      <w:pPr>
        <w:ind w:firstLine="987"/>
        <w:spacing w:after="0" w:line="266" w:lineRule="auto"/>
        <w:tabs>
          <w:tab w:leader="none" w:pos="13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Prospectus and the Prospectus; and</w:t>
      </w:r>
    </w:p>
    <w:p>
      <w:pPr>
        <w:spacing w:after="0" w:line="175" w:lineRule="exact"/>
        <w:rPr>
          <w:rFonts w:ascii="Times New Roman" w:cs="Times New Roman" w:eastAsia="Times New Roman" w:hAnsi="Times New Roman"/>
          <w:sz w:val="18"/>
          <w:szCs w:val="18"/>
          <w:color w:val="auto"/>
        </w:rPr>
      </w:pPr>
    </w:p>
    <w:p>
      <w:pPr>
        <w:ind w:right="340" w:firstLine="987"/>
        <w:spacing w:after="0" w:line="266" w:lineRule="auto"/>
        <w:tabs>
          <w:tab w:leader="none" w:pos="14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ectPr>
          <w:pgSz w:w="11900" w:h="16838" w:orient="portrait"/>
          <w:cols w:equalWidth="0" w:num="1">
            <w:col w:w="11000"/>
          </w:cols>
          <w:pgMar w:left="440" w:top="270" w:right="459" w:bottom="1440" w:gutter="0" w:footer="0" w:header="0"/>
        </w:sectPr>
      </w:pPr>
    </w:p>
    <w:bookmarkStart w:id="60" w:name="page61"/>
    <w:bookmarkEnd w:id="60"/>
    <w:p>
      <w:pPr>
        <w:ind w:right="20" w:firstLine="436"/>
        <w:spacing w:after="0" w:line="253" w:lineRule="auto"/>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89" w:lineRule="exact"/>
        <w:rPr>
          <w:sz w:val="20"/>
          <w:szCs w:val="20"/>
          <w:color w:val="auto"/>
        </w:rPr>
      </w:pPr>
    </w:p>
    <w:p>
      <w:pPr>
        <w:ind w:right="360" w:firstLine="436"/>
        <w:spacing w:after="0" w:line="282" w:lineRule="auto"/>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authorization by you of the release of the Shares, the several Underwriters propose to offer the Shares for sale upon the terms and conditions set forth in the Pricing Disclosure Package and the Prospectus.</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time, on [•], 2024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87" w:lineRule="exact"/>
        <w:rPr>
          <w:rFonts w:ascii="Times New Roman" w:cs="Times New Roman" w:eastAsia="Times New Roman" w:hAnsi="Times New Roman"/>
          <w:sz w:val="18"/>
          <w:szCs w:val="18"/>
          <w:color w:val="auto"/>
        </w:rPr>
      </w:pPr>
    </w:p>
    <w:p>
      <w:pPr>
        <w:ind w:right="40" w:firstLine="987"/>
        <w:spacing w:after="0" w:line="273" w:lineRule="auto"/>
        <w:tabs>
          <w:tab w:leader="none" w:pos="124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Cooley LLP, 55 Hudson Yards, New York, New York 10001 (the “Closing Location”), and the Shares will be delivered at the Designated Office, all at such Time of Delivery. A meeting will be held at the Closing Location at [•] p.m., New York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ectPr>
          <w:pgSz w:w="11900" w:h="16838" w:orient="portrait"/>
          <w:cols w:equalWidth="0" w:num="1">
            <w:col w:w="11000"/>
          </w:cols>
          <w:pgMar w:left="440" w:top="270" w:right="459" w:bottom="1440" w:gutter="0" w:footer="0" w:header="0"/>
        </w:sectPr>
      </w:pPr>
    </w:p>
    <w:bookmarkStart w:id="61" w:name="page62"/>
    <w:bookmarkEnd w:id="61"/>
    <w:p>
      <w:pPr>
        <w:ind w:left="184" w:hanging="184"/>
        <w:spacing w:after="0"/>
        <w:tabs>
          <w:tab w:leader="none" w:pos="18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with each of the Underwriters:</w:t>
      </w:r>
    </w:p>
    <w:p>
      <w:pPr>
        <w:spacing w:after="0" w:line="117" w:lineRule="exact"/>
        <w:rPr>
          <w:rFonts w:ascii="Times New Roman" w:cs="Times New Roman" w:eastAsia="Times New Roman" w:hAnsi="Times New Roman"/>
          <w:sz w:val="18"/>
          <w:szCs w:val="18"/>
          <w:color w:val="auto"/>
        </w:rPr>
      </w:pPr>
    </w:p>
    <w:p>
      <w:pPr>
        <w:ind w:left="-436" w:right="100" w:firstLine="987"/>
        <w:spacing w:after="0" w:line="252" w:lineRule="auto"/>
        <w:tabs>
          <w:tab w:leader="none" w:pos="8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you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suspending the effectiveness of the Registration Statement or any part thereof preventing or suspending the use of any Issuer Free Writing Prospectus, Preliminary Prospectus or other prospectus in respect of the Shares,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suspending the effectiveness of the Registration Statement or any part thereof or of any order preventing or suspending the use of any Issuer Free Writing Prospectus, Preliminary Prospectus or other prospectus relating to the Shares or suspending any such qualification, to promptly use its best efforts to obtain the withdrawal of such order;</w:t>
      </w:r>
    </w:p>
    <w:p>
      <w:pPr>
        <w:spacing w:after="0" w:line="195" w:lineRule="exact"/>
        <w:rPr>
          <w:rFonts w:ascii="Times New Roman" w:cs="Times New Roman" w:eastAsia="Times New Roman" w:hAnsi="Times New Roman"/>
          <w:sz w:val="18"/>
          <w:szCs w:val="18"/>
          <w:color w:val="auto"/>
        </w:rPr>
      </w:pPr>
    </w:p>
    <w:p>
      <w:pPr>
        <w:ind w:left="-436" w:right="220" w:firstLine="987"/>
        <w:spacing w:after="0" w:line="258" w:lineRule="auto"/>
        <w:tabs>
          <w:tab w:leader="none" w:pos="81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183" w:lineRule="exact"/>
        <w:rPr>
          <w:rFonts w:ascii="Times New Roman" w:cs="Times New Roman" w:eastAsia="Times New Roman" w:hAnsi="Times New Roman"/>
          <w:sz w:val="18"/>
          <w:szCs w:val="18"/>
          <w:color w:val="auto"/>
        </w:rPr>
      </w:pPr>
    </w:p>
    <w:p>
      <w:pPr>
        <w:ind w:left="-436" w:firstLine="987"/>
        <w:spacing w:after="0" w:line="268" w:lineRule="auto"/>
        <w:tabs>
          <w:tab w:leader="none" w:pos="80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10:00 a.m., New York time, on the New York Business Day next succeeding the date of this Agreement (or such other time as may be agreed to by the Representatives and the Company) and from time to time, to furnish the Underwriters with written and electronic copies of the Prospectus, Preliminary Prospectus and any supplements and amendments thereto or to the Registration Statement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before amending or supplementing the Registration Statement, the Pricing Disclosure Package or the Prospectus, to furnish you a copy of each such proposed amendment or supplement and not file any such proposed amendment or supplement to which you reasonably object, and upon your request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ectPr>
          <w:pgSz w:w="11900" w:h="16838" w:orient="portrait"/>
          <w:cols w:equalWidth="0" w:num="1">
            <w:col w:w="10564"/>
          </w:cols>
          <w:pgMar w:left="876" w:top="270" w:right="459" w:bottom="1440" w:gutter="0" w:footer="0" w:header="0"/>
        </w:sectPr>
      </w:pPr>
    </w:p>
    <w:bookmarkStart w:id="62" w:name="page63"/>
    <w:bookmarkEnd w:id="62"/>
    <w:p>
      <w:pPr>
        <w:ind w:left="-987" w:right="40" w:firstLine="987"/>
        <w:spacing w:after="0" w:line="258"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83" w:lineRule="exact"/>
        <w:rPr>
          <w:rFonts w:ascii="Times New Roman" w:cs="Times New Roman" w:eastAsia="Times New Roman" w:hAnsi="Times New Roman"/>
          <w:sz w:val="18"/>
          <w:szCs w:val="18"/>
          <w:color w:val="auto"/>
        </w:rPr>
      </w:pPr>
    </w:p>
    <w:p>
      <w:pPr>
        <w:ind w:left="-987" w:firstLine="987"/>
        <w:spacing w:after="0" w:line="251" w:lineRule="auto"/>
        <w:tabs>
          <w:tab w:leader="none" w:pos="2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During the period beginning from the date of this Agreement and continuing to and including the date 180 days after the date of the Prospectus (the “Lock-Up Period”), not to (i) offer, sell, contract to sell, pledge, grant any option to purchase, loan, hedge,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(ii) enter into any hedging,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or (iii) publicly disclose the intention to do any of the foregoing, in each case, without the prior written consent of Goldman Sachs &amp; Co. LLC and Jefferies LLC; provided, however, that the restrictions in the foregoing sentence shall not apply to (a) the Shares to be sold hereunder; (b) shares of common stock or any securities (including without limitation options, restricted stock or restricted stock units) convertible into, or exercisable for, shares of common stock pursuant to any employee stock option plan, incentive plan, stock plan, dividend reinvestment plan or otherwise in equity compensation arrangements in place as of the Applicable Time and as described in the Pricing Disclosure Package; (c) the grant of awards pursuant to employee equity-based compensation plans, incentive plans, stock plans, or other arrangements in place as of the Applicable Time and as described in the Pricing Disclosure Package; (d) the filing of a registration statement on Form S-8 in connection with the registration of shares of common stock issuable under any employee equity-based compensation plan, incentive plan, stock plan, dividend reinvestment plan adopted and approved by the Company’s board of directors prior to the Applicable Time and as described in the Pricing Disclosure Package; (e) the issuance of up to five percent (5%) of the outstanding shares of common stock in connection with the acquisition of the assets of, or a majority or controlling portion of the equity of, or a joint venture with another entity in connection with its acquisition by the Company or any of its subsidiaries of such entity; and (f) the offering and sale of common stock pursuant to the concurrent private placement described in each of the Registration Statement, the Pricing Disclosure Package and the Prospectus; provided that each recipient of any shares of common stock issued or sold pursuant to clause (b), (c), (e) or (f) above executes and delivers to the Representatives prior to such issuance or sale (as the case may be) an agreement having substantially the same terms as set forth in Annex II hereto;</w:t>
      </w:r>
    </w:p>
    <w:p>
      <w:pPr>
        <w:spacing w:after="0" w:line="205" w:lineRule="exact"/>
        <w:rPr>
          <w:sz w:val="20"/>
          <w:szCs w:val="20"/>
          <w:color w:val="auto"/>
        </w:rPr>
      </w:pPr>
    </w:p>
    <w:p>
      <w:pPr>
        <w:ind w:left="-987" w:right="300" w:firstLine="987"/>
        <w:spacing w:after="0" w:line="258"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Goldman Sachs &amp; Co. LLC and Jefferies LLC, in their sole discretion, agree to release or waive the restrictions in lock-up letters delivered pursuant to Section 8(i) hereof for an officer or director of the Company and provide the Company with notice of the impending release or waiver at least three business days before the effective date of the release or waiver, the Company agrees, in each case, to announce the impending release or waiver by a press release substantially in the form of Annex I hereto through a major news service at least two business days before the effective date of the release or waiver;</w:t>
      </w:r>
    </w:p>
    <w:p>
      <w:pPr>
        <w:spacing w:after="0" w:line="183" w:lineRule="exact"/>
        <w:rPr>
          <w:rFonts w:ascii="Times New Roman" w:cs="Times New Roman" w:eastAsia="Times New Roman" w:hAnsi="Times New Roman"/>
          <w:sz w:val="18"/>
          <w:szCs w:val="18"/>
          <w:color w:val="auto"/>
        </w:rPr>
      </w:pPr>
    </w:p>
    <w:p>
      <w:pPr>
        <w:ind w:left="-987" w:right="60" w:firstLine="987"/>
        <w:spacing w:after="0" w:line="255"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enforce all existing agreements between the Company and any of its securityholders that prohibit the sale, transfer, assignment, pledge or hypothecation of any of the Company’s securities in connection with the Company’s initial public offering until, in respect of any particular securityholder, the earlier to occur of (i) the expiration of the Lock-Up Period or (ii) the expiration of any similar arrangement entered into by such securityholder with the Representatives; to direct the transfer agent to place stop transfer restrictions upon any such securities of the Company that are bound by such existing “lock-up,” “market stand-off,” “holdback” or similar provisions of such agreements for the duration of the periods contemplated in the preceding clause; and not to release or otherwise grant any waiver of such provisions in such agreements during such periods without the prior written consent of Goldman Sachs &amp; Co. LLC and Jefferies LLC, on behalf of the Underwriters;</w:t>
      </w:r>
    </w:p>
    <w:p>
      <w:pPr>
        <w:sectPr>
          <w:pgSz w:w="11900" w:h="16838" w:orient="portrait"/>
          <w:cols w:equalWidth="0" w:num="1">
            <w:col w:w="10013"/>
          </w:cols>
          <w:pgMar w:left="1427" w:top="270" w:right="459" w:bottom="1440" w:gutter="0" w:footer="0" w:header="0"/>
        </w:sectPr>
      </w:pPr>
    </w:p>
    <w:bookmarkStart w:id="63" w:name="page64"/>
    <w:bookmarkEnd w:id="63"/>
    <w:p>
      <w:pPr>
        <w:ind w:left="-987" w:right="100" w:firstLine="987"/>
        <w:spacing w:after="0" w:line="273" w:lineRule="auto"/>
        <w:tabs>
          <w:tab w:leader="none" w:pos="22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that they are available on the Commission’s EDGAR system;</w:t>
      </w:r>
    </w:p>
    <w:p>
      <w:pPr>
        <w:spacing w:after="0" w:line="171" w:lineRule="exact"/>
        <w:rPr>
          <w:rFonts w:ascii="Times New Roman" w:cs="Times New Roman" w:eastAsia="Times New Roman" w:hAnsi="Times New Roman"/>
          <w:sz w:val="17"/>
          <w:szCs w:val="17"/>
          <w:color w:val="auto"/>
        </w:rPr>
      </w:pPr>
    </w:p>
    <w:p>
      <w:pPr>
        <w:ind w:left="-987" w:firstLine="987"/>
        <w:spacing w:after="0" w:line="254"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the Commission’s EDGAR system;</w:t>
      </w:r>
    </w:p>
    <w:p>
      <w:pPr>
        <w:spacing w:after="0" w:line="191" w:lineRule="exact"/>
        <w:rPr>
          <w:rFonts w:ascii="Times New Roman" w:cs="Times New Roman" w:eastAsia="Times New Roman" w:hAnsi="Times New Roman"/>
          <w:sz w:val="18"/>
          <w:szCs w:val="18"/>
          <w:color w:val="auto"/>
        </w:rPr>
      </w:pPr>
    </w:p>
    <w:p>
      <w:pPr>
        <w:ind w:left="-987" w:right="340" w:firstLine="987"/>
        <w:spacing w:after="0" w:line="282"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pursuant to this Agreement in the manner specified in the Pricing Prospectus under the caption “Use of Proceeds”;</w:t>
      </w:r>
    </w:p>
    <w:p>
      <w:pPr>
        <w:spacing w:after="0" w:line="161" w:lineRule="exact"/>
        <w:rPr>
          <w:rFonts w:ascii="Times New Roman" w:cs="Times New Roman" w:eastAsia="Times New Roman" w:hAnsi="Times New Roman"/>
          <w:sz w:val="18"/>
          <w:szCs w:val="18"/>
          <w:color w:val="auto"/>
        </w:rPr>
      </w:pPr>
    </w:p>
    <w:p>
      <w:pPr>
        <w:ind w:left="213" w:hanging="213"/>
        <w:spacing w:after="0"/>
        <w:tabs>
          <w:tab w:leader="none" w:pos="2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list for trading, subject to official notice of issuance, the Shares on the Exchange;</w:t>
      </w:r>
    </w:p>
    <w:p>
      <w:pPr>
        <w:spacing w:after="0" w:line="225" w:lineRule="exact"/>
        <w:rPr>
          <w:rFonts w:ascii="Times New Roman" w:cs="Times New Roman" w:eastAsia="Times New Roman" w:hAnsi="Times New Roman"/>
          <w:sz w:val="18"/>
          <w:szCs w:val="18"/>
          <w:color w:val="auto"/>
        </w:rPr>
      </w:pPr>
    </w:p>
    <w:p>
      <w:pPr>
        <w:ind w:left="213" w:hanging="213"/>
        <w:spacing w:after="0"/>
        <w:tabs>
          <w:tab w:leader="none" w:pos="2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with the Commission such information on Form 10-Q or Form 10-K as may be required by Rule 463 under the Act;</w:t>
      </w:r>
    </w:p>
    <w:p>
      <w:pPr>
        <w:spacing w:after="0" w:line="225" w:lineRule="exact"/>
        <w:rPr>
          <w:rFonts w:ascii="Times New Roman" w:cs="Times New Roman" w:eastAsia="Times New Roman" w:hAnsi="Times New Roman"/>
          <w:sz w:val="18"/>
          <w:szCs w:val="18"/>
          <w:color w:val="auto"/>
        </w:rPr>
      </w:pPr>
    </w:p>
    <w:p>
      <w:pPr>
        <w:ind w:left="-987" w:right="180" w:firstLine="987"/>
        <w:spacing w:after="0" w:line="261"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under the Act, the Company shall file a Rule 462(b) Registration Statement with the Commission in compliance with Rule 462(b) under the Act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179" w:lineRule="exact"/>
        <w:rPr>
          <w:rFonts w:ascii="Times New Roman" w:cs="Times New Roman" w:eastAsia="Times New Roman" w:hAnsi="Times New Roman"/>
          <w:sz w:val="18"/>
          <w:szCs w:val="18"/>
          <w:color w:val="auto"/>
        </w:rPr>
      </w:pPr>
    </w:p>
    <w:p>
      <w:pPr>
        <w:ind w:left="-987" w:right="140" w:firstLine="987"/>
        <w:spacing w:after="0" w:line="261" w:lineRule="auto"/>
        <w:tabs>
          <w:tab w:leader="none" w:pos="2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179" w:lineRule="exact"/>
        <w:rPr>
          <w:rFonts w:ascii="Times New Roman" w:cs="Times New Roman" w:eastAsia="Times New Roman" w:hAnsi="Times New Roman"/>
          <w:sz w:val="18"/>
          <w:szCs w:val="18"/>
          <w:color w:val="auto"/>
        </w:rPr>
      </w:pPr>
    </w:p>
    <w:p>
      <w:pPr>
        <w:ind w:left="-987" w:right="140" w:firstLine="987"/>
        <w:spacing w:after="0" w:line="282" w:lineRule="auto"/>
        <w:tabs>
          <w:tab w:leader="none" w:pos="3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161" w:lineRule="exact"/>
        <w:rPr>
          <w:rFonts w:ascii="Times New Roman" w:cs="Times New Roman" w:eastAsia="Times New Roman" w:hAnsi="Times New Roman"/>
          <w:sz w:val="18"/>
          <w:szCs w:val="18"/>
          <w:color w:val="auto"/>
        </w:rPr>
      </w:pPr>
    </w:p>
    <w:p>
      <w:pPr>
        <w:jc w:val="both"/>
        <w:ind w:left="-987" w:right="80" w:firstLine="987"/>
        <w:spacing w:after="0" w:line="261"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each Underwriter (or its agent), on or before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79" w:lineRule="exact"/>
        <w:rPr>
          <w:rFonts w:ascii="Times New Roman" w:cs="Times New Roman" w:eastAsia="Times New Roman" w:hAnsi="Times New Roman"/>
          <w:sz w:val="18"/>
          <w:szCs w:val="18"/>
          <w:color w:val="auto"/>
        </w:rPr>
      </w:pPr>
    </w:p>
    <w:p>
      <w:pPr>
        <w:ind w:left="-987" w:right="560" w:firstLine="987"/>
        <w:spacing w:after="0" w:line="282"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affiliates will take, directly or indirectly, any action designed to or that could reasonably be expected to cause or result in any stabilization or manipulation of the price of the Shares; and</w:t>
      </w:r>
    </w:p>
    <w:p>
      <w:pPr>
        <w:sectPr>
          <w:pgSz w:w="11900" w:h="16838" w:orient="portrait"/>
          <w:cols w:equalWidth="0" w:num="1">
            <w:col w:w="10013"/>
          </w:cols>
          <w:pgMar w:left="1427" w:top="270" w:right="459" w:bottom="1440" w:gutter="0" w:footer="0" w:header="0"/>
        </w:sectPr>
      </w:pPr>
    </w:p>
    <w:bookmarkStart w:id="64" w:name="page65"/>
    <w:bookmarkEnd w:id="64"/>
    <w:p>
      <w:pPr>
        <w:ind w:left="-436" w:right="160" w:firstLine="987"/>
        <w:spacing w:after="0" w:line="266" w:lineRule="auto"/>
        <w:tabs>
          <w:tab w:leader="none" w:pos="81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indemnify and hold harmless the Underwriters against any documentary, stamp, registration or similar issuance tax, including any interest and penalties, on the sale, issuance or delivery of the Shares by the Company to the Underwriters and on the execution and delivery of this Agreement.</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58" w:lineRule="auto"/>
        <w:tabs>
          <w:tab w:leader="none" w:pos="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and any such free writing prospectus the use of which has been consented to by the Company and the Representatives is listed in Schedule II(a) hereto;</w:t>
      </w:r>
    </w:p>
    <w:p>
      <w:pPr>
        <w:spacing w:after="0" w:line="183" w:lineRule="exact"/>
        <w:rPr>
          <w:rFonts w:ascii="Times New Roman" w:cs="Times New Roman" w:eastAsia="Times New Roman" w:hAnsi="Times New Roman"/>
          <w:sz w:val="18"/>
          <w:szCs w:val="18"/>
          <w:color w:val="auto"/>
        </w:rPr>
      </w:pPr>
    </w:p>
    <w:p>
      <w:pPr>
        <w:ind w:left="-436" w:right="20" w:firstLine="987"/>
        <w:spacing w:after="0" w:line="266" w:lineRule="auto"/>
        <w:tabs>
          <w:tab w:leader="none" w:pos="8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75" w:lineRule="exact"/>
        <w:rPr>
          <w:rFonts w:ascii="Times New Roman" w:cs="Times New Roman" w:eastAsia="Times New Roman" w:hAnsi="Times New Roman"/>
          <w:sz w:val="18"/>
          <w:szCs w:val="18"/>
          <w:color w:val="auto"/>
        </w:rPr>
      </w:pPr>
    </w:p>
    <w:p>
      <w:pPr>
        <w:ind w:left="-436" w:firstLine="987"/>
        <w:spacing w:after="0" w:line="254" w:lineRule="auto"/>
        <w:tabs>
          <w:tab w:leader="none" w:pos="8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 Written Testing-the-Waters Communication prepared or authorized by the Company made in reliance upon and in conformity with the Underwriter Information;</w:t>
      </w:r>
    </w:p>
    <w:p>
      <w:pPr>
        <w:spacing w:after="0" w:line="191" w:lineRule="exact"/>
        <w:rPr>
          <w:rFonts w:ascii="Times New Roman" w:cs="Times New Roman" w:eastAsia="Times New Roman" w:hAnsi="Times New Roman"/>
          <w:sz w:val="18"/>
          <w:szCs w:val="18"/>
          <w:color w:val="auto"/>
        </w:rPr>
      </w:pPr>
    </w:p>
    <w:p>
      <w:pPr>
        <w:ind w:left="-436" w:right="100" w:firstLine="987"/>
        <w:spacing w:after="0" w:line="255" w:lineRule="auto"/>
        <w:tabs>
          <w:tab w:leader="none" w:pos="8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(a)(8), (a)(9), (a)(12) or (a)(13)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88" w:lineRule="exact"/>
        <w:rPr>
          <w:rFonts w:ascii="Times New Roman" w:cs="Times New Roman" w:eastAsia="Times New Roman" w:hAnsi="Times New Roman"/>
          <w:sz w:val="18"/>
          <w:szCs w:val="18"/>
          <w:color w:val="auto"/>
        </w:rPr>
      </w:pPr>
    </w:p>
    <w:p>
      <w:pPr>
        <w:ind w:left="-436" w:right="160" w:firstLine="987"/>
        <w:spacing w:after="0" w:line="266" w:lineRule="auto"/>
        <w:tabs>
          <w:tab w:leader="none" w:pos="8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(a)(8), (a)(9), (a)(12) or (a)(13) under the Act.</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53" w:lineRule="auto"/>
        <w:tabs>
          <w:tab w:leader="none" w:pos="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the Exchange; (v) the filing fees incident to, and the reasonable and documented fees and disbursements of counsel for the Underwriters in connection with, any required review by FINRA of the terms of the sale of the Shares, provided, however, that the</w:t>
      </w:r>
    </w:p>
    <w:p>
      <w:pPr>
        <w:sectPr>
          <w:pgSz w:w="11900" w:h="16838" w:orient="portrait"/>
          <w:cols w:equalWidth="0" w:num="1">
            <w:col w:w="10544"/>
          </w:cols>
          <w:pgMar w:left="876" w:top="270" w:right="479" w:bottom="1440" w:gutter="0" w:footer="0" w:header="0"/>
        </w:sectPr>
      </w:pPr>
    </w:p>
    <w:bookmarkStart w:id="65" w:name="page66"/>
    <w:bookmarkEnd w:id="6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and documented fees and disbursements of counsel for the Underwriters related to clauses (iii) and (v) shall not exceed $40,000 in the aggregate; (vi) the cost of preparing stock certificates; if applicable; (vii) the cost and charges of any transfer agent or registrar;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(ix) all other costs and expenses incident to the performance of its obligations hereunder which are not otherwise specifically provided for in this Section; and (x) any documentary, stamp, registration or other similar taxes on the sale, issuance and delivery of the Shares to the Underwriters and on the execution and delivery of this Agreement. It is understood, however, that, except as provided in this Section, and Sections 9 and 12 hereof, the Underwriters will pay all of their own costs and expenses, including the fees of their counsel, stock transfer taxes on the resale of any of the Shares by them, any advertising expenses connected with any offers they may make and the travel and lodging expenses incurred by representatives of the Underwriters in connection with any road show.</w:t>
      </w:r>
    </w:p>
    <w:p>
      <w:pPr>
        <w:spacing w:after="0" w:line="190" w:lineRule="exact"/>
        <w:rPr>
          <w:sz w:val="20"/>
          <w:szCs w:val="20"/>
          <w:color w:val="auto"/>
        </w:rPr>
      </w:pPr>
    </w:p>
    <w:p>
      <w:pPr>
        <w:jc w:val="both"/>
        <w:ind w:left="4" w:right="80" w:firstLine="436"/>
        <w:spacing w:after="0" w:line="261" w:lineRule="auto"/>
        <w:tabs>
          <w:tab w:leader="none" w:pos="62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1"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under the Act;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88" w:lineRule="exact"/>
        <w:rPr>
          <w:rFonts w:ascii="Times New Roman" w:cs="Times New Roman" w:eastAsia="Times New Roman" w:hAnsi="Times New Roman"/>
          <w:sz w:val="18"/>
          <w:szCs w:val="18"/>
          <w:color w:val="auto"/>
        </w:rPr>
      </w:pPr>
    </w:p>
    <w:p>
      <w:pPr>
        <w:jc w:val="both"/>
        <w:ind w:left="4" w:right="160" w:firstLine="987"/>
        <w:spacing w:after="0" w:line="266" w:lineRule="auto"/>
        <w:tabs>
          <w:tab w:leader="none" w:pos="125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counsel for the Underwriters, shall have furnished to you such written opinion and negative assurance letter, dated such Time of Delivery, in form and substance satisfactory to you, and such counsel shall have received such papers and information as they may reasonably request to enable them to pass upon such matters;</w:t>
      </w:r>
    </w:p>
    <w:p>
      <w:pPr>
        <w:spacing w:after="0" w:line="17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counsel for the Company, shall have furnished to you their written opinion and negative assurance letter, dated such Time of Delivery, in form and substance reasonably satisfactory to you;</w:t>
      </w:r>
    </w:p>
    <w:p>
      <w:pPr>
        <w:spacing w:after="0" w:line="161"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5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intellectual property counsel for the Company, shall have furnished to you their written opinion, dated such Time of Delivery, in form and substance reasonably satisfactory to you;</w:t>
      </w:r>
    </w:p>
    <w:p>
      <w:pPr>
        <w:spacing w:after="0" w:line="161"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4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Prospectus at a time prior to the execution of this Agreement, at 9:30 a.m., New York time, on the effective date of any post-effective amendment to the Registration Statement filed subsequent to the date of this Agreement and also at each Time of Delivery, PricewaterhouseCoopers LLP shall have furnished to you a letter or letters, dated the respective dates of delivery thereof, in form and substance satisfactory to you;</w:t>
      </w:r>
    </w:p>
    <w:p>
      <w:pPr>
        <w:spacing w:after="0" w:line="179"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20" w:val="left"/>
        </w:tabs>
        <w:numPr>
          <w:ilvl w:val="2"/>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Pricing Prospectus there shall not have been any</w:t>
      </w:r>
    </w:p>
    <w:p>
      <w:pPr>
        <w:sectPr>
          <w:pgSz w:w="11900" w:h="16838" w:orient="portrait"/>
          <w:cols w:equalWidth="0" w:num="1">
            <w:col w:w="11004"/>
          </w:cols>
          <w:pgMar w:left="436" w:top="270" w:right="459" w:bottom="1440" w:gutter="0" w:footer="0" w:header="0"/>
        </w:sectPr>
      </w:pPr>
    </w:p>
    <w:bookmarkStart w:id="66" w:name="page67"/>
    <w:bookmarkEnd w:id="6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88" w:lineRule="exact"/>
        <w:rPr>
          <w:sz w:val="20"/>
          <w:szCs w:val="20"/>
          <w:color w:val="auto"/>
        </w:rPr>
      </w:pPr>
    </w:p>
    <w:p>
      <w:pPr>
        <w:ind w:right="20" w:firstLine="987"/>
        <w:spacing w:after="0" w:line="254" w:lineRule="auto"/>
        <w:tabs>
          <w:tab w:leader="none" w:pos="12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the New York Stock Exchange or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at such Time of Delivery shall have been duly listed, subject to official notice of issuance, on the Exchange;</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0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and delivered to the Underwriters executed copies of an agreement from each (i) officer and director of the Company and (ii) other securityholders of the Company representing all outstanding securities of the Company, substantially to the effect set forth in Annex II hereto in form and substance satisfactory to you;</w:t>
      </w:r>
    </w:p>
    <w:p>
      <w:pPr>
        <w:spacing w:after="0" w:line="175" w:lineRule="exact"/>
        <w:rPr>
          <w:rFonts w:ascii="Times New Roman" w:cs="Times New Roman" w:eastAsia="Times New Roman" w:hAnsi="Times New Roman"/>
          <w:sz w:val="18"/>
          <w:szCs w:val="18"/>
          <w:color w:val="auto"/>
        </w:rPr>
      </w:pPr>
    </w:p>
    <w:p>
      <w:pPr>
        <w:ind w:right="60" w:firstLine="987"/>
        <w:spacing w:after="0" w:line="282" w:lineRule="auto"/>
        <w:tabs>
          <w:tab w:leader="none" w:pos="120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161"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8 and as to such other matters as you may reasonably request.</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ectPr>
          <w:pgSz w:w="11900" w:h="16838" w:orient="portrait"/>
          <w:cols w:equalWidth="0" w:num="1">
            <w:col w:w="11000"/>
          </w:cols>
          <w:pgMar w:left="440" w:top="270" w:right="459" w:bottom="1440" w:gutter="0" w:footer="0" w:header="0"/>
        </w:sectPr>
      </w:pPr>
    </w:p>
    <w:bookmarkStart w:id="67" w:name="page68"/>
    <w:bookmarkEnd w:id="67"/>
    <w:p>
      <w:pPr>
        <w:ind w:left="4" w:firstLine="987"/>
        <w:spacing w:after="0" w:line="252" w:lineRule="auto"/>
        <w:tabs>
          <w:tab w:leader="none" w:pos="12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 under the caption “Underwriting.”</w:t>
      </w:r>
    </w:p>
    <w:p>
      <w:pPr>
        <w:spacing w:after="0" w:line="195" w:lineRule="exact"/>
        <w:rPr>
          <w:rFonts w:ascii="Times New Roman" w:cs="Times New Roman" w:eastAsia="Times New Roman" w:hAnsi="Times New Roman"/>
          <w:sz w:val="18"/>
          <w:szCs w:val="18"/>
          <w:color w:val="auto"/>
        </w:rPr>
      </w:pPr>
    </w:p>
    <w:p>
      <w:pPr>
        <w:ind w:left="4" w:right="20" w:firstLine="987"/>
        <w:spacing w:after="0" w:line="251" w:lineRule="auto"/>
        <w:tabs>
          <w:tab w:leader="none" w:pos="12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reasonable and documented legal expenses of other counsel or any other reasonable and documented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11" w:lineRule="exact"/>
        <w:rPr>
          <w:rFonts w:ascii="Times New Roman" w:cs="Times New Roman" w:eastAsia="Times New Roman" w:hAnsi="Times New Roman"/>
          <w:sz w:val="18"/>
          <w:szCs w:val="18"/>
          <w:color w:val="auto"/>
        </w:rPr>
      </w:pPr>
    </w:p>
    <w:p>
      <w:pPr>
        <w:ind w:left="4" w:right="60" w:hanging="4"/>
        <w:spacing w:after="0" w:line="260" w:lineRule="auto"/>
        <w:tabs>
          <w:tab w:leader="none" w:pos="2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5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w:t>
      </w:r>
    </w:p>
    <w:p>
      <w:pPr>
        <w:sectPr>
          <w:pgSz w:w="11900" w:h="16838" w:orient="portrait"/>
          <w:cols w:equalWidth="0" w:num="1">
            <w:col w:w="11024"/>
          </w:cols>
          <w:pgMar w:left="436" w:top="270" w:right="439" w:bottom="1440" w:gutter="0" w:footer="0" w:header="0"/>
        </w:sectPr>
      </w:pPr>
    </w:p>
    <w:bookmarkStart w:id="68" w:name="page69"/>
    <w:bookmarkEnd w:id="6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92" w:lineRule="exact"/>
        <w:rPr>
          <w:sz w:val="20"/>
          <w:szCs w:val="20"/>
          <w:color w:val="auto"/>
        </w:rPr>
      </w:pPr>
    </w:p>
    <w:p>
      <w:pPr>
        <w:ind w:right="120" w:firstLine="987"/>
        <w:spacing w:after="0" w:line="256" w:lineRule="auto"/>
        <w:tabs>
          <w:tab w:leader="none" w:pos="12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94" w:lineRule="exact"/>
        <w:rPr>
          <w:rFonts w:ascii="Times New Roman" w:cs="Times New Roman" w:eastAsia="Times New Roman" w:hAnsi="Times New Roman"/>
          <w:sz w:val="18"/>
          <w:szCs w:val="18"/>
          <w:color w:val="auto"/>
        </w:rPr>
      </w:pPr>
    </w:p>
    <w:p>
      <w:pPr>
        <w:ind w:right="260" w:firstLine="987"/>
        <w:spacing w:after="0" w:line="255" w:lineRule="auto"/>
        <w:tabs>
          <w:tab w:leader="none" w:pos="124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ectPr>
          <w:pgSz w:w="11900" w:h="16838" w:orient="portrait"/>
          <w:cols w:equalWidth="0" w:num="1">
            <w:col w:w="11000"/>
          </w:cols>
          <w:pgMar w:left="440" w:top="270" w:right="459" w:bottom="1440" w:gutter="0" w:footer="0" w:header="0"/>
        </w:sectPr>
      </w:pPr>
    </w:p>
    <w:bookmarkStart w:id="69" w:name="page70"/>
    <w:bookmarkEnd w:id="69"/>
    <w:p>
      <w:pPr>
        <w:ind w:right="20" w:firstLine="987"/>
        <w:spacing w:after="0" w:line="254" w:lineRule="auto"/>
        <w:tabs>
          <w:tab w:leader="none" w:pos="12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1" w:lineRule="exact"/>
        <w:rPr>
          <w:rFonts w:ascii="Times New Roman" w:cs="Times New Roman" w:eastAsia="Times New Roman" w:hAnsi="Times New Roman"/>
          <w:sz w:val="18"/>
          <w:szCs w:val="18"/>
          <w:color w:val="auto"/>
        </w:rPr>
      </w:pPr>
    </w:p>
    <w:p>
      <w:pPr>
        <w:ind w:right="80" w:firstLine="436"/>
        <w:spacing w:after="0" w:line="258" w:lineRule="auto"/>
        <w:tabs>
          <w:tab w:leader="none" w:pos="7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broker-dealer, affiliate or controlling person of any Underwriter, or the Company, or any officer or director or controlling person of the Company, and shall survive delivery of and payment for the Shares.</w:t>
      </w:r>
    </w:p>
    <w:p>
      <w:pPr>
        <w:spacing w:after="0" w:line="183" w:lineRule="exact"/>
        <w:rPr>
          <w:rFonts w:ascii="Times New Roman" w:cs="Times New Roman" w:eastAsia="Times New Roman" w:hAnsi="Times New Roman"/>
          <w:sz w:val="18"/>
          <w:szCs w:val="18"/>
          <w:color w:val="auto"/>
        </w:rPr>
      </w:pPr>
    </w:p>
    <w:p>
      <w:pPr>
        <w:ind w:right="40" w:firstLine="436"/>
        <w:spacing w:after="0" w:line="256" w:lineRule="auto"/>
        <w:tabs>
          <w:tab w:leader="none" w:pos="7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87" w:lineRule="exact"/>
        <w:rPr>
          <w:rFonts w:ascii="Times New Roman" w:cs="Times New Roman" w:eastAsia="Times New Roman" w:hAnsi="Times New Roman"/>
          <w:sz w:val="18"/>
          <w:szCs w:val="18"/>
          <w:color w:val="auto"/>
        </w:rPr>
      </w:pPr>
    </w:p>
    <w:p>
      <w:pPr>
        <w:ind w:right="100" w:firstLine="436"/>
        <w:spacing w:after="0" w:line="266" w:lineRule="auto"/>
        <w:tabs>
          <w:tab w:leader="none" w:pos="7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or by Goldman Sachs &amp; Co. LLC, Jefferies LLC, TD Securities (USA) LLC and Stifel, Nicolaus &amp; Company, Incorporated on behalf of you as the Representatives.</w:t>
      </w:r>
    </w:p>
    <w:p>
      <w:pPr>
        <w:spacing w:after="0" w:line="176" w:lineRule="exact"/>
        <w:rPr>
          <w:sz w:val="20"/>
          <w:szCs w:val="20"/>
          <w:color w:val="auto"/>
        </w:rPr>
      </w:pPr>
    </w:p>
    <w:p>
      <w:pPr>
        <w:ind w:right="180" w:firstLine="440"/>
        <w:spacing w:after="0" w:line="270" w:lineRule="auto"/>
        <w:rPr>
          <w:sz w:val="20"/>
          <w:szCs w:val="20"/>
          <w:color w:val="auto"/>
        </w:rPr>
      </w:pPr>
      <w:r>
        <w:rPr>
          <w:rFonts w:ascii="Times New Roman" w:cs="Times New Roman" w:eastAsia="Times New Roman" w:hAnsi="Times New Roman"/>
          <w:sz w:val="17"/>
          <w:szCs w:val="17"/>
          <w:color w:val="auto"/>
        </w:rPr>
        <w:t>All statements, requests, notices and agreements hereunder shall be in writing, and (A) if to the Underwriters shall be delivered or sent by mail, telex or facsimile transmission to the Representatives (i) in care of Goldman Sachs &amp; Co. LLC, at 200 West Street, New York, New York 10282-2198, Attention: Registration Department, (ii) in care of Jefferies LLC, at 520 Madison Avenue, New York, New York 10022, Attention: General Counsel, (iii) in care TD Securities (USA) LLC, at 1 Vanderbilt Avenue, New York, New York 10017, Attention: Head of Equity Capital Markets, Fax:</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646-562-1249 with a copy to the General Counsel, Fax: 646-562-1130 and (iv) Stifel, Nicolaus &amp; Company, Incorporated, at 787 7th Avenue, 11th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New York, New York 10019, Attention: Equity Capital Markets; (B) if to the Company shall be delivered or sent by mail, telex or facsimile</w:t>
      </w:r>
    </w:p>
    <w:p>
      <w:pPr>
        <w:spacing w:after="0" w:line="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transmission to the address of the Company set forth on the cover of the Registration Statement, Attention: Chief Financial Officer, with a copy to Goodwin Procter LLP, 100 Northern Avenue, Boston, Massachusetts 02210, Attention: Kingsley L. Taft and Stephanie A. Richards;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provided further, however, that notices under subsection 5(e) shall be in writing, and if to the Underwriters shall be delivered or sent by mail, telex or facsimile transmission to (i) Goldman Sachs &amp; Co. LLC, 200 West Street, New York, New York 10282-2198, Attention: Control Room; (ii) Jefferies LLC, 520 Madison Avenue, New York, New York 10022, Attention: General Counsel. Any such statements, requests, notices or agreements shall take effect upon receipt thereof.</w:t>
      </w:r>
    </w:p>
    <w:p>
      <w:pPr>
        <w:spacing w:after="0" w:line="194"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ectPr>
          <w:pgSz w:w="11900" w:h="16838" w:orient="portrait"/>
          <w:cols w:equalWidth="0" w:num="1">
            <w:col w:w="11020"/>
          </w:cols>
          <w:pgMar w:left="440" w:top="270" w:right="439" w:bottom="1440" w:gutter="0" w:footer="0" w:header="0"/>
        </w:sectPr>
      </w:pPr>
    </w:p>
    <w:bookmarkStart w:id="70" w:name="page71"/>
    <w:bookmarkEnd w:id="70"/>
    <w:p>
      <w:pPr>
        <w:ind w:left="4" w:right="320" w:firstLine="436"/>
        <w:spacing w:after="0" w:line="258" w:lineRule="auto"/>
        <w:tabs>
          <w:tab w:leader="none" w:pos="71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broker-dealer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3"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71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left="4" w:firstLine="436"/>
        <w:spacing w:after="0" w:line="252" w:lineRule="auto"/>
        <w:tabs>
          <w:tab w:leader="none" w:pos="71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the purchase and sale of the Shares pursuant to this Agreement is an arm’s-length commercial transaction between the Company, on the one hand, and the several Underwriters, on the other, and does not constitute a recommendation, investment advice, or solicitation of any action by the Underwriters,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Underwriters and their respective affiliates may be engaged in a broad range of transactions that involve interests that differ from those of the Company, (iv) the Underwriters have not provided any legal, accounting, regulatory, investment or tax advice with respect to the offering of the Shares and the Company has consulted its own legal, accounting, financial, regulatory and tax advisors to the extent it deemed appropriate, and</w:t>
      </w:r>
    </w:p>
    <w:p>
      <w:pPr>
        <w:spacing w:after="0" w:line="6"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8"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71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Underwriters, or any of them, with respect to the subject matter hereof.</w:t>
      </w:r>
    </w:p>
    <w:p>
      <w:pPr>
        <w:spacing w:after="0" w:line="157" w:lineRule="exact"/>
        <w:rPr>
          <w:rFonts w:ascii="Times New Roman" w:cs="Times New Roman" w:eastAsia="Times New Roman" w:hAnsi="Times New Roman"/>
          <w:sz w:val="18"/>
          <w:szCs w:val="18"/>
          <w:color w:val="auto"/>
        </w:rPr>
      </w:pPr>
    </w:p>
    <w:p>
      <w:pPr>
        <w:ind w:left="4" w:firstLine="436"/>
        <w:spacing w:after="0" w:line="257" w:lineRule="auto"/>
        <w:tabs>
          <w:tab w:leader="none" w:pos="71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6"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71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left="4" w:firstLine="436"/>
        <w:spacing w:after="0" w:line="258" w:lineRule="auto"/>
        <w:tabs>
          <w:tab w:leader="none" w:pos="71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71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ectPr>
          <w:pgSz w:w="11900" w:h="16838" w:orient="portrait"/>
          <w:cols w:equalWidth="0" w:num="1">
            <w:col w:w="10964"/>
          </w:cols>
          <w:pgMar w:left="436" w:top="270" w:right="499" w:bottom="1440" w:gutter="0" w:footer="0" w:header="0"/>
        </w:sectPr>
      </w:pPr>
    </w:p>
    <w:bookmarkStart w:id="71" w:name="page72"/>
    <w:bookmarkEnd w:id="71"/>
    <w:p>
      <w:pPr>
        <w:ind w:left="700" w:hanging="264"/>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Recognition of the U.S. Special Resolution Regimes.</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660" w:hanging="224"/>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one for the Company and each of the Representatives plus one for each counse</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8"/>
          <w:szCs w:val="18"/>
          <w:color w:val="auto"/>
        </w:rPr>
        <w:t xml:space="preserve">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1020"/>
          </w:cols>
          <w:pgMar w:left="440" w:top="270"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Rapport Therapeutics,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Stifel, Nicolaus &amp; Company, Incorporated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w:t>
      </w:r>
    </w:p>
    <w:p>
      <w:pPr>
        <w:sectPr>
          <w:pgSz w:w="11900" w:h="16838" w:orient="portrait"/>
          <w:cols w:equalWidth="0" w:num="1">
            <w:col w:w="10019"/>
          </w:cols>
          <w:pgMar w:left="440" w:top="270" w:right="1440"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78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Optional Shares to</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of Firm</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if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7300" w:type="dxa"/>
            <w:vAlign w:val="bottom"/>
            <w:vMerge w:val="restart"/>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Option</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300" w:type="dxa"/>
            <w:vAlign w:val="bottom"/>
            <w:vMerge w:val="continue"/>
          </w:tcPr>
          <w:p>
            <w:pPr>
              <w:spacing w:after="0"/>
              <w:rPr>
                <w:sz w:val="15"/>
                <w:szCs w:val="15"/>
                <w:color w:val="auto"/>
              </w:rPr>
            </w:pPr>
          </w:p>
        </w:tc>
        <w:tc>
          <w:tcPr>
            <w:tcW w:w="1780" w:type="dxa"/>
            <w:vAlign w:val="bottom"/>
            <w:gridSpan w:val="2"/>
          </w:tcPr>
          <w:p>
            <w:pPr>
              <w:jc w:val="center"/>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0" w:type="dxa"/>
            <w:vAlign w:val="bottom"/>
          </w:tcPr>
          <w:p>
            <w:pPr>
              <w:spacing w:after="0"/>
              <w:rPr>
                <w:sz w:val="1"/>
                <w:szCs w:val="1"/>
                <w:color w:val="auto"/>
              </w:rPr>
            </w:pPr>
          </w:p>
        </w:tc>
      </w:tr>
      <w:tr>
        <w:trPr>
          <w:trHeight w:val="203"/>
        </w:trPr>
        <w:tc>
          <w:tcPr>
            <w:tcW w:w="8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w:t>
            </w:r>
          </w:p>
        </w:tc>
        <w:tc>
          <w:tcPr>
            <w:tcW w:w="9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7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8"/>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780" w:type="dxa"/>
            <w:vAlign w:val="bottom"/>
            <w:gridSpan w:val="2"/>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8"/>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7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8"/>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8"/>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75" w:name="page76"/>
    <w:bookmarkEnd w:id="75"/>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9" w:lineRule="exact"/>
        <w:rPr>
          <w:sz w:val="20"/>
          <w:szCs w:val="20"/>
          <w:color w:val="auto"/>
        </w:rPr>
      </w:pPr>
    </w:p>
    <w:p>
      <w:pPr>
        <w:ind w:left="984" w:right="3959" w:hanging="984"/>
        <w:spacing w:after="0" w:line="407" w:lineRule="auto"/>
        <w:tabs>
          <w:tab w:leader="none" w:pos="23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 [Electronic Roadshow dated [•], 2024.]</w:t>
      </w:r>
    </w:p>
    <w:p>
      <w:pPr>
        <w:spacing w:after="0" w:line="5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 Information other than the Pricing Prospectus that comprise the Pricing Disclosure Package:</w:t>
      </w:r>
    </w:p>
    <w:p>
      <w:pPr>
        <w:spacing w:after="0" w:line="1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initial public offering price per share for the Shares is $[•]</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number of Shares purchased by the Underwriters is [•].</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[Add any other pricing disclosure.]</w:t>
      </w:r>
    </w:p>
    <w:p>
      <w:pPr>
        <w:spacing w:after="0" w:line="207" w:lineRule="exact"/>
        <w:rPr>
          <w:sz w:val="20"/>
          <w:szCs w:val="20"/>
          <w:color w:val="auto"/>
        </w:rPr>
      </w:pPr>
    </w:p>
    <w:p>
      <w:pPr>
        <w:ind w:left="984" w:right="6499" w:hanging="984"/>
        <w:spacing w:after="0" w:line="445" w:lineRule="auto"/>
        <w:tabs>
          <w:tab w:leader="none" w:pos="247"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Testing-the-Waters Communications: [To add TTW Presentations]</w:t>
      </w:r>
    </w:p>
    <w:p>
      <w:pPr>
        <w:sectPr>
          <w:pgSz w:w="11900" w:h="16838" w:orient="portrait"/>
          <w:cols w:equalWidth="0" w:num="1">
            <w:col w:w="10023"/>
          </w:cols>
          <w:pgMar w:left="436" w:top="266"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Rapport Therapeutics, Inc. (the “Company”) announced today that Goldman Sachs &amp; Co. LLC, Jefferies LLC, TD Securities (USA) LLC and Stifel, Nicolaus &amp; Company, Incorporated,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[date], and the shares may be sold on or after such date. </w:t>
      </w:r>
    </w:p>
    <w:p>
      <w:pPr>
        <w:spacing w:after="0" w:line="17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0"/>
          </w:cols>
          <w:pgMar w:left="440" w:top="266" w:right="4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RAPPORT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to the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Stifel, Nicolaus &amp; Company, Incorporated</w:t>
      </w:r>
    </w:p>
    <w:p>
      <w:pPr>
        <w:spacing w:after="0" w:line="196" w:lineRule="auto"/>
        <w:rPr>
          <w:sz w:val="20"/>
          <w:szCs w:val="20"/>
          <w:color w:val="auto"/>
        </w:rPr>
      </w:pPr>
      <w:r>
        <w:rPr>
          <w:rFonts w:ascii="Times New Roman" w:cs="Times New Roman" w:eastAsia="Times New Roman" w:hAnsi="Times New Roman"/>
          <w:sz w:val="18"/>
          <w:szCs w:val="18"/>
          <w:color w:val="auto"/>
        </w:rPr>
        <w:t>787 7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Rapport Therapeutics, Inc.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Rapport Therapeutics, Inc., a Delaware corporation (the “Company”), providing for a public offering (the “Public Offering”) of shares (the “Shares”) of common stock, par value $0.001 per share, of the Company (the “Common Stock”) pursuant to a Registration Statement on Form S-1 (the “Registration Statement”) to be filed with the Securities and Exchange Commission (the “SEC”).</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of the final 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w:t>
      </w:r>
    </w:p>
    <w:p>
      <w:pPr>
        <w:sectPr>
          <w:pgSz w:w="11900" w:h="16838" w:orient="portrait"/>
          <w:cols w:equalWidth="0" w:num="1">
            <w:col w:w="11020"/>
          </w:cols>
          <w:pgMar w:left="440" w:top="266" w:right="439" w:bottom="1440" w:gutter="0" w:footer="0" w:header="0"/>
        </w:sectPr>
      </w:pPr>
    </w:p>
    <w:bookmarkStart w:id="78" w:name="page79"/>
    <w:bookmarkEnd w:id="78"/>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w:t>
      </w:r>
    </w:p>
    <w:p>
      <w:pPr>
        <w:ind w:left="304" w:hanging="304"/>
        <w:spacing w:after="0"/>
        <w:tabs>
          <w:tab w:leader="none" w:pos="30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publicly announce any intention to engage in or cause any action, activity, transaction or arrangement described in clause (i), (ii) or</w:t>
      </w:r>
    </w:p>
    <w:p>
      <w:pPr>
        <w:spacing w:after="0" w:line="9" w:lineRule="exact"/>
        <w:rPr>
          <w:rFonts w:ascii="Times New Roman" w:cs="Times New Roman" w:eastAsia="Times New Roman" w:hAnsi="Times New Roman"/>
          <w:sz w:val="18"/>
          <w:szCs w:val="18"/>
          <w:color w:val="auto"/>
        </w:rPr>
      </w:pPr>
    </w:p>
    <w:p>
      <w:pPr>
        <w:ind w:left="4" w:right="220" w:hanging="4"/>
        <w:spacing w:after="0" w:line="255" w:lineRule="auto"/>
        <w:tabs>
          <w:tab w:leader="none" w:pos="3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17" w:lineRule="exact"/>
        <w:rPr>
          <w:sz w:val="20"/>
          <w:szCs w:val="20"/>
          <w:color w:val="auto"/>
        </w:rPr>
      </w:pPr>
    </w:p>
    <w:p>
      <w:pPr>
        <w:ind w:left="684" w:hanging="244"/>
        <w:spacing w:after="0"/>
        <w:tabs>
          <w:tab w:leader="none" w:pos="6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w:t>
      </w:r>
    </w:p>
    <w:p>
      <w:pPr>
        <w:spacing w:after="0" w:line="128"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one or more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or charitable contributions,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w:t>
      </w:r>
    </w:p>
    <w:p>
      <w:pPr>
        <w:spacing w:after="0" w:line="132"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by will, testamentary document or intestate succession;</w:t>
      </w:r>
    </w:p>
    <w:p>
      <w:pPr>
        <w:spacing w:after="0" w:line="130" w:lineRule="exact"/>
        <w:rPr>
          <w:rFonts w:ascii="Times New Roman" w:cs="Times New Roman" w:eastAsia="Times New Roman" w:hAnsi="Times New Roman"/>
          <w:sz w:val="18"/>
          <w:szCs w:val="18"/>
          <w:color w:val="auto"/>
        </w:rPr>
      </w:pPr>
    </w:p>
    <w:p>
      <w:pPr>
        <w:ind w:left="1424" w:right="20" w:hanging="439"/>
        <w:spacing w:after="0" w:line="281" w:lineRule="auto"/>
        <w:tabs>
          <w:tab w:leader="none" w:pos="142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w:t>
      </w:r>
    </w:p>
    <w:p>
      <w:pPr>
        <w:spacing w:after="0" w:line="69" w:lineRule="exact"/>
        <w:rPr>
          <w:rFonts w:ascii="Times New Roman" w:cs="Times New Roman" w:eastAsia="Times New Roman" w:hAnsi="Times New Roman"/>
          <w:sz w:val="17"/>
          <w:szCs w:val="17"/>
          <w:color w:val="auto"/>
        </w:rPr>
      </w:pPr>
    </w:p>
    <w:p>
      <w:pPr>
        <w:ind w:left="1424" w:right="340" w:hanging="439"/>
        <w:spacing w:after="0" w:line="282" w:lineRule="auto"/>
        <w:tabs>
          <w:tab w:leader="none" w:pos="1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undersigned and the immediate family of the undersigned are the legal and beneficial owner of all of the outstanding equity securities or similar interests;</w:t>
      </w:r>
    </w:p>
    <w:p>
      <w:pPr>
        <w:spacing w:after="0" w:line="67" w:lineRule="exact"/>
        <w:rPr>
          <w:rFonts w:ascii="Times New Roman" w:cs="Times New Roman" w:eastAsia="Times New Roman" w:hAnsi="Times New Roman"/>
          <w:sz w:val="18"/>
          <w:szCs w:val="18"/>
          <w:color w:val="auto"/>
        </w:rPr>
      </w:pPr>
    </w:p>
    <w:p>
      <w:pPr>
        <w:ind w:left="1424" w:right="160" w:hanging="439"/>
        <w:spacing w:after="0" w:line="282" w:lineRule="auto"/>
        <w:tabs>
          <w:tab w:leader="none" w:pos="1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(a)(i) through (iv) above;</w:t>
      </w:r>
    </w:p>
    <w:p>
      <w:pPr>
        <w:spacing w:after="0" w:line="67" w:lineRule="exact"/>
        <w:rPr>
          <w:rFonts w:ascii="Times New Roman" w:cs="Times New Roman" w:eastAsia="Times New Roman" w:hAnsi="Times New Roman"/>
          <w:sz w:val="18"/>
          <w:szCs w:val="18"/>
          <w:color w:val="auto"/>
        </w:rPr>
      </w:pPr>
    </w:p>
    <w:p>
      <w:pPr>
        <w:ind w:left="1424" w:right="40" w:hanging="439"/>
        <w:spacing w:after="0" w:line="255" w:lineRule="auto"/>
        <w:tabs>
          <w:tab w:leader="none" w:pos="1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or other business entity, (A) to another corporation, partnership, limited liability company or other business entity that is a subsidiary or an affiliate (as defined in Rule 405 under the Securities Act of 1933, as amended) of the undersigned, or to any investment fund or other entity which fund or entity is controlled or managed by the undersigned or affiliates of the undersigned (including, for the avoidance of doubt, where the undersigned is a partnership, to its general partner or a successor partnership or fund, or any other funds managed by such partnership), or (B) as part of a disposition, transfer or distribution by the undersigned to its stockholders, partners, members or other equityholders or to the estate of any such stockholders, partners, members or other equityholders;</w:t>
      </w:r>
    </w:p>
    <w:p>
      <w:pPr>
        <w:spacing w:after="0" w:line="9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30" w:lineRule="exact"/>
        <w:rPr>
          <w:rFonts w:ascii="Times New Roman" w:cs="Times New Roman" w:eastAsia="Times New Roman" w:hAnsi="Times New Roman"/>
          <w:sz w:val="18"/>
          <w:szCs w:val="18"/>
          <w:color w:val="auto"/>
        </w:rPr>
      </w:pPr>
    </w:p>
    <w:p>
      <w:pPr>
        <w:ind w:left="1424" w:right="480" w:hanging="439"/>
        <w:spacing w:after="0" w:line="282" w:lineRule="auto"/>
        <w:tabs>
          <w:tab w:leader="none" w:pos="1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ectPr>
          <w:pgSz w:w="11900" w:h="16838" w:orient="portrait"/>
          <w:cols w:equalWidth="0" w:num="1">
            <w:col w:w="10984"/>
          </w:cols>
          <w:pgMar w:left="436" w:top="270" w:right="479" w:bottom="1440" w:gutter="0" w:footer="0" w:header="0"/>
        </w:sectPr>
      </w:pPr>
    </w:p>
    <w:bookmarkStart w:id="79" w:name="page80"/>
    <w:bookmarkEnd w:id="79"/>
    <w:p>
      <w:pPr>
        <w:ind w:left="992" w:right="300" w:hanging="439"/>
        <w:spacing w:after="0" w:line="266" w:lineRule="auto"/>
        <w:tabs>
          <w:tab w:leader="none" w:pos="9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undersigned is not an officer or director of the Company, in connection with a sale of the undersigned’s shares of Common Stock acquired (A) from the Underwriters in the Public Offering or (B) in open market transactions after the closing date of the Public Offering;</w:t>
      </w:r>
    </w:p>
    <w:p>
      <w:pPr>
        <w:spacing w:after="0" w:line="81" w:lineRule="exact"/>
        <w:rPr>
          <w:rFonts w:ascii="Times New Roman" w:cs="Times New Roman" w:eastAsia="Times New Roman" w:hAnsi="Times New Roman"/>
          <w:sz w:val="18"/>
          <w:szCs w:val="18"/>
          <w:color w:val="auto"/>
        </w:rPr>
      </w:pPr>
    </w:p>
    <w:p>
      <w:pPr>
        <w:ind w:left="992" w:right="80" w:hanging="439"/>
        <w:spacing w:after="0" w:line="254" w:lineRule="auto"/>
        <w:tabs>
          <w:tab w:leader="none" w:pos="9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rights to purchase shares of Common Stock (including, in each case, by way of “net” or “cashless” exercise),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or</w:t>
      </w:r>
    </w:p>
    <w:p>
      <w:pPr>
        <w:spacing w:after="0" w:line="93" w:lineRule="exact"/>
        <w:rPr>
          <w:rFonts w:ascii="Times New Roman" w:cs="Times New Roman" w:eastAsia="Times New Roman" w:hAnsi="Times New Roman"/>
          <w:sz w:val="18"/>
          <w:szCs w:val="18"/>
          <w:color w:val="auto"/>
        </w:rPr>
      </w:pPr>
    </w:p>
    <w:p>
      <w:pPr>
        <w:ind w:left="992" w:hanging="439"/>
        <w:spacing w:after="0"/>
        <w:tabs>
          <w:tab w:leader="none" w:pos="99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Goldman Sachs &amp; Co. LLC and Jefferies LLC on behalf of the Underwriters;</w:t>
      </w:r>
    </w:p>
    <w:p>
      <w:pPr>
        <w:spacing w:after="0" w:line="117" w:lineRule="exact"/>
        <w:rPr>
          <w:sz w:val="20"/>
          <w:szCs w:val="20"/>
          <w:color w:val="auto"/>
        </w:rPr>
      </w:pPr>
    </w:p>
    <w:p>
      <w:pPr>
        <w:ind w:left="552"/>
        <w:spacing w:after="0" w:line="253" w:lineRule="auto"/>
        <w:rPr>
          <w:sz w:val="20"/>
          <w:szCs w:val="20"/>
          <w:color w:val="auto"/>
        </w:rPr>
      </w:pPr>
      <w:r>
        <w:rPr>
          <w:rFonts w:ascii="Times New Roman" w:cs="Times New Roman" w:eastAsia="Times New Roman" w:hAnsi="Times New Roman"/>
          <w:sz w:val="18"/>
          <w:szCs w:val="18"/>
          <w:color w:val="auto"/>
        </w:rPr>
        <w:t>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(vii), (viii), (ix) and</w:t>
      </w:r>
    </w:p>
    <w:p>
      <w:pPr>
        <w:spacing w:after="0" w:line="3" w:lineRule="exact"/>
        <w:rPr>
          <w:sz w:val="20"/>
          <w:szCs w:val="20"/>
          <w:color w:val="auto"/>
        </w:rPr>
      </w:pPr>
    </w:p>
    <w:p>
      <w:pPr>
        <w:ind w:left="552" w:firstLine="7"/>
        <w:spacing w:after="0" w:line="253" w:lineRule="auto"/>
        <w:tabs>
          <w:tab w:leader="none" w:pos="80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or (a)(vii) above, that the donee, devisee, transferee or distributee has agreed to be bound by a lock-up agreement in the form of this Lock-Up Agreement;</w:t>
      </w:r>
    </w:p>
    <w:p>
      <w:pPr>
        <w:spacing w:after="0" w:line="92" w:lineRule="exact"/>
        <w:rPr>
          <w:rFonts w:ascii="Times New Roman" w:cs="Times New Roman" w:eastAsia="Times New Roman" w:hAnsi="Times New Roman"/>
          <w:sz w:val="18"/>
          <w:szCs w:val="18"/>
          <w:color w:val="auto"/>
        </w:rPr>
      </w:pPr>
    </w:p>
    <w:p>
      <w:pPr>
        <w:ind w:left="532" w:right="100" w:hanging="532"/>
        <w:spacing w:after="0" w:line="258"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 to the Company pursuant to an agreement under which the Company has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w:t>
      </w:r>
    </w:p>
    <w:p>
      <w:pPr>
        <w:spacing w:after="0" w:line="88" w:lineRule="exact"/>
        <w:rPr>
          <w:rFonts w:ascii="Times New Roman" w:cs="Times New Roman" w:eastAsia="Times New Roman" w:hAnsi="Times New Roman"/>
          <w:sz w:val="18"/>
          <w:szCs w:val="18"/>
          <w:color w:val="auto"/>
        </w:rPr>
      </w:pPr>
    </w:p>
    <w:p>
      <w:pPr>
        <w:ind w:left="532" w:right="40" w:hanging="532"/>
        <w:spacing w:after="0" w:line="255"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that none of the securities subject to such plan may be transferred, sold or otherwise disposed of pursuant to such plan until after the expiration of the Lock-Up Period;</w:t>
      </w:r>
    </w:p>
    <w:p>
      <w:pPr>
        <w:spacing w:after="0" w:line="94" w:lineRule="exact"/>
        <w:rPr>
          <w:rFonts w:ascii="Times New Roman" w:cs="Times New Roman" w:eastAsia="Times New Roman" w:hAnsi="Times New Roman"/>
          <w:sz w:val="18"/>
          <w:szCs w:val="18"/>
          <w:color w:val="auto"/>
        </w:rPr>
      </w:pPr>
    </w:p>
    <w:p>
      <w:pPr>
        <w:ind w:left="532" w:right="60" w:hanging="532"/>
        <w:spacing w:after="0" w:line="266" w:lineRule="auto"/>
        <w:tabs>
          <w:tab w:leader="none" w:pos="5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w:t>
      </w:r>
    </w:p>
    <w:p>
      <w:pPr>
        <w:sectPr>
          <w:pgSz w:w="11900" w:h="16838" w:orient="portrait"/>
          <w:cols w:equalWidth="0" w:num="1">
            <w:col w:w="10532"/>
          </w:cols>
          <w:pgMar w:left="868" w:top="270" w:right="499" w:bottom="1440" w:gutter="0" w:footer="0" w:header="0"/>
        </w:sectPr>
      </w:pPr>
    </w:p>
    <w:bookmarkStart w:id="80" w:name="page81"/>
    <w:bookmarkEnd w:id="80"/>
    <w:p>
      <w:pPr>
        <w:ind w:left="98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undersigned may agree to transfer, sell, tender or otherwise dispose of Common Stock or such other securities in connection with a transaction described in clause (i) above; provided that in the event that such tender offer, merger, consolidation or other similar transaction is not completed, the undersigned’s Lock-Up Securities shall remain subject to the provisions of this Lock-Up Agreement; and</w:t>
      </w:r>
    </w:p>
    <w:p>
      <w:pPr>
        <w:spacing w:after="0" w:line="94" w:lineRule="exact"/>
        <w:rPr>
          <w:sz w:val="20"/>
          <w:szCs w:val="20"/>
          <w:color w:val="auto"/>
        </w:rPr>
      </w:pPr>
    </w:p>
    <w:p>
      <w:pPr>
        <w:ind w:left="960" w:right="440" w:hanging="532"/>
        <w:spacing w:after="0" w:line="282"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outstanding preferred stock of the Company into shares of Common Stock, provided that any such shares received upon such conversion shall remain subject to the provisions of this Lock-Up Agreement.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provisions shall be equally applicable to any issuer-directed or other Shares the undersigned may purchase in the Public Offering.</w:t>
      </w:r>
    </w:p>
    <w:p>
      <w:pPr>
        <w:spacing w:after="0" w:line="162"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Goldman Sachs &amp; Co. LLC and Jefferies LLC agree that, at least three business days before the effective date of any release or waiver of the foregoing restrictions in connection with a transfer of Lock-Up Securities, Goldman Sachs &amp; Co. LLC and Jefferies LLC will notify the Company of the impending release or waiver, and (ii) the Company has agreed in the Underwriting Agreement to announce the impending release or waiver by press release through a major news service (or such other method approved by Goldman Sachs &amp; Co. LLC and Jefferies LLC that satisfies the requirements of FINRA Rule 5131(d)(2)) at least two business days before the effective date of the release or waiver. Any release or waiver granted by Goldman Sachs &amp; Co. LLC and Jefferies LLC hereunder to any such officer or director shall only be effective two business days after the publication date of such announcement.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spacing w:after="0" w:line="194"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undersigned now has, and, except as contemplated by clauses (a) and (d)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ectPr>
          <w:pgSz w:w="11900" w:h="16838" w:orient="portrait"/>
          <w:cols w:equalWidth="0" w:num="1">
            <w:col w:w="11000"/>
          </w:cols>
          <w:pgMar w:left="440" w:top="270" w:right="459" w:bottom="1440" w:gutter="0" w:footer="0" w:header="0"/>
        </w:sectPr>
      </w:pPr>
    </w:p>
    <w:bookmarkStart w:id="81" w:name="page82"/>
    <w:bookmarkEnd w:id="81"/>
    <w:p>
      <w:pPr>
        <w:ind w:left="4" w:right="46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Lock-Up Agreement shall automatically terminate and the undersigned shall be released from all of his, her or its obligations hereunder upon the earlier of (i) the date on which the Registration Statement filed with the SEC with respect to the Public Offering is withdrawn,</w:t>
      </w:r>
    </w:p>
    <w:p>
      <w:pPr>
        <w:spacing w:after="0" w:line="1" w:lineRule="exact"/>
        <w:rPr>
          <w:sz w:val="20"/>
          <w:szCs w:val="20"/>
          <w:color w:val="auto"/>
        </w:rPr>
      </w:pPr>
    </w:p>
    <w:p>
      <w:pPr>
        <w:ind w:left="4" w:right="40" w:hanging="4"/>
        <w:spacing w:after="0" w:line="265" w:lineRule="auto"/>
        <w:tabs>
          <w:tab w:leader="none" w:pos="26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w:t>
      </w:r>
    </w:p>
    <w:p>
      <w:pPr>
        <w:jc w:val="both"/>
        <w:ind w:left="4" w:right="200" w:hanging="4"/>
        <w:spacing w:after="0" w:line="253" w:lineRule="auto"/>
        <w:tabs>
          <w:tab w:leader="none" w:pos="31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notifies the Representatives, in writing and prior to the execution of the Underwriting Agreement, that it does not intend to proceed with the Public Offering and (iv) September 30, 2024, in the event that the Underwriting Agreement has not been executed by such date (provided, however, that the Company may, by written notice to the undersigned prior to such date, extend such date by a period of up to an additional 90 days).</w:t>
      </w:r>
    </w:p>
    <w:p>
      <w:pPr>
        <w:spacing w:after="0" w:line="189"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84"/>
          </w:cols>
          <w:pgMar w:left="436" w:top="270" w:right="4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54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IF AN ENTITY:</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46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(duly authorized signature)</w:t>
            </w:r>
          </w:p>
        </w:tc>
        <w:tc>
          <w:tcPr>
            <w:tcW w:w="540" w:type="dxa"/>
            <w:vAlign w:val="bottom"/>
          </w:tcPr>
          <w:p>
            <w:pPr>
              <w:spacing w:after="0"/>
              <w:rPr>
                <w:sz w:val="19"/>
                <w:szCs w:val="19"/>
                <w:color w:val="auto"/>
              </w:rPr>
            </w:pPr>
          </w:p>
        </w:tc>
        <w:tc>
          <w:tcPr>
            <w:tcW w:w="53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tc>
      </w:tr>
      <w:tr>
        <w:trPr>
          <w:trHeight w:val="41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4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By:</w:t>
            </w:r>
          </w:p>
        </w:tc>
      </w:tr>
      <w:tr>
        <w:trPr>
          <w:trHeight w:val="230"/>
        </w:trPr>
        <w:tc>
          <w:tcPr>
            <w:tcW w:w="540" w:type="dxa"/>
            <w:vAlign w:val="bottom"/>
          </w:tcPr>
          <w:p>
            <w:pPr>
              <w:spacing w:after="0"/>
              <w:rPr>
                <w:sz w:val="19"/>
                <w:szCs w:val="19"/>
                <w:color w:val="auto"/>
              </w:rPr>
            </w:pPr>
          </w:p>
        </w:tc>
        <w:tc>
          <w:tcPr>
            <w:tcW w:w="46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(please print full name)</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(duly authorized signature)</w:t>
            </w:r>
          </w:p>
        </w:tc>
      </w:tr>
      <w:tr>
        <w:trPr>
          <w:trHeight w:val="412"/>
        </w:trPr>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Name:</w:t>
            </w:r>
          </w:p>
        </w:tc>
      </w:tr>
      <w:tr>
        <w:trPr>
          <w:trHeight w:val="230"/>
        </w:trPr>
        <w:tc>
          <w:tcPr>
            <w:tcW w:w="5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(please print full name)</w:t>
            </w:r>
          </w:p>
        </w:tc>
      </w:tr>
      <w:tr>
        <w:trPr>
          <w:trHeight w:val="412"/>
        </w:trPr>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w:t>
            </w:r>
          </w:p>
        </w:tc>
      </w:tr>
      <w:tr>
        <w:trPr>
          <w:trHeight w:val="230"/>
        </w:trPr>
        <w:tc>
          <w:tcPr>
            <w:tcW w:w="5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(please print full title)</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
      <w:numFmt w:val="bullet"/>
      <w:start w:val="1"/>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lowerRoman"/>
      <w:start w:val="1"/>
    </w:lvl>
  </w:abstractNum>
  <w:abstractNum w:abstractNumId="4">
    <w:nsid w:val="39386575"/>
    <w:multiLevelType w:val="hybridMultilevel"/>
    <w:lvl w:ilvl="0">
      <w:lvlJc w:val="left"/>
      <w:lvlText w:val="(%1)"/>
      <w:numFmt w:val="lowerLetter"/>
      <w:start w:val="1"/>
    </w:lvl>
  </w:abstractNum>
  <w:abstractNum w:abstractNumId="5">
    <w:nsid w:val="1CF10FD8"/>
    <w:multiLevelType w:val="hybridMultilevel"/>
    <w:lvl w:ilvl="0">
      <w:lvlJc w:val="left"/>
      <w:lvlText w:val="(%1)"/>
      <w:numFmt w:val="lowerLetter"/>
      <w:start w:val="2"/>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1."/>
      <w:numFmt w:val="decimal"/>
      <w:start w:val="1"/>
    </w:lvl>
  </w:abstractNum>
  <w:abstractNum w:abstractNumId="8">
    <w:nsid w:val="47398C89"/>
    <w:multiLevelType w:val="hybridMultilevel"/>
    <w:lvl w:ilvl="0">
      <w:lvlJc w:val="left"/>
      <w:lvlText w:val="%1."/>
      <w:numFmt w:val="decimal"/>
      <w:start w:val="3"/>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1."/>
      <w:numFmt w:val="decimal"/>
      <w:start w:val="2"/>
    </w:lvl>
  </w:abstractNum>
  <w:abstractNum w:abstractNumId="11">
    <w:nsid w:val="741226BB"/>
    <w:multiLevelType w:val="hybridMultilevel"/>
    <w:lvl w:ilvl="0">
      <w:lvlJc w:val="left"/>
      <w:lvlText w:val="%1."/>
      <w:numFmt w:val="decimal"/>
      <w:start w:val="1"/>
    </w:lvl>
  </w:abstractNum>
  <w:abstractNum w:abstractNumId="12">
    <w:nsid w:val="D34B6A8"/>
    <w:multiLevelType w:val="hybridMultilevel"/>
    <w:lvl w:ilvl="0">
      <w:lvlJc w:val="left"/>
      <w:lvlText w:val="(%1)"/>
      <w:numFmt w:val="lowerLetter"/>
      <w:start w:val="1"/>
    </w:lvl>
    <w:lvl w:ilvl="1">
      <w:lvlJc w:val="left"/>
      <w:lvlText w:val="(%2)"/>
      <w:numFmt w:val="decimal"/>
      <w:start w:val="1"/>
    </w:lvl>
  </w:abstractNum>
  <w:abstractNum w:abstractNumId="13">
    <w:nsid w:val="10233C99"/>
    <w:multiLevelType w:val="hybridMultilevel"/>
    <w:lvl w:ilvl="0">
      <w:lvlJc w:val="left"/>
      <w:lvlText w:val="(%1)"/>
      <w:numFmt w:val="lowerLetter"/>
      <w:start w:val="35"/>
    </w:lvl>
    <w:lvl w:ilvl="1">
      <w:lvlJc w:val="left"/>
      <w:lvlText w:val="%2"/>
      <w:numFmt w:val="decimal"/>
      <w:start w:val="1"/>
    </w:lvl>
  </w:abstractNum>
  <w:abstractNum w:abstractNumId="14">
    <w:nsid w:val="3F6AB60F"/>
    <w:multiLevelType w:val="hybridMultilevel"/>
    <w:lvl w:ilvl="0">
      <w:lvlJc w:val="left"/>
      <w:lvlText w:val="(%1)"/>
      <w:numFmt w:val="decimal"/>
      <w:start w:val="2"/>
    </w:lvl>
    <w:lvl w:ilvl="1">
      <w:lvlJc w:val="left"/>
      <w:lvlText w:val="(%2)"/>
      <w:numFmt w:val="upperLetter"/>
      <w:start w:val="1"/>
    </w:lvl>
  </w:abstractNum>
  <w:abstractNum w:abstractNumId="15">
    <w:nsid w:val="61574095"/>
    <w:multiLevelType w:val="hybridMultilevel"/>
    <w:lvl w:ilvl="0">
      <w:lvlJc w:val="left"/>
      <w:lvlText w:val="(%1)"/>
      <w:numFmt w:val="upperLetter"/>
      <w:start w:val="2"/>
    </w:lvl>
  </w:abstractNum>
  <w:abstractNum w:abstractNumId="16">
    <w:nsid w:val="7E0C57B1"/>
    <w:multiLevelType w:val="hybridMultilevel"/>
    <w:lvl w:ilvl="0">
      <w:lvlJc w:val="left"/>
      <w:lvlText w:val="(%1)"/>
      <w:numFmt w:val="upperLetter"/>
      <w:start w:val="3"/>
    </w:lvl>
  </w:abstractNum>
  <w:abstractNum w:abstractNumId="17">
    <w:nsid w:val="77AE35EB"/>
    <w:multiLevelType w:val="hybridMultilevel"/>
    <w:lvl w:ilvl="0">
      <w:lvlJc w:val="left"/>
      <w:lvlText w:val="(%1)"/>
      <w:numFmt w:val="upperLetter"/>
      <w:start w:val="4"/>
    </w:lvl>
  </w:abstractNum>
  <w:abstractNum w:abstractNumId="18">
    <w:nsid w:val="579BE4F1"/>
    <w:multiLevelType w:val="hybridMultilevel"/>
    <w:lvl w:ilvl="0">
      <w:lvlJc w:val="left"/>
      <w:lvlText w:val="(%1)"/>
      <w:numFmt w:val="decimal"/>
      <w:start w:val="3"/>
    </w:lvl>
  </w:abstractNum>
  <w:abstractNum w:abstractNumId="19">
    <w:nsid w:val="310C50B3"/>
    <w:multiLevelType w:val="hybridMultilevel"/>
    <w:lvl w:ilvl="0">
      <w:lvlJc w:val="left"/>
      <w:lvlText w:val="%1"/>
      <w:numFmt w:val="lowerLetter"/>
      <w:start w:val="1"/>
    </w:lvl>
    <w:lvl w:ilvl="1">
      <w:lvlJc w:val="left"/>
      <w:lvlText w:val="(%2)"/>
      <w:numFmt w:val="decimal"/>
      <w:start w:val="4"/>
    </w:lvl>
  </w:abstractNum>
  <w:abstractNum w:abstractNumId="20">
    <w:nsid w:val="5FF87E05"/>
    <w:multiLevelType w:val="hybridMultilevel"/>
    <w:lvl w:ilvl="0">
      <w:lvlJc w:val="left"/>
      <w:lvlText w:val="(%1)"/>
      <w:numFmt w:val="lowerLetter"/>
      <w:start w:val="2"/>
    </w:lvl>
    <w:lvl w:ilvl="1">
      <w:lvlJc w:val="left"/>
      <w:lvlText w:val="(%2)"/>
      <w:numFmt w:val="decimal"/>
      <w:start w:val="1"/>
    </w:lvl>
  </w:abstractNum>
  <w:abstractNum w:abstractNumId="21">
    <w:nsid w:val="2F305DEF"/>
    <w:multiLevelType w:val="hybridMultilevel"/>
    <w:lvl w:ilvl="0">
      <w:lvlJc w:val="left"/>
      <w:lvlText w:val="(%1)"/>
      <w:numFmt w:val="decimal"/>
      <w:start w:val="4"/>
    </w:lvl>
  </w:abstractNum>
  <w:abstractNum w:abstractNumId="22">
    <w:nsid w:val="25A70BF7"/>
    <w:multiLevelType w:val="hybridMultilevel"/>
    <w:lvl w:ilvl="0">
      <w:lvlJc w:val="left"/>
      <w:lvlText w:val="(%1)"/>
      <w:numFmt w:val="lowerLetter"/>
      <w:start w:val="1"/>
    </w:lvl>
  </w:abstractNum>
  <w:abstractNum w:abstractNumId="23">
    <w:nsid w:val="1DBABF00"/>
    <w:multiLevelType w:val="hybridMultilevel"/>
    <w:lvl w:ilvl="0">
      <w:lvlJc w:val="left"/>
      <w:lvlText w:val="%1"/>
      <w:numFmt w:val="lowerLetter"/>
      <w:start w:val="1"/>
    </w:lvl>
    <w:lvl w:ilvl="1">
      <w:lvlJc w:val="left"/>
      <w:lvlText w:val="(%2)"/>
      <w:numFmt w:val="lowerLetter"/>
      <w:start w:val="4"/>
    </w:lvl>
  </w:abstractNum>
  <w:abstractNum w:abstractNumId="24">
    <w:nsid w:val="4AD084E9"/>
    <w:multiLevelType w:val="hybridMultilevel"/>
    <w:lvl w:ilvl="0">
      <w:lvlJc w:val="left"/>
      <w:lvlText w:val="(%1)"/>
      <w:numFmt w:val="lowerLetter"/>
      <w:start w:val="35"/>
    </w:lvl>
    <w:lvl w:ilvl="1">
      <w:lvlJc w:val="left"/>
      <w:lvlText w:val="%2"/>
      <w:numFmt w:val="lowerLetter"/>
      <w:start w:val="1"/>
    </w:lvl>
  </w:abstractNum>
  <w:abstractNum w:abstractNumId="25">
    <w:nsid w:val="1F48EAA1"/>
    <w:multiLevelType w:val="hybridMultilevel"/>
    <w:lvl w:ilvl="0">
      <w:lvlJc w:val="left"/>
      <w:lvlText w:val="(%1)"/>
      <w:numFmt w:val="lowerLetter"/>
      <w:start w:val="1"/>
    </w:lvl>
  </w:abstractNum>
  <w:abstractNum w:abstractNumId="26">
    <w:nsid w:val="1381823A"/>
    <w:multiLevelType w:val="hybridMultilevel"/>
    <w:lvl w:ilvl="0">
      <w:lvlJc w:val="left"/>
      <w:lvlText w:val="(%1)"/>
      <w:numFmt w:val="lowerLetter"/>
      <w:start w:val="1"/>
    </w:lvl>
  </w:abstractNum>
  <w:abstractNum w:abstractNumId="27">
    <w:nsid w:val="5DB70AE5"/>
    <w:multiLevelType w:val="hybridMultilevel"/>
    <w:lvl w:ilvl="0">
      <w:lvlJc w:val="left"/>
      <w:lvlText w:val="(%1)"/>
      <w:numFmt w:val="lowerLetter"/>
      <w:start w:val="3"/>
    </w:lvl>
  </w:abstractNum>
  <w:abstractNum w:abstractNumId="28">
    <w:nsid w:val="100F8FCA"/>
    <w:multiLevelType w:val="hybridMultilevel"/>
    <w:lvl w:ilvl="0">
      <w:lvlJc w:val="left"/>
      <w:lvlText w:val="(%1)"/>
      <w:numFmt w:val="lowerLetter"/>
      <w:start w:val="1"/>
    </w:lvl>
  </w:abstractNum>
  <w:abstractNum w:abstractNumId="29">
    <w:nsid w:val="6590700B"/>
    <w:multiLevelType w:val="hybridMultilevel"/>
    <w:lvl w:ilvl="0">
      <w:lvlJc w:val="left"/>
      <w:lvlText w:val="(%1)"/>
      <w:numFmt w:val="lowerLetter"/>
      <w:start w:val="1"/>
    </w:lvl>
    <w:lvl w:ilvl="1">
      <w:lvlJc w:val="left"/>
      <w:lvlText w:val="(%2)"/>
      <w:numFmt w:val="decimal"/>
      <w:start w:val="1"/>
    </w:lvl>
  </w:abstractNum>
  <w:abstractNum w:abstractNumId="30">
    <w:nsid w:val="15014ACB"/>
    <w:multiLevelType w:val="hybridMultilevel"/>
    <w:lvl w:ilvl="0">
      <w:lvlJc w:val="left"/>
      <w:lvlText w:val="(%1)"/>
      <w:numFmt w:val="decimal"/>
      <w:start w:val="4"/>
    </w:lvl>
  </w:abstractNum>
  <w:abstractNum w:abstractNumId="31">
    <w:nsid w:val="5F5E7FD0"/>
    <w:multiLevelType w:val="hybridMultilevel"/>
    <w:lvl w:ilvl="0">
      <w:lvlJc w:val="left"/>
      <w:lvlText w:val="(%1)"/>
      <w:numFmt w:val="lowerLetter"/>
      <w:start w:val="1"/>
    </w:lvl>
  </w:abstractNum>
  <w:abstractNum w:abstractNumId="32">
    <w:nsid w:val="98A3148"/>
    <w:multiLevelType w:val="hybridMultilevel"/>
    <w:lvl w:ilvl="0">
      <w:lvlJc w:val="left"/>
      <w:lvlText w:val="(%1)"/>
      <w:numFmt w:val="lowerLetter"/>
      <w:start w:val="2"/>
    </w:lvl>
  </w:abstractNum>
  <w:abstractNum w:abstractNumId="33">
    <w:nsid w:val="799D0247"/>
    <w:multiLevelType w:val="hybridMultilevel"/>
    <w:lvl w:ilvl="0">
      <w:lvlJc w:val="left"/>
      <w:lvlText w:val="(%1)"/>
      <w:numFmt w:val="lowerLetter"/>
      <w:start w:val="1"/>
    </w:lvl>
  </w:abstractNum>
  <w:abstractNum w:abstractNumId="34">
    <w:nsid w:val="6B94764"/>
    <w:multiLevelType w:val="hybridMultilevel"/>
    <w:lvl w:ilvl="0">
      <w:lvlJc w:val="left"/>
      <w:lvlText w:val="(%1)"/>
      <w:numFmt w:val="lowerLetter"/>
      <w:start w:val="1"/>
    </w:lvl>
  </w:abstractNum>
  <w:abstractNum w:abstractNumId="35">
    <w:nsid w:val="42C296BD"/>
    <w:multiLevelType w:val="hybridMultilevel"/>
    <w:lvl w:ilvl="0">
      <w:lvlJc w:val="left"/>
      <w:lvlText w:val="(%1)"/>
      <w:numFmt w:val="lowerLetter"/>
      <w:start w:val="1"/>
    </w:lvl>
  </w:abstractNum>
  <w:abstractNum w:abstractNumId="36">
    <w:nsid w:val="168E121F"/>
    <w:multiLevelType w:val="hybridMultilevel"/>
    <w:lvl w:ilvl="0">
      <w:lvlJc w:val="left"/>
      <w:lvlText w:val="(%1)"/>
      <w:numFmt w:val="lowerLetter"/>
      <w:start w:val="2"/>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lowerLetter"/>
      <w:start w:val="1"/>
    </w:lvl>
  </w:abstractNum>
  <w:abstractNum w:abstractNumId="39">
    <w:nsid w:val="5DC79EA8"/>
    <w:multiLevelType w:val="hybridMultilevel"/>
    <w:lvl w:ilvl="0">
      <w:lvlJc w:val="left"/>
      <w:lvlText w:val="%1."/>
      <w:numFmt w:val="decimal"/>
      <w:start w:val="2"/>
    </w:lvl>
  </w:abstractNum>
  <w:abstractNum w:abstractNumId="40">
    <w:nsid w:val="540A471C"/>
    <w:multiLevelType w:val="hybridMultilevel"/>
    <w:lvl w:ilvl="0">
      <w:lvlJc w:val="left"/>
      <w:lvlText w:val="(%1)"/>
      <w:numFmt w:val="lowerLetter"/>
      <w:start w:val="1"/>
    </w:lvl>
  </w:abstractNum>
  <w:abstractNum w:abstractNumId="41">
    <w:nsid w:val="7BD3EE7B"/>
    <w:multiLevelType w:val="hybridMultilevel"/>
    <w:lvl w:ilvl="0">
      <w:lvlJc w:val="left"/>
      <w:lvlText w:val="(%1)"/>
      <w:numFmt w:val="lowerLetter"/>
      <w:start w:val="61"/>
    </w:lvl>
  </w:abstractNum>
  <w:abstractNum w:abstractNumId="42">
    <w:nsid w:val="51D9C564"/>
    <w:multiLevelType w:val="hybridMultilevel"/>
    <w:lvl w:ilvl="0">
      <w:lvlJc w:val="left"/>
      <w:lvlText w:val="(%1)"/>
      <w:numFmt w:val="lowerLetter"/>
      <w:start w:val="4"/>
    </w:lvl>
  </w:abstractNum>
  <w:abstractNum w:abstractNumId="43">
    <w:nsid w:val="613EFDC5"/>
    <w:multiLevelType w:val="hybridMultilevel"/>
    <w:lvl w:ilvl="0">
      <w:lvlJc w:val="left"/>
      <w:lvlText w:val="(%1)"/>
      <w:numFmt w:val="lowerLetter"/>
      <w:start w:val="7"/>
    </w:lvl>
  </w:abstractNum>
  <w:abstractNum w:abstractNumId="44">
    <w:nsid w:val="BF72B14"/>
    <w:multiLevelType w:val="hybridMultilevel"/>
    <w:lvl w:ilvl="0">
      <w:lvlJc w:val="left"/>
      <w:lvlText w:val="(%1)"/>
      <w:numFmt w:val="lowerLetter"/>
      <w:start w:val="1"/>
    </w:lvl>
  </w:abstractNum>
  <w:abstractNum w:abstractNumId="45">
    <w:nsid w:val="11447B73"/>
    <w:multiLevelType w:val="hybridMultilevel"/>
    <w:lvl w:ilvl="0">
      <w:lvlJc w:val="left"/>
      <w:lvlText w:val="(%1)"/>
      <w:numFmt w:val="lowerLetter"/>
      <w:start w:val="5"/>
    </w:lvl>
  </w:abstractNum>
  <w:abstractNum w:abstractNumId="46">
    <w:nsid w:val="42963E5A"/>
    <w:multiLevelType w:val="hybridMultilevel"/>
    <w:lvl w:ilvl="0">
      <w:lvlJc w:val="left"/>
      <w:lvlText w:val="%1."/>
      <w:numFmt w:val="decimal"/>
      <w:start w:val="4"/>
    </w:lvl>
  </w:abstractNum>
  <w:abstractNum w:abstractNumId="47">
    <w:nsid w:val="A0382C5"/>
    <w:multiLevelType w:val="hybridMultilevel"/>
    <w:lvl w:ilvl="0">
      <w:lvlJc w:val="left"/>
      <w:lvlText w:val="(%1)"/>
      <w:numFmt w:val="lowerLetter"/>
      <w:start w:val="1"/>
    </w:lvl>
    <w:lvl w:ilvl="1">
      <w:lvlJc w:val="left"/>
      <w:lvlText w:val="(%2)"/>
      <w:numFmt w:val="lowerRoman"/>
      <w:start w:val="1"/>
    </w:lvl>
  </w:abstractNum>
  <w:abstractNum w:abstractNumId="48">
    <w:nsid w:val="8F2B15E"/>
    <w:multiLevelType w:val="hybridMultilevel"/>
    <w:lvl w:ilvl="0">
      <w:lvlJc w:val="left"/>
      <w:lvlText w:val="%1."/>
      <w:numFmt w:val="decimal"/>
      <w:start w:val="5"/>
    </w:lvl>
  </w:abstractNum>
  <w:abstractNum w:abstractNumId="49">
    <w:nsid w:val="1A32234B"/>
    <w:multiLevelType w:val="hybridMultilevel"/>
    <w:lvl w:ilvl="0">
      <w:lvlJc w:val="left"/>
      <w:lvlText w:val="(%1)"/>
      <w:numFmt w:val="lowerLetter"/>
      <w:start w:val="1"/>
    </w:lvl>
  </w:abstractNum>
  <w:abstractNum w:abstractNumId="50">
    <w:nsid w:val="3B0FD379"/>
    <w:multiLevelType w:val="hybridMultilevel"/>
    <w:lvl w:ilvl="0">
      <w:lvlJc w:val="left"/>
      <w:lvlText w:val="%1."/>
      <w:numFmt w:val="decimal"/>
      <w:start w:val="7"/>
    </w:lvl>
  </w:abstractNum>
  <w:abstractNum w:abstractNumId="51">
    <w:nsid w:val="68EB2F63"/>
    <w:multiLevelType w:val="hybridMultilevel"/>
    <w:lvl w:ilvl="0">
      <w:lvlJc w:val="left"/>
      <w:lvlText w:val="%1."/>
      <w:numFmt w:val="decimal"/>
      <w:start w:val="8"/>
    </w:lvl>
  </w:abstractNum>
  <w:abstractNum w:abstractNumId="52">
    <w:nsid w:val="4962813B"/>
    <w:multiLevelType w:val="hybridMultilevel"/>
    <w:lvl w:ilvl="0">
      <w:lvlJc w:val="left"/>
      <w:lvlText w:val="(%1)"/>
      <w:numFmt w:val="lowerLetter"/>
      <w:start w:val="1"/>
    </w:lvl>
  </w:abstractNum>
  <w:abstractNum w:abstractNumId="53">
    <w:nsid w:val="60B6DF70"/>
    <w:multiLevelType w:val="hybridMultilevel"/>
    <w:lvl w:ilvl="0">
      <w:lvlJc w:val="left"/>
      <w:lvlText w:val="%1."/>
      <w:numFmt w:val="decimal"/>
      <w:start w:val="9"/>
    </w:lvl>
  </w:abstractNum>
  <w:abstractNum w:abstractNumId="54">
    <w:nsid w:val="6A5EE64"/>
    <w:multiLevelType w:val="hybridMultilevel"/>
    <w:lvl w:ilvl="0">
      <w:lvlJc w:val="left"/>
      <w:lvlText w:val="(%1)"/>
      <w:numFmt w:val="lowerLetter"/>
      <w:start w:val="1"/>
    </w:lvl>
  </w:abstractNum>
  <w:abstractNum w:abstractNumId="55">
    <w:nsid w:val="14330624"/>
    <w:multiLevelType w:val="hybridMultilevel"/>
    <w:lvl w:ilvl="0">
      <w:lvlJc w:val="left"/>
      <w:lvlText w:val="%1."/>
      <w:numFmt w:val="decimal"/>
      <w:start w:val="10"/>
    </w:lvl>
  </w:abstractNum>
  <w:abstractNum w:abstractNumId="56">
    <w:nsid w:val="7FFFCA11"/>
    <w:multiLevelType w:val="hybridMultilevel"/>
    <w:lvl w:ilvl="0">
      <w:lvlJc w:val="left"/>
      <w:lvlText w:val="%1."/>
      <w:numFmt w:val="decimal"/>
      <w:start w:val="12"/>
    </w:lvl>
  </w:abstractNum>
  <w:abstractNum w:abstractNumId="57">
    <w:nsid w:val="1A27709E"/>
    <w:multiLevelType w:val="hybridMultilevel"/>
    <w:lvl w:ilvl="0">
      <w:lvlJc w:val="left"/>
      <w:lvlText w:val="1"/>
      <w:numFmt w:val="bullet"/>
      <w:start w:val="1"/>
    </w:lvl>
  </w:abstractNum>
  <w:abstractNum w:abstractNumId="58">
    <w:nsid w:val="71EA1109"/>
    <w:multiLevelType w:val="hybridMultilevel"/>
    <w:lvl w:ilvl="0">
      <w:lvlJc w:val="left"/>
      <w:lvlText w:val="%1."/>
      <w:numFmt w:val="decimal"/>
      <w:start w:val="13"/>
    </w:lvl>
  </w:abstractNum>
  <w:abstractNum w:abstractNumId="59">
    <w:nsid w:val="100F59DC"/>
    <w:multiLevelType w:val="hybridMultilevel"/>
    <w:lvl w:ilvl="0">
      <w:lvlJc w:val="left"/>
      <w:lvlText w:val="%1."/>
      <w:numFmt w:val="decimal"/>
      <w:start w:val="21"/>
    </w:lvl>
  </w:abstractNum>
  <w:abstractNum w:abstractNumId="60">
    <w:nsid w:val="7FB7E0AA"/>
    <w:multiLevelType w:val="hybridMultilevel"/>
    <w:lvl w:ilvl="0">
      <w:lvlJc w:val="left"/>
      <w:lvlText w:val="%1."/>
      <w:numFmt w:val="decimal"/>
      <w:start w:val="1"/>
    </w:lvl>
    <w:lvl w:ilvl="1">
      <w:lvlJc w:val="left"/>
      <w:lvlText w:val="(%2)"/>
      <w:numFmt w:val="lowerLetter"/>
      <w:start w:val="1"/>
    </w:lvl>
  </w:abstractNum>
  <w:abstractNum w:abstractNumId="61">
    <w:nsid w:val="6EB5BD4"/>
    <w:multiLevelType w:val="hybridMultilevel"/>
    <w:lvl w:ilvl="0">
      <w:lvlJc w:val="left"/>
      <w:lvlText w:val="(%1)"/>
      <w:numFmt w:val="lowerLetter"/>
      <w:start w:val="2"/>
    </w:lvl>
  </w:abstractNum>
  <w:abstractNum w:abstractNumId="62">
    <w:nsid w:val="6F6DD9AC"/>
    <w:multiLevelType w:val="hybridMultilevel"/>
    <w:lvl w:ilvl="0">
      <w:lvlJc w:val="left"/>
      <w:lvlText w:val="%1"/>
      <w:numFmt w:val="lowerLetter"/>
      <w:start w:val="1"/>
    </w:lvl>
    <w:lvl w:ilvl="1">
      <w:lvlJc w:val="left"/>
      <w:lvlText w:val="(%2)"/>
      <w:numFmt w:val="lowerLetter"/>
      <w:start w:val="6"/>
    </w:lvl>
  </w:abstractNum>
  <w:abstractNum w:abstractNumId="63">
    <w:nsid w:val="94211F2"/>
    <w:multiLevelType w:val="hybridMultilevel"/>
    <w:lvl w:ilvl="0">
      <w:lvlJc w:val="left"/>
      <w:lvlText w:val="(%1)"/>
      <w:numFmt w:val="lowerLetter"/>
      <w:start w:val="24"/>
    </w:lvl>
    <w:lvl w:ilvl="1">
      <w:lvlJc w:val="left"/>
      <w:lvlText w:val="%2"/>
      <w:numFmt w:val="lowerLetter"/>
      <w:start w:val="1"/>
    </w:lvl>
  </w:abstractNum>
  <w:abstractNum w:abstractNumId="64">
    <w:nsid w:val="885E1B"/>
    <w:multiLevelType w:val="hybridMultilevel"/>
    <w:lvl w:ilvl="0">
      <w:lvlJc w:val="left"/>
      <w:lvlText w:val="(%1)"/>
      <w:numFmt w:val="lowerLetter"/>
      <w:start w:val="35"/>
    </w:lvl>
    <w:lvl w:ilvl="1">
      <w:lvlJc w:val="left"/>
      <w:lvlText w:val="%2"/>
      <w:numFmt w:val="lowerLetter"/>
      <w:start w:val="1"/>
    </w:lvl>
  </w:abstractNum>
  <w:abstractNum w:abstractNumId="65">
    <w:nsid w:val="76272110"/>
    <w:multiLevelType w:val="hybridMultilevel"/>
    <w:lvl w:ilvl="0">
      <w:lvlJc w:val="left"/>
      <w:lvlText w:val="(%1)"/>
      <w:numFmt w:val="lowerLetter"/>
      <w:start w:val="9"/>
    </w:lvl>
    <w:lvl w:ilvl="1">
      <w:lvlJc w:val="left"/>
      <w:lvlText w:val="(%2)"/>
      <w:numFmt w:val="lowerLetter"/>
      <w:start w:val="7"/>
    </w:lvl>
  </w:abstractNum>
  <w:abstractNum w:abstractNumId="66">
    <w:nsid w:val="4C04A8AF"/>
    <w:multiLevelType w:val="hybridMultilevel"/>
    <w:lvl w:ilvl="0">
      <w:lvlJc w:val="left"/>
      <w:lvlText w:val="(%1)"/>
      <w:numFmt w:val="lowerLetter"/>
      <w:start w:val="11"/>
    </w:lvl>
  </w:abstractNum>
  <w:abstractNum w:abstractNumId="67">
    <w:nsid w:val="1716703B"/>
    <w:multiLevelType w:val="hybridMultilevel"/>
    <w:lvl w:ilvl="0">
      <w:lvlJc w:val="left"/>
      <w:lvlText w:val="(%1)"/>
      <w:numFmt w:val="lowerLetter"/>
      <w:start w:val="17"/>
    </w:lvl>
  </w:abstractNum>
  <w:abstractNum w:abstractNumId="68">
    <w:nsid w:val="14E17E33"/>
    <w:multiLevelType w:val="hybridMultilevel"/>
    <w:lvl w:ilvl="0">
      <w:lvlJc w:val="left"/>
      <w:lvlText w:val="(%1)"/>
      <w:numFmt w:val="lowerLetter"/>
      <w:start w:val="24"/>
    </w:lvl>
  </w:abstractNum>
  <w:abstractNum w:abstractNumId="69">
    <w:nsid w:val="3222E7CD"/>
    <w:multiLevelType w:val="hybridMultilevel"/>
    <w:lvl w:ilvl="0">
      <w:lvlJc w:val="left"/>
      <w:lvlText w:val="(%1)"/>
      <w:numFmt w:val="lowerLetter"/>
      <w:start w:val="27"/>
    </w:lvl>
  </w:abstractNum>
  <w:abstractNum w:abstractNumId="70">
    <w:nsid w:val="74DE0EE3"/>
    <w:multiLevelType w:val="hybridMultilevel"/>
    <w:lvl w:ilvl="0">
      <w:lvlJc w:val="left"/>
      <w:lvlText w:val="(%1)"/>
      <w:numFmt w:val="lowerLetter"/>
      <w:start w:val="28"/>
    </w:lvl>
  </w:abstractNum>
  <w:abstractNum w:abstractNumId="71">
    <w:nsid w:val="68EBC550"/>
    <w:multiLevelType w:val="hybridMultilevel"/>
    <w:lvl w:ilvl="0">
      <w:lvlJc w:val="left"/>
      <w:lvlText w:val="(%1)"/>
      <w:numFmt w:val="lowerLetter"/>
      <w:start w:val="33"/>
    </w:lvl>
  </w:abstractNum>
  <w:abstractNum w:abstractNumId="72">
    <w:nsid w:val="2DF6D648"/>
    <w:multiLevelType w:val="hybridMultilevel"/>
    <w:lvl w:ilvl="0">
      <w:lvlJc w:val="left"/>
      <w:lvlText w:val="(%1)"/>
      <w:numFmt w:val="lowerLetter"/>
      <w:start w:val="35"/>
    </w:lvl>
  </w:abstractNum>
  <w:abstractNum w:abstractNumId="73">
    <w:nsid w:val="46B7D447"/>
    <w:multiLevelType w:val="hybridMultilevel"/>
    <w:lvl w:ilvl="0">
      <w:lvlJc w:val="left"/>
      <w:lvlText w:val="(%1)"/>
      <w:numFmt w:val="lowerLetter"/>
      <w:start w:val="41"/>
    </w:lvl>
  </w:abstractNum>
  <w:abstractNum w:abstractNumId="74">
    <w:nsid w:val="4A2AC315"/>
    <w:multiLevelType w:val="hybridMultilevel"/>
    <w:lvl w:ilvl="0">
      <w:lvlJc w:val="left"/>
      <w:lvlText w:val="(%1)"/>
      <w:numFmt w:val="lowerLetter"/>
      <w:start w:val="48"/>
    </w:lvl>
  </w:abstractNum>
  <w:abstractNum w:abstractNumId="75">
    <w:nsid w:val="39EE015C"/>
    <w:multiLevelType w:val="hybridMultilevel"/>
    <w:lvl w:ilvl="0">
      <w:lvlJc w:val="left"/>
      <w:lvlText w:val="(%1)"/>
      <w:numFmt w:val="lowerLetter"/>
      <w:start w:val="53"/>
    </w:lvl>
  </w:abstractNum>
  <w:abstractNum w:abstractNumId="76">
    <w:nsid w:val="57FC4FBB"/>
    <w:multiLevelType w:val="hybridMultilevel"/>
    <w:lvl w:ilvl="0">
      <w:lvlJc w:val="left"/>
      <w:lvlText w:val="%1."/>
      <w:numFmt w:val="decimal"/>
      <w:start w:val="2"/>
    </w:lvl>
  </w:abstractNum>
  <w:abstractNum w:abstractNumId="77">
    <w:nsid w:val="CC1016F"/>
    <w:multiLevelType w:val="hybridMultilevel"/>
    <w:lvl w:ilvl="0">
      <w:lvlJc w:val="left"/>
      <w:lvlText w:val="%1."/>
      <w:numFmt w:val="decimal"/>
      <w:start w:val="3"/>
    </w:lvl>
    <w:lvl w:ilvl="1">
      <w:lvlJc w:val="left"/>
      <w:lvlText w:val="(%2)"/>
      <w:numFmt w:val="lowerLetter"/>
      <w:start w:val="2"/>
    </w:lvl>
  </w:abstractNum>
  <w:abstractNum w:abstractNumId="78">
    <w:nsid w:val="43F18422"/>
    <w:multiLevelType w:val="hybridMultilevel"/>
    <w:lvl w:ilvl="0">
      <w:lvlJc w:val="left"/>
      <w:lvlText w:val="%1."/>
      <w:numFmt w:val="decimal"/>
      <w:start w:val="5"/>
    </w:lvl>
    <w:lvl w:ilvl="1">
      <w:lvlJc w:val="left"/>
      <w:lvlText w:val="(%2)"/>
      <w:numFmt w:val="lowerLetter"/>
      <w:start w:val="1"/>
    </w:lvl>
  </w:abstractNum>
  <w:abstractNum w:abstractNumId="79">
    <w:nsid w:val="60EF0119"/>
    <w:multiLevelType w:val="hybridMultilevel"/>
    <w:lvl w:ilvl="0">
      <w:lvlJc w:val="left"/>
      <w:lvlText w:val="(%1)"/>
      <w:numFmt w:val="lowerLetter"/>
      <w:start w:val="4"/>
    </w:lvl>
  </w:abstractNum>
  <w:abstractNum w:abstractNumId="80">
    <w:nsid w:val="26F324BA"/>
    <w:multiLevelType w:val="hybridMultilevel"/>
    <w:lvl w:ilvl="0">
      <w:lvlJc w:val="left"/>
      <w:lvlText w:val="(%1)"/>
      <w:numFmt w:val="decimal"/>
      <w:start w:val="2"/>
    </w:lvl>
  </w:abstractNum>
  <w:abstractNum w:abstractNumId="81">
    <w:nsid w:val="7F01579B"/>
    <w:multiLevelType w:val="hybridMultilevel"/>
    <w:lvl w:ilvl="0">
      <w:lvlJc w:val="left"/>
      <w:lvlText w:val="(%1)"/>
      <w:numFmt w:val="lowerLetter"/>
      <w:start w:val="6"/>
    </w:lvl>
  </w:abstractNum>
  <w:abstractNum w:abstractNumId="82">
    <w:nsid w:val="49DA307D"/>
    <w:multiLevelType w:val="hybridMultilevel"/>
    <w:lvl w:ilvl="0">
      <w:lvlJc w:val="left"/>
      <w:lvlText w:val="%1"/>
      <w:numFmt w:val="decimal"/>
      <w:start w:val="1"/>
    </w:lvl>
    <w:lvl w:ilvl="1">
      <w:lvlJc w:val="left"/>
      <w:lvlText w:val="(%2)"/>
      <w:numFmt w:val="lowerLetter"/>
      <w:start w:val="16"/>
    </w:lvl>
  </w:abstractNum>
  <w:abstractNum w:abstractNumId="83">
    <w:nsid w:val="7055A5F5"/>
    <w:multiLevelType w:val="hybridMultilevel"/>
    <w:lvl w:ilvl="0">
      <w:lvlJc w:val="left"/>
      <w:lvlText w:val="%1."/>
      <w:numFmt w:val="decimal"/>
      <w:start w:val="6"/>
    </w:lvl>
    <w:lvl w:ilvl="1">
      <w:lvlJc w:val="left"/>
      <w:lvlText w:val="(%2)"/>
      <w:numFmt w:val="lowerLetter"/>
      <w:start w:val="2"/>
    </w:lvl>
  </w:abstractNum>
  <w:abstractNum w:abstractNumId="84">
    <w:nsid w:val="5FB8370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5">
    <w:nsid w:val="50801EE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6">
    <w:nsid w:val="488AC1A"/>
    <w:multiLevelType w:val="hybridMultilevel"/>
    <w:lvl w:ilvl="0">
      <w:lvlJc w:val="left"/>
      <w:lvlText w:val="%1"/>
      <w:numFmt w:val="decimal"/>
      <w:start w:val="1"/>
    </w:lvl>
    <w:lvl w:ilvl="1">
      <w:lvlJc w:val="left"/>
      <w:lvlText w:val="(%2)"/>
      <w:numFmt w:val="lowerLetter"/>
      <w:start w:val="7"/>
    </w:lvl>
  </w:abstractNum>
  <w:abstractNum w:abstractNumId="87">
    <w:nsid w:val="5FB8011C"/>
    <w:multiLevelType w:val="hybridMultilevel"/>
    <w:lvl w:ilvl="0">
      <w:lvlJc w:val="left"/>
      <w:lvlText w:val="%1."/>
      <w:numFmt w:val="decimal"/>
      <w:start w:val="9"/>
    </w:lvl>
    <w:lvl w:ilvl="1">
      <w:lvlJc w:val="left"/>
      <w:lvlText w:val="%2"/>
      <w:numFmt w:val="lowerLetter"/>
      <w:start w:val="1"/>
    </w:lvl>
  </w:abstractNum>
  <w:abstractNum w:abstractNumId="88">
    <w:nsid w:val="6AA78F7F"/>
    <w:multiLevelType w:val="hybridMultilevel"/>
    <w:lvl w:ilvl="0">
      <w:lvlJc w:val="left"/>
      <w:lvlText w:val="%1"/>
      <w:numFmt w:val="lowerLetter"/>
      <w:start w:val="1"/>
    </w:lvl>
    <w:lvl w:ilvl="1">
      <w:lvlJc w:val="left"/>
      <w:lvlText w:val="(%2)"/>
      <w:numFmt w:val="lowerLetter"/>
      <w:start w:val="2"/>
    </w:lvl>
  </w:abstractNum>
  <w:abstractNum w:abstractNumId="89">
    <w:nsid w:val="7672BD23"/>
    <w:multiLevelType w:val="hybridMultilevel"/>
    <w:lvl w:ilvl="0">
      <w:lvlJc w:val="left"/>
      <w:lvlText w:val="(%1)"/>
      <w:numFmt w:val="lowerLetter"/>
      <w:start w:val="9"/>
    </w:lvl>
    <w:lvl w:ilvl="1">
      <w:lvlJc w:val="left"/>
      <w:lvlText w:val="(%2)"/>
      <w:numFmt w:val="lowerLetter"/>
      <w:start w:val="4"/>
    </w:lvl>
  </w:abstractNum>
  <w:abstractNum w:abstractNumId="90">
    <w:nsid w:val="6FC75AF8"/>
    <w:multiLevelType w:val="hybridMultilevel"/>
    <w:lvl w:ilvl="0">
      <w:lvlJc w:val="left"/>
      <w:lvlText w:val="%1"/>
      <w:numFmt w:val="decimal"/>
      <w:start w:val="1"/>
    </w:lvl>
    <w:lvl w:ilvl="1">
      <w:lvlJc w:val="left"/>
      <w:lvlText w:val="(%2)"/>
      <w:numFmt w:val="lowerLetter"/>
      <w:start w:val="5"/>
    </w:lvl>
  </w:abstractNum>
  <w:abstractNum w:abstractNumId="91">
    <w:nsid w:val="6A5F7029"/>
    <w:multiLevelType w:val="hybridMultilevel"/>
    <w:lvl w:ilvl="0">
      <w:lvlJc w:val="left"/>
      <w:lvlText w:val="%1."/>
      <w:numFmt w:val="decimal"/>
      <w:start w:val="10"/>
    </w:lvl>
    <w:lvl w:ilvl="1">
      <w:lvlJc w:val="left"/>
      <w:lvlText w:val="(%2)"/>
      <w:numFmt w:val="lowerLetter"/>
      <w:start w:val="2"/>
    </w:lvl>
  </w:abstractNum>
  <w:abstractNum w:abstractNumId="92">
    <w:nsid w:val="7D5E18F8"/>
    <w:multiLevelType w:val="hybridMultilevel"/>
    <w:lvl w:ilvl="0">
      <w:lvlJc w:val="left"/>
      <w:lvlText w:val="%1"/>
      <w:numFmt w:val="decimal"/>
      <w:start w:val="1"/>
    </w:lvl>
    <w:lvl w:ilvl="1">
      <w:lvlJc w:val="left"/>
      <w:lvlText w:val="(%2)"/>
      <w:numFmt w:val="lowerLetter"/>
      <w:start w:val="3"/>
    </w:lvl>
  </w:abstractNum>
  <w:abstractNum w:abstractNumId="93">
    <w:nsid w:val="5F3534A4"/>
    <w:multiLevelType w:val="hybridMultilevel"/>
    <w:lvl w:ilvl="0">
      <w:lvlJc w:val="left"/>
      <w:lvlText w:val="%1."/>
      <w:numFmt w:val="decimal"/>
      <w:start w:val="11"/>
    </w:lvl>
    <w:lvl w:ilvl="1">
      <w:lvlJc w:val="left"/>
      <w:lvlText w:val="%2"/>
      <w:numFmt w:val="lowerLetter"/>
      <w:start w:val="1"/>
    </w:lvl>
  </w:abstractNum>
  <w:abstractNum w:abstractNumId="94">
    <w:nsid w:val="73A1821B"/>
    <w:multiLevelType w:val="hybridMultilevel"/>
    <w:lvl w:ilvl="0">
      <w:lvlJc w:val="left"/>
      <w:lvlText w:val="%1"/>
      <w:numFmt w:val="lowerRoman"/>
      <w:start w:val="1"/>
    </w:lvl>
    <w:lvl w:ilvl="1">
      <w:lvlJc w:val="left"/>
      <w:lvlText w:val="%2."/>
      <w:numFmt w:val="decimal"/>
      <w:start w:val="14"/>
    </w:lvl>
  </w:abstractNum>
  <w:abstractNum w:abstractNumId="95">
    <w:nsid w:val="7DE67713"/>
    <w:multiLevelType w:val="hybridMultilevel"/>
    <w:lvl w:ilvl="0">
      <w:lvlJc w:val="left"/>
      <w:lvlText w:val="(%1)"/>
      <w:numFmt w:val="lowerRoman"/>
      <w:start w:val="5"/>
    </w:lvl>
    <w:lvl w:ilvl="1">
      <w:lvlJc w:val="left"/>
      <w:lvlText w:val="%2."/>
      <w:numFmt w:val="decimal"/>
      <w:start w:val="17"/>
    </w:lvl>
  </w:abstractNum>
  <w:abstractNum w:abstractNumId="96">
    <w:nsid w:val="555C55B5"/>
    <w:multiLevelType w:val="hybridMultilevel"/>
    <w:lvl w:ilvl="0">
      <w:lvlJc w:val="left"/>
      <w:lvlText w:val="%1."/>
      <w:numFmt w:val="decimal"/>
      <w:start w:val="22"/>
    </w:lvl>
    <w:lvl w:ilvl="1">
      <w:lvlJc w:val="left"/>
      <w:lvlText w:val="(%2)"/>
      <w:numFmt w:val="lowerLetter"/>
      <w:start w:val="1"/>
    </w:lvl>
  </w:abstractNum>
  <w:abstractNum w:abstractNumId="97">
    <w:nsid w:val="3FA62ACA"/>
    <w:multiLevelType w:val="hybridMultilevel"/>
    <w:lvl w:ilvl="0">
      <w:lvlJc w:val="left"/>
      <w:lvlText w:val="(%1)"/>
      <w:numFmt w:val="lowerRoman"/>
      <w:start w:val="1"/>
    </w:lvl>
  </w:abstractNum>
  <w:abstractNum w:abstractNumId="98">
    <w:nsid w:val="14FCE74E"/>
    <w:multiLevelType w:val="hybridMultilevel"/>
    <w:lvl w:ilvl="0">
      <w:lvlJc w:val="left"/>
      <w:lvlText w:val="(%1)"/>
      <w:numFmt w:val="lowerLetter"/>
      <w:start w:val="1"/>
    </w:lvl>
  </w:abstractNum>
  <w:abstractNum w:abstractNumId="99">
    <w:nsid w:val="6A3DD3E8"/>
    <w:multiLevelType w:val="hybridMultilevel"/>
    <w:lvl w:ilvl="0">
      <w:lvlJc w:val="left"/>
      <w:lvlText w:val="(%1)"/>
      <w:numFmt w:val="lowerLetter"/>
      <w:start w:val="4"/>
    </w:lvl>
  </w:abstractNum>
  <w:abstractNum w:abstractNumId="100">
    <w:nsid w:val="71C91298"/>
    <w:multiLevelType w:val="hybridMultilevel"/>
    <w:lvl w:ilvl="0">
      <w:lvlJc w:val="left"/>
      <w:lvlText w:val="(%1)"/>
      <w:numFmt w:val="lowerRoman"/>
      <w:start w:val="4"/>
    </w:lvl>
  </w:abstractNum>
  <w:abstractNum w:abstractNumId="101">
    <w:nsid w:val="9DAF632"/>
    <w:multiLevelType w:val="hybridMultilevel"/>
    <w:lvl w:ilvl="0">
      <w:lvlJc w:val="left"/>
      <w:lvlText w:val="(%1)"/>
      <w:numFmt w:val="lowerRoman"/>
      <w:start w:val="3"/>
    </w:lvl>
  </w:abstractNum>
  <w:abstractNum w:abstractNumId="102">
    <w:nsid w:val="53299938"/>
    <w:multiLevelType w:val="hybridMultilevel"/>
    <w:lvl w:ilvl="0">
      <w:lvlJc w:val="left"/>
      <w:lvlText w:val="(%1)"/>
      <w:numFmt w:val="lowerLetter"/>
      <w:start w:val="1"/>
    </w:lvl>
    <w:lvl w:ilvl="1">
      <w:lvlJc w:val="left"/>
      <w:lvlText w:val="%2."/>
      <w:numFmt w:val="lowerRoman"/>
      <w:start w:val="1"/>
    </w:lvl>
  </w:abstractNum>
  <w:abstractNum w:abstractNumId="103">
    <w:nsid w:val="1FBFE8E0"/>
    <w:multiLevelType w:val="hybridMultilevel"/>
    <w:lvl w:ilvl="0">
      <w:lvlJc w:val="left"/>
      <w:lvlText w:val="%1."/>
      <w:numFmt w:val="lowerRoman"/>
      <w:start w:val="9"/>
    </w:lvl>
  </w:abstractNum>
  <w:abstractNum w:abstractNumId="104">
    <w:nsid w:val="5092CA79"/>
    <w:multiLevelType w:val="hybridMultilevel"/>
    <w:lvl w:ilvl="0">
      <w:lvlJc w:val="left"/>
      <w:lvlText w:val="%1"/>
      <w:numFmt w:val="lowerLetter"/>
      <w:start w:val="1"/>
    </w:lvl>
    <w:lvl w:ilvl="1">
      <w:lvlJc w:val="left"/>
      <w:lvlText w:val="(%2)"/>
      <w:numFmt w:val="lowerLetter"/>
      <w:start w:val="24"/>
    </w:lvl>
  </w:abstractNum>
  <w:abstractNum w:abstractNumId="105">
    <w:nsid w:val="1D545C4D"/>
    <w:multiLevelType w:val="hybridMultilevel"/>
    <w:lvl w:ilvl="0">
      <w:lvlJc w:val="left"/>
      <w:lvlText w:val="(%1)"/>
      <w:numFmt w:val="lowerLetter"/>
      <w:start w:val="2"/>
    </w:lvl>
    <w:lvl w:ilvl="1">
      <w:lvlJc w:val="left"/>
      <w:lvlText w:val="%2"/>
      <w:numFmt w:val="lowerLetter"/>
      <w:start w:val="1"/>
    </w:lvl>
  </w:abstractNum>
  <w:abstractNum w:abstractNumId="106">
    <w:nsid w:val="59ADEA3D"/>
    <w:multiLevelType w:val="hybridMultilevel"/>
    <w:lvl w:ilvl="0">
      <w:lvlJc w:val="left"/>
      <w:lvlText w:val="(%1)"/>
      <w:numFmt w:val="lowerLetter"/>
      <w:start w:val="5"/>
    </w:lvl>
  </w:abstractNum>
  <w:abstractNum w:abstractNumId="107">
    <w:nsid w:val="288F1A3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2024-06-10T15:22:03Z</dcterms:created>
  <dcterms:modified xsi:type="dcterms:W3CDTF">2024-06-10T15:22:03Z</dcterms:modified>
</cp:coreProperties>
</file>