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Rapport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001-42121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88-0724208</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99 High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Suite 2100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Boston,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321-8020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 $0.001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RAPP</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June 10, 2026, Rapport Therapeutics, Inc. (the “Company”) held its 2026 Annual Meeting of Stockholders (the “Annual Meeting”). As of the close of business on April 14, 2026, the record date for the Annual Meeting, there were 47,807,623 shares of the Company’s common stock outstanding and entitled to vote at the Annual Meeting. The Company’s stockholders voted on the following matters, which are described in detail in the Company’s Definitive Proxy Statement filed with the U.S. Securities and Exchange Commission on April 23, 2026: (i) to elect James Healy, M.D., Ph.D., Robert J. Perez, and Raymond Sanchez, M.D. as Class II directors of the Company, each to serve until the Company’s 2029 annual meeting of stockholders, and until his respective successor shall have been duly elected and qualified, or until his earlier death, resignation or removal (“Proposal 1”), and (ii) to ratify the appointment of PricewaterhouseCoopers LLP (“PwC”) as the Company’s independent registered public accounting firm for the fiscal year ending December 31, 2026 (“Proposal 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 Director Nominees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Class II director nominees recommended for election in Proposal 1 at the Annual Meeting. The results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1 were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r>
      <w:tr>
        <w:trPr>
          <w:trHeight w:val="200"/>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 II Director Nominee</w:t>
            </w:r>
          </w:p>
        </w:tc>
        <w:tc>
          <w:tcPr>
            <w:tcW w:w="14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20" w:type="dxa"/>
            <w:vAlign w:val="bottom"/>
          </w:tcPr>
          <w:p>
            <w:pPr>
              <w:spacing w:after="0"/>
              <w:rPr>
                <w:sz w:val="17"/>
                <w:szCs w:val="17"/>
                <w:color w:val="auto"/>
              </w:rPr>
            </w:pPr>
          </w:p>
        </w:tc>
        <w:tc>
          <w:tcPr>
            <w:tcW w:w="26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20" w:type="dxa"/>
            <w:vAlign w:val="bottom"/>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191"/>
        </w:trPr>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Healy, M.D., Ph.D.</w:t>
            </w:r>
          </w:p>
        </w:tc>
        <w:tc>
          <w:tcPr>
            <w:tcW w:w="140" w:type="dxa"/>
            <w:vAlign w:val="bottom"/>
          </w:tcPr>
          <w:p>
            <w:pPr>
              <w:spacing w:after="0"/>
              <w:rPr>
                <w:sz w:val="16"/>
                <w:szCs w:val="16"/>
                <w:color w:val="auto"/>
              </w:rPr>
            </w:pPr>
          </w:p>
        </w:tc>
        <w:tc>
          <w:tcPr>
            <w:tcW w:w="1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41,762,713</w:t>
            </w:r>
          </w:p>
        </w:tc>
        <w:tc>
          <w:tcPr>
            <w:tcW w:w="120" w:type="dxa"/>
            <w:vAlign w:val="bottom"/>
          </w:tcPr>
          <w:p>
            <w:pPr>
              <w:spacing w:after="0"/>
              <w:rPr>
                <w:sz w:val="16"/>
                <w:szCs w:val="16"/>
                <w:color w:val="auto"/>
              </w:rPr>
            </w:pPr>
          </w:p>
        </w:tc>
        <w:tc>
          <w:tcPr>
            <w:tcW w:w="2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587,163</w:t>
            </w:r>
          </w:p>
        </w:tc>
        <w:tc>
          <w:tcPr>
            <w:tcW w:w="120" w:type="dxa"/>
            <w:vAlign w:val="bottom"/>
          </w:tcPr>
          <w:p>
            <w:pPr>
              <w:spacing w:after="0"/>
              <w:rPr>
                <w:sz w:val="16"/>
                <w:szCs w:val="16"/>
                <w:color w:val="auto"/>
              </w:rPr>
            </w:pPr>
          </w:p>
        </w:tc>
        <w:tc>
          <w:tcPr>
            <w:tcW w:w="19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1,983,035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Robert J. Perez</w:t>
            </w:r>
          </w:p>
        </w:tc>
        <w:tc>
          <w:tcPr>
            <w:tcW w:w="21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37,592,089</w:t>
            </w:r>
          </w:p>
        </w:tc>
        <w:tc>
          <w:tcPr>
            <w:tcW w:w="2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4,757,787</w:t>
            </w:r>
          </w:p>
        </w:tc>
        <w:tc>
          <w:tcPr>
            <w:tcW w:w="2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1,983,035</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Raymond Sanchez, M.D.</w:t>
            </w:r>
          </w:p>
        </w:tc>
        <w:tc>
          <w:tcPr>
            <w:tcW w:w="21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41,754,131</w:t>
            </w:r>
          </w:p>
        </w:tc>
        <w:tc>
          <w:tcPr>
            <w:tcW w:w="27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595,745</w:t>
            </w:r>
          </w:p>
        </w:tc>
        <w:tc>
          <w:tcPr>
            <w:tcW w:w="2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1,983,035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the Company’s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selection of PwC as the Company’s independent registered public accounting firm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The results of Proposal 2 were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80" w:type="dxa"/>
            <w:vAlign w:val="bottom"/>
          </w:tcPr>
          <w:p>
            <w:pPr>
              <w:spacing w:after="0"/>
              <w:rPr>
                <w:sz w:val="16"/>
                <w:szCs w:val="16"/>
                <w:color w:val="auto"/>
              </w:rPr>
            </w:pPr>
          </w:p>
        </w:tc>
        <w:tc>
          <w:tcPr>
            <w:tcW w:w="28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0" w:type="dxa"/>
            <w:vAlign w:val="bottom"/>
          </w:tcPr>
          <w:p>
            <w:pPr>
              <w:spacing w:after="0"/>
              <w:rPr>
                <w:sz w:val="16"/>
                <w:szCs w:val="16"/>
                <w:color w:val="auto"/>
              </w:rPr>
            </w:pPr>
          </w:p>
        </w:tc>
        <w:tc>
          <w:tcPr>
            <w:tcW w:w="29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34"/>
        </w:trPr>
        <w:tc>
          <w:tcPr>
            <w:tcW w:w="4920" w:type="dxa"/>
            <w:vAlign w:val="bottom"/>
          </w:tcPr>
          <w:p>
            <w:pPr>
              <w:jc w:val="right"/>
              <w:ind w:right="1959"/>
              <w:spacing w:after="0"/>
              <w:rPr>
                <w:sz w:val="20"/>
                <w:szCs w:val="20"/>
                <w:color w:val="auto"/>
              </w:rPr>
            </w:pPr>
            <w:r>
              <w:rPr>
                <w:rFonts w:ascii="Times New Roman" w:cs="Times New Roman" w:eastAsia="Times New Roman" w:hAnsi="Times New Roman"/>
                <w:sz w:val="18"/>
                <w:szCs w:val="18"/>
                <w:color w:val="auto"/>
              </w:rPr>
              <w:t>44,255,547</w:t>
            </w:r>
          </w:p>
        </w:tc>
        <w:tc>
          <w:tcPr>
            <w:tcW w:w="280" w:type="dxa"/>
            <w:vAlign w:val="bottom"/>
          </w:tcPr>
          <w:p>
            <w:pPr>
              <w:spacing w:after="0"/>
              <w:rPr>
                <w:sz w:val="20"/>
                <w:szCs w:val="20"/>
                <w:color w:val="auto"/>
              </w:rPr>
            </w:pPr>
          </w:p>
        </w:tc>
        <w:tc>
          <w:tcPr>
            <w:tcW w:w="28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57,445</w:t>
            </w:r>
          </w:p>
        </w:tc>
        <w:tc>
          <w:tcPr>
            <w:tcW w:w="280" w:type="dxa"/>
            <w:vAlign w:val="bottom"/>
          </w:tcPr>
          <w:p>
            <w:pPr>
              <w:spacing w:after="0"/>
              <w:rPr>
                <w:sz w:val="20"/>
                <w:szCs w:val="20"/>
                <w:color w:val="auto"/>
              </w:rPr>
            </w:pPr>
          </w:p>
        </w:tc>
        <w:tc>
          <w:tcPr>
            <w:tcW w:w="29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19,919</w:t>
            </w: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Rapport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10, 2026</w:t>
      </w:r>
      <w:r>
        <w:rPr>
          <w:sz w:val="20"/>
          <w:szCs w:val="20"/>
          <w:color w:val="auto"/>
        </w:rPr>
        <w:tab/>
      </w:r>
      <w:r>
        <w:rPr>
          <w:rFonts w:ascii="Times New Roman" w:cs="Times New Roman" w:eastAsia="Times New Roman" w:hAnsi="Times New Roman"/>
          <w:sz w:val="18"/>
          <w:szCs w:val="18"/>
          <w:color w:val="auto"/>
        </w:rPr>
        <w:t>By:</w:t>
        <w:tab/>
        <w:t>/s/ Troy Ignelzi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Troy Ignelzi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2026-06-10T15:18:23Z</dcterms:created>
  <dcterms:modified xsi:type="dcterms:W3CDTF">2026-06-10T15:18:23Z</dcterms:modified>
</cp:coreProperties>
</file>