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8"/>
          <w:szCs w:val="18"/>
          <w:b w:val="1"/>
          <w:bCs w:val="1"/>
          <w:color w:val="auto"/>
        </w:rPr>
        <w:t>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333-294170</w:t>
      </w:r>
    </w:p>
    <w:p>
      <w:pPr>
        <w:spacing w:after="0" w:line="154" w:lineRule="exact"/>
        <w:rPr>
          <w:sz w:val="24"/>
          <w:szCs w:val="24"/>
          <w:color w:val="auto"/>
        </w:rPr>
      </w:pPr>
    </w:p>
    <w:tbl>
      <w:tblPr>
        <w:tblLayout w:type="fixed"/>
        <w:tblInd w:w="120" w:type="dxa"/>
        <w:tblCellMar>
          <w:top w:w="0" w:type="dxa"/>
          <w:left w:w="0" w:type="dxa"/>
          <w:bottom w:w="0" w:type="dxa"/>
          <w:right w:w="0" w:type="dxa"/>
        </w:tblCellMar>
      </w:tblPr>
      <w:tr>
        <w:trPr>
          <w:trHeight w:val="407"/>
        </w:trPr>
        <w:tc>
          <w:tcPr>
            <w:tcW w:w="140" w:type="dxa"/>
            <w:vAlign w:val="bottom"/>
            <w:vMerge w:val="restart"/>
            <w:textDirection w:val="btLr"/>
          </w:tcPr>
          <w:p>
            <w:pPr>
              <w:ind w:left="129"/>
              <w:spacing w:after="0"/>
              <w:rPr>
                <w:sz w:val="20"/>
                <w:szCs w:val="20"/>
                <w:color w:val="auto"/>
              </w:rPr>
            </w:pPr>
            <w:r>
              <w:rPr>
                <w:rFonts w:ascii="Times New Roman" w:cs="Times New Roman" w:eastAsia="Times New Roman" w:hAnsi="Times New Roman"/>
                <w:sz w:val="1"/>
                <w:szCs w:val="1"/>
                <w:b w:val="1"/>
                <w:bCs w:val="1"/>
                <w:color w:val="DE1A1E"/>
              </w:rPr>
              <w:t>Theinformationinthispreliminaryprospectussupplementandtheaccompanyingprospectusisnotcompleteandmaybechanged.Aregistrationstatementrelatingtothese</w:t>
            </w:r>
          </w:p>
        </w:tc>
        <w:tc>
          <w:tcPr>
            <w:tcW w:w="160" w:type="dxa"/>
            <w:vAlign w:val="bottom"/>
            <w:vMerge w:val="restart"/>
            <w:textDirection w:val="btLr"/>
          </w:tcPr>
          <w:p>
            <w:pPr>
              <w:ind w:left="149"/>
              <w:spacing w:after="0"/>
              <w:rPr>
                <w:sz w:val="20"/>
                <w:szCs w:val="20"/>
                <w:color w:val="auto"/>
              </w:rPr>
            </w:pPr>
            <w:r>
              <w:rPr>
                <w:rFonts w:ascii="Times New Roman" w:cs="Times New Roman" w:eastAsia="Times New Roman" w:hAnsi="Times New Roman"/>
                <w:sz w:val="1"/>
                <w:szCs w:val="1"/>
                <w:b w:val="1"/>
                <w:bCs w:val="1"/>
                <w:color w:val="DE1A1E"/>
              </w:rPr>
              <w:t>securitieshasbeenfiledwiththeSecuritiesandExchangeCommissionandiseffective.Thispreliminaryprospectussupplementandtheaccompanyingprospectusarenotan</w:t>
            </w:r>
          </w:p>
        </w:tc>
        <w:tc>
          <w:tcPr>
            <w:tcW w:w="360" w:type="dxa"/>
            <w:vAlign w:val="bottom"/>
          </w:tcPr>
          <w:p>
            <w:pPr>
              <w:spacing w:after="0"/>
              <w:rPr>
                <w:sz w:val="24"/>
                <w:szCs w:val="24"/>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22"/>
                <w:szCs w:val="22"/>
                <w:i w:val="1"/>
                <w:iCs w:val="1"/>
                <w:color w:val="DE1A1E"/>
              </w:rPr>
              <w:t>Subject to Completion. Dated October 27, 2026</w:t>
            </w:r>
          </w:p>
        </w:tc>
        <w:tc>
          <w:tcPr>
            <w:tcW w:w="0" w:type="dxa"/>
            <w:vAlign w:val="bottom"/>
          </w:tcPr>
          <w:p>
            <w:pPr>
              <w:spacing w:after="0"/>
              <w:rPr>
                <w:sz w:val="1"/>
                <w:szCs w:val="1"/>
                <w:color w:val="auto"/>
              </w:rPr>
            </w:pPr>
          </w:p>
        </w:tc>
      </w:tr>
      <w:tr>
        <w:trPr>
          <w:trHeight w:val="308"/>
        </w:trPr>
        <w:tc>
          <w:tcPr>
            <w:tcW w:w="14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360" w:type="dxa"/>
            <w:vAlign w:val="bottom"/>
            <w:vMerge w:val="restart"/>
            <w:textDirection w:val="btLr"/>
          </w:tcPr>
          <w:p>
            <w:pPr>
              <w:ind w:left="190"/>
              <w:spacing w:after="0"/>
              <w:rPr>
                <w:sz w:val="20"/>
                <w:szCs w:val="20"/>
                <w:color w:val="auto"/>
              </w:rPr>
            </w:pPr>
            <w:r>
              <w:rPr>
                <w:rFonts w:ascii="Times New Roman" w:cs="Times New Roman" w:eastAsia="Times New Roman" w:hAnsi="Times New Roman"/>
                <w:sz w:val="1"/>
                <w:szCs w:val="1"/>
                <w:b w:val="1"/>
                <w:bCs w:val="1"/>
                <w:color w:val="DE1A1E"/>
              </w:rPr>
              <w:t>offertosellthesesecuritiesanditisnotsolicitinganoffertobuythesesecuritiesinanyjurisdictionwheretheofferorsaleisnotpermitted.</w:t>
            </w: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22"/>
                <w:szCs w:val="22"/>
                <w:i w:val="1"/>
                <w:iCs w:val="1"/>
                <w:color w:val="auto"/>
              </w:rPr>
              <w:t>Preliminary Prospectus Supplement</w:t>
            </w:r>
          </w:p>
        </w:tc>
        <w:tc>
          <w:tcPr>
            <w:tcW w:w="0" w:type="dxa"/>
            <w:vAlign w:val="bottom"/>
          </w:tcPr>
          <w:p>
            <w:pPr>
              <w:spacing w:after="0"/>
              <w:rPr>
                <w:sz w:val="1"/>
                <w:szCs w:val="1"/>
                <w:color w:val="auto"/>
              </w:rPr>
            </w:pPr>
          </w:p>
        </w:tc>
      </w:tr>
      <w:tr>
        <w:trPr>
          <w:trHeight w:val="220"/>
        </w:trPr>
        <w:tc>
          <w:tcPr>
            <w:tcW w:w="14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9480" w:type="dxa"/>
            <w:vAlign w:val="bottom"/>
            <w:gridSpan w:val="5"/>
            <w:vMerge w:val="restart"/>
          </w:tcPr>
          <w:p>
            <w:pPr>
              <w:ind w:left="200"/>
              <w:spacing w:after="0"/>
              <w:rPr>
                <w:sz w:val="20"/>
                <w:szCs w:val="20"/>
                <w:color w:val="auto"/>
              </w:rPr>
            </w:pPr>
            <w:r>
              <w:rPr>
                <w:rFonts w:ascii="Times New Roman" w:cs="Times New Roman" w:eastAsia="Times New Roman" w:hAnsi="Times New Roman"/>
                <w:sz w:val="22"/>
                <w:szCs w:val="22"/>
                <w:i w:val="1"/>
                <w:iCs w:val="1"/>
                <w:color w:val="auto"/>
              </w:rPr>
              <w:t>(To Prospectus dated March 10, 2026)</w:t>
            </w:r>
          </w:p>
        </w:tc>
        <w:tc>
          <w:tcPr>
            <w:tcW w:w="0" w:type="dxa"/>
            <w:vAlign w:val="bottom"/>
          </w:tcPr>
          <w:p>
            <w:pPr>
              <w:spacing w:after="0"/>
              <w:rPr>
                <w:sz w:val="1"/>
                <w:szCs w:val="1"/>
                <w:color w:val="auto"/>
              </w:rPr>
            </w:pPr>
          </w:p>
        </w:tc>
      </w:tr>
      <w:tr>
        <w:trPr>
          <w:trHeight w:val="66"/>
        </w:trPr>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7"/>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Times New Roman" w:cs="Times New Roman" w:eastAsia="Times New Roman" w:hAnsi="Times New Roman"/>
                <w:sz w:val="32"/>
                <w:szCs w:val="32"/>
                <w:i w:val="1"/>
                <w:iCs w:val="1"/>
                <w:color w:val="auto"/>
              </w:rPr>
              <w:t xml:space="preserve">$             </w:t>
            </w:r>
          </w:p>
        </w:tc>
        <w:tc>
          <w:tcPr>
            <w:tcW w:w="0" w:type="dxa"/>
            <w:vAlign w:val="bottom"/>
          </w:tcPr>
          <w:p>
            <w:pPr>
              <w:spacing w:after="0"/>
              <w:rPr>
                <w:sz w:val="1"/>
                <w:szCs w:val="1"/>
                <w:color w:val="auto"/>
              </w:rPr>
            </w:pPr>
          </w:p>
        </w:tc>
      </w:tr>
      <w:tr>
        <w:trPr>
          <w:trHeight w:val="1593"/>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620" w:type="dxa"/>
            <w:vAlign w:val="bottom"/>
            <w:gridSpan w:val="4"/>
          </w:tcPr>
          <w:p>
            <w:pPr>
              <w:spacing w:after="0"/>
              <w:rPr>
                <w:sz w:val="20"/>
                <w:szCs w:val="20"/>
                <w:color w:val="auto"/>
              </w:rPr>
            </w:pPr>
            <w:r>
              <w:rPr>
                <w:rFonts w:ascii="Times New Roman" w:cs="Times New Roman" w:eastAsia="Times New Roman" w:hAnsi="Times New Roman"/>
                <w:sz w:val="32"/>
                <w:szCs w:val="32"/>
                <w:i w:val="1"/>
                <w:iCs w:val="1"/>
                <w:color w:val="auto"/>
              </w:rPr>
              <w:t>Common Stock</w:t>
            </w:r>
          </w:p>
        </w:tc>
        <w:tc>
          <w:tcPr>
            <w:tcW w:w="0" w:type="dxa"/>
            <w:vAlign w:val="bottom"/>
          </w:tcPr>
          <w:p>
            <w:pPr>
              <w:spacing w:after="0"/>
              <w:rPr>
                <w:sz w:val="1"/>
                <w:szCs w:val="1"/>
                <w:color w:val="auto"/>
              </w:rPr>
            </w:pPr>
          </w:p>
        </w:tc>
      </w:tr>
      <w:tr>
        <w:trPr>
          <w:trHeight w:val="307"/>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rPr>
              <w:t>We are offering $             of shares of our common stock pursuant to this prospectus supplement and the accompanying</w:t>
            </w: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rPr>
              <w:t>prospectus.</w:t>
            </w: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rPr>
              <w:t>Our common stock is listed on The Nasdaq Global Market under the symbol “RAPP.” On October 26, 2026, the last reported</w:t>
            </w: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rPr>
              <w:t>sale price of our common stock on The Nasdaq Global Market was $25.33 per share.</w:t>
            </w: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rPr>
              <w:t>Concurrently with this offering, we are offering, pursuant to a separate prospectus supplement,       % convertible senior notes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due 2032 (the “convertible notes”), in an aggregate principal amount of $            , plus up to an additional $          </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rPr>
              <w:t>aggregate principal amount of convertible notes that the underwriters of the concurrent convertible notes offering have the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w w:val="99"/>
              </w:rPr>
              <w:t>option to purchase from us (the “concurrent convertible notes offering”). The consummation of this offering is not contingent on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rPr>
              <w:t>the consummation of the concurrent convertible notes offering, and the consummation of the concurrent convertible notes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rPr>
              <w:t>offering is not contingent on the consummation of this offering. This prospectus supplement does not constitute an offer to sell,</w:t>
            </w: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rPr>
              <w:t>or the solicitation of an offer to buy, any securities being offered in the concurrent convertible notes offering.</w:t>
            </w:r>
          </w:p>
        </w:tc>
        <w:tc>
          <w:tcPr>
            <w:tcW w:w="0" w:type="dxa"/>
            <w:vAlign w:val="bottom"/>
          </w:tcPr>
          <w:p>
            <w:pPr>
              <w:spacing w:after="0"/>
              <w:rPr>
                <w:sz w:val="1"/>
                <w:szCs w:val="1"/>
                <w:color w:val="auto"/>
              </w:rPr>
            </w:pPr>
          </w:p>
        </w:tc>
      </w:tr>
      <w:tr>
        <w:trPr>
          <w:trHeight w:val="418"/>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w w:val="98"/>
              </w:rPr>
              <w:t>Investing in shares of our common stock involves significant risks. See the section titled “</w:t>
            </w:r>
            <w:r>
              <w:rPr>
                <w:rFonts w:ascii="Times New Roman" w:cs="Times New Roman" w:eastAsia="Times New Roman" w:hAnsi="Times New Roman"/>
                <w:sz w:val="22"/>
                <w:szCs w:val="22"/>
                <w:b w:val="1"/>
                <w:bCs w:val="1"/>
                <w:i w:val="1"/>
                <w:iCs w:val="1"/>
                <w:color w:val="0000EE"/>
                <w:w w:val="98"/>
              </w:rPr>
              <w:t>Risk Factors</w:t>
            </w:r>
            <w:r>
              <w:rPr>
                <w:rFonts w:ascii="Times New Roman" w:cs="Times New Roman" w:eastAsia="Times New Roman" w:hAnsi="Times New Roman"/>
                <w:sz w:val="22"/>
                <w:szCs w:val="22"/>
                <w:b w:val="1"/>
                <w:bCs w:val="1"/>
                <w:i w:val="1"/>
                <w:iCs w:val="1"/>
                <w:color w:val="auto"/>
                <w:w w:val="98"/>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40" w:type="dxa"/>
            <w:vAlign w:val="bottom"/>
            <w:gridSpan w:val="3"/>
            <w:vMerge w:val="restart"/>
          </w:tcPr>
          <w:p>
            <w:pPr>
              <w:ind w:left="200"/>
              <w:spacing w:after="0" w:line="250" w:lineRule="exact"/>
              <w:rPr>
                <w:sz w:val="20"/>
                <w:szCs w:val="20"/>
                <w:color w:val="auto"/>
              </w:rPr>
            </w:pPr>
            <w:r>
              <w:rPr>
                <w:rFonts w:ascii="Times New Roman" w:cs="Times New Roman" w:eastAsia="Times New Roman" w:hAnsi="Times New Roman"/>
                <w:sz w:val="22"/>
                <w:szCs w:val="22"/>
                <w:b w:val="1"/>
                <w:bCs w:val="1"/>
                <w:i w:val="1"/>
                <w:iCs w:val="1"/>
                <w:color w:val="auto"/>
              </w:rPr>
              <w:t>beginning on page S-11 of this prospectus supplement and page 1 of the accompanying</w:t>
            </w:r>
          </w:p>
        </w:tc>
        <w:tc>
          <w:tcPr>
            <w:tcW w:w="1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40" w:type="dxa"/>
            <w:vAlign w:val="bottom"/>
            <w:gridSpan w:val="3"/>
            <w:vMerge w:val="continue"/>
          </w:tcPr>
          <w:p>
            <w:pPr>
              <w:spacing w:after="0"/>
              <w:rPr>
                <w:sz w:val="20"/>
                <w:szCs w:val="20"/>
                <w:color w:val="auto"/>
              </w:rPr>
            </w:pPr>
          </w:p>
        </w:tc>
        <w:tc>
          <w:tcPr>
            <w:tcW w:w="12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b w:val="1"/>
                <w:bCs w:val="1"/>
                <w:i w:val="1"/>
                <w:iCs w:val="1"/>
                <w:color w:val="auto"/>
                <w:w w:val="86"/>
              </w:rPr>
              <w:t>prospectus, and</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80" w:type="dxa"/>
            <w:vAlign w:val="bottom"/>
            <w:gridSpan w:val="5"/>
          </w:tcPr>
          <w:p>
            <w:pPr>
              <w:ind w:left="20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in the documents that are incorporated by reference herein. You should read the entire prospectus</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80" w:type="dxa"/>
            <w:vAlign w:val="bottom"/>
            <w:gridSpan w:val="5"/>
          </w:tcPr>
          <w:p>
            <w:pPr>
              <w:ind w:left="20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supplement and the accompanying prospectus, including any information incorporated by reference</w:t>
            </w:r>
          </w:p>
        </w:tc>
        <w:tc>
          <w:tcPr>
            <w:tcW w:w="0" w:type="dxa"/>
            <w:vAlign w:val="bottom"/>
          </w:tcPr>
          <w:p>
            <w:pPr>
              <w:spacing w:after="0"/>
              <w:rPr>
                <w:sz w:val="1"/>
                <w:szCs w:val="1"/>
                <w:color w:val="auto"/>
              </w:rPr>
            </w:pPr>
          </w:p>
        </w:tc>
      </w:tr>
      <w:tr>
        <w:trPr>
          <w:trHeight w:val="288"/>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herein or therein, carefully before you make your investment decision.</w:t>
            </w:r>
          </w:p>
        </w:tc>
        <w:tc>
          <w:tcPr>
            <w:tcW w:w="0" w:type="dxa"/>
            <w:vAlign w:val="bottom"/>
          </w:tcPr>
          <w:p>
            <w:pPr>
              <w:spacing w:after="0"/>
              <w:rPr>
                <w:sz w:val="1"/>
                <w:szCs w:val="1"/>
                <w:color w:val="auto"/>
              </w:rPr>
            </w:pPr>
          </w:p>
        </w:tc>
      </w:tr>
      <w:tr>
        <w:trPr>
          <w:trHeight w:val="400"/>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rPr>
              <w:t>We are an “emerging growth company” and “smaller reporting company” under the U.S. federal securities laws and, as such,</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rPr>
              <w:t>we have elected to comply with certain reduced public company reporting requirements for this prospectus supplement and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rPr>
              <w:t>future filings. See “Prospectus Supplement Summary—Implications of Being an Emerging Growth Company and Smaller</w:t>
            </w: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i w:val="1"/>
                <w:iCs w:val="1"/>
                <w:color w:val="auto"/>
              </w:rPr>
              <w:t>Reporting Company.”</w:t>
            </w:r>
          </w:p>
        </w:tc>
        <w:tc>
          <w:tcPr>
            <w:tcW w:w="0" w:type="dxa"/>
            <w:vAlign w:val="bottom"/>
          </w:tcPr>
          <w:p>
            <w:pPr>
              <w:spacing w:after="0"/>
              <w:rPr>
                <w:sz w:val="1"/>
                <w:szCs w:val="1"/>
                <w:color w:val="auto"/>
              </w:rPr>
            </w:pPr>
          </w:p>
        </w:tc>
      </w:tr>
      <w:tr>
        <w:trPr>
          <w:trHeight w:val="410"/>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securities or determined if this prospectus supplement and the accompanying prospectus is truthful or complete. Any</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representation to the contrary is a criminal offense.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-5194300</wp:posOffset>
            </wp:positionV>
            <wp:extent cx="198882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54864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285750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Public offering price</w:t>
            </w:r>
          </w:p>
        </w:tc>
        <w:tc>
          <w:tcPr>
            <w:tcW w:w="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 Share</w:t>
            </w:r>
          </w:p>
        </w:tc>
        <w:tc>
          <w:tcPr>
            <w:tcW w:w="1080" w:type="dxa"/>
            <w:vAlign w:val="bottom"/>
          </w:tcPr>
          <w:p>
            <w:pPr>
              <w:spacing w:after="0"/>
              <w:rPr>
                <w:sz w:val="15"/>
                <w:szCs w:val="15"/>
                <w:color w:val="auto"/>
              </w:rPr>
            </w:pP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w w:val="98"/>
              </w:rPr>
              <w:t>Total</w:t>
            </w:r>
          </w:p>
        </w:tc>
        <w:tc>
          <w:tcPr>
            <w:tcW w:w="120" w:type="dxa"/>
            <w:vAlign w:val="bottom"/>
            <w:vMerge w:val="restart"/>
          </w:tcPr>
          <w:p>
            <w:pPr>
              <w:ind w:left="80"/>
              <w:spacing w:after="0"/>
              <w:rPr>
                <w:sz w:val="20"/>
                <w:szCs w:val="20"/>
                <w:color w:val="auto"/>
              </w:rPr>
            </w:pPr>
            <w:r>
              <w:rPr>
                <w:rFonts w:ascii="Times New Roman" w:cs="Times New Roman" w:eastAsia="Times New Roman" w:hAnsi="Times New Roman"/>
                <w:sz w:val="2"/>
                <w:szCs w:val="2"/>
                <w:i w:val="1"/>
                <w:iCs w:val="1"/>
                <w:color w:val="auto"/>
                <w:w w:val="97"/>
              </w:rPr>
              <w:t> </w:t>
            </w:r>
          </w:p>
        </w:tc>
        <w:tc>
          <w:tcPr>
            <w:tcW w:w="0" w:type="dxa"/>
            <w:vAlign w:val="bottom"/>
          </w:tcPr>
          <w:p>
            <w:pPr>
              <w:spacing w:after="0"/>
              <w:rPr>
                <w:sz w:val="1"/>
                <w:szCs w:val="1"/>
                <w:color w:val="auto"/>
              </w:rPr>
            </w:pPr>
          </w:p>
        </w:tc>
      </w:tr>
      <w:tr>
        <w:trPr>
          <w:trHeight w:val="189"/>
        </w:trPr>
        <w:tc>
          <w:tcPr>
            <w:tcW w:w="8680" w:type="dxa"/>
            <w:vAlign w:val="bottom"/>
            <w:vMerge w:val="continue"/>
          </w:tcPr>
          <w:p>
            <w:pPr>
              <w:spacing w:after="0"/>
              <w:rPr>
                <w:sz w:val="16"/>
                <w:szCs w:val="16"/>
                <w:color w:val="auto"/>
              </w:rPr>
            </w:pPr>
          </w:p>
        </w:tc>
        <w:tc>
          <w:tcPr>
            <w:tcW w:w="2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i w:val="1"/>
                <w:iCs w:val="1"/>
                <w:color w:val="auto"/>
                <w:w w:val="98"/>
              </w:rPr>
              <w:t> </w:t>
            </w:r>
          </w:p>
        </w:tc>
        <w:tc>
          <w:tcPr>
            <w:tcW w:w="1220" w:type="dxa"/>
            <w:vAlign w:val="bottom"/>
            <w:gridSpan w:val="2"/>
          </w:tcPr>
          <w:p>
            <w:pPr>
              <w:ind w:left="1020"/>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Underwriting discounts and commissions (1)</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i w:val="1"/>
                <w:iCs w:val="1"/>
                <w:color w:val="auto"/>
                <w:w w:val="98"/>
              </w:rPr>
              <w:t> </w:t>
            </w:r>
          </w:p>
        </w:tc>
        <w:tc>
          <w:tcPr>
            <w:tcW w:w="1220" w:type="dxa"/>
            <w:vAlign w:val="bottom"/>
            <w:gridSpan w:val="2"/>
          </w:tcPr>
          <w:p>
            <w:pPr>
              <w:ind w:left="1020"/>
              <w:spacing w:after="0"/>
              <w:rPr>
                <w:sz w:val="20"/>
                <w:szCs w:val="20"/>
                <w:color w:val="auto"/>
              </w:rPr>
            </w:pPr>
            <w:r>
              <w:rPr>
                <w:rFonts w:ascii="Times New Roman" w:cs="Times New Roman" w:eastAsia="Times New Roman" w:hAnsi="Times New Roman"/>
                <w:sz w:val="18"/>
                <w:szCs w:val="18"/>
                <w:i w:val="1"/>
                <w:iCs w:val="1"/>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i w:val="1"/>
                <w:iCs w:val="1"/>
                <w:color w:val="auto"/>
                <w:w w:val="97"/>
              </w:rPr>
              <w:t> </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Proceeds, before expenses, to Rapport Therapeutics, Inc. (2)</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i w:val="1"/>
                <w:iCs w:val="1"/>
                <w:color w:val="auto"/>
                <w:w w:val="98"/>
              </w:rPr>
              <w:t> </w:t>
            </w:r>
          </w:p>
        </w:tc>
        <w:tc>
          <w:tcPr>
            <w:tcW w:w="1220" w:type="dxa"/>
            <w:vAlign w:val="bottom"/>
            <w:gridSpan w:val="2"/>
          </w:tcPr>
          <w:p>
            <w:pPr>
              <w:ind w:left="1020"/>
              <w:spacing w:after="0"/>
              <w:rPr>
                <w:sz w:val="20"/>
                <w:szCs w:val="20"/>
                <w:color w:val="auto"/>
              </w:rPr>
            </w:pPr>
            <w:r>
              <w:rPr>
                <w:rFonts w:ascii="Times New Roman" w:cs="Times New Roman" w:eastAsia="Times New Roman" w:hAnsi="Times New Roman"/>
                <w:sz w:val="18"/>
                <w:szCs w:val="18"/>
                <w:i w:val="1"/>
                <w:iCs w:val="1"/>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i w:val="1"/>
                <w:iCs w:val="1"/>
                <w:color w:val="auto"/>
                <w:w w:val="97"/>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540" w:hanging="424"/>
        <w:spacing w:after="0" w:line="221" w:lineRule="auto"/>
        <w:tabs>
          <w:tab w:leader="none" w:pos="5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the section titled “Underwriters” for additional information regarding compensation payable to the underwriters.</w:t>
      </w:r>
    </w:p>
    <w:p>
      <w:pPr>
        <w:spacing w:after="0" w:line="194" w:lineRule="exact"/>
        <w:rPr>
          <w:sz w:val="20"/>
          <w:szCs w:val="20"/>
          <w:color w:val="auto"/>
        </w:rPr>
      </w:pPr>
    </w:p>
    <w:p>
      <w:pPr>
        <w:ind w:left="540" w:right="20" w:hanging="419"/>
        <w:spacing w:after="0" w:line="276" w:lineRule="auto"/>
        <w:tabs>
          <w:tab w:leader="none" w:pos="520" w:val="left"/>
        </w:tabs>
        <w:rPr>
          <w:sz w:val="20"/>
          <w:szCs w:val="20"/>
          <w:color w:val="auto"/>
        </w:rPr>
      </w:pPr>
      <w:r>
        <w:rPr>
          <w:rFonts w:ascii="Times New Roman" w:cs="Times New Roman" w:eastAsia="Times New Roman" w:hAnsi="Times New Roman"/>
          <w:sz w:val="18"/>
          <w:szCs w:val="18"/>
          <w:i w:val="1"/>
          <w:iCs w:val="1"/>
          <w:color w:val="auto"/>
        </w:rPr>
        <w:t>(2)</w:t>
        <w:tab/>
        <w:t>Total gross proceeds from this offering and the concurrent private placement, if consummated, are $      million. Such proceeds less underwriting discounts and commissions, placement agent fees and estimated offering and private placement expenses are approximately $      .</w:t>
      </w:r>
    </w:p>
    <w:p>
      <w:pPr>
        <w:spacing w:after="0" w:line="388"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A certain investor has indicated its intent to purchase shares of our common stock in a concurrent private placement exempt from the registration requirements of the Securities Act of 1933, as amended (the “Securities Act”) at a per share price equal to the public offering price of our common stock in this offering (which transaction we refer to as the concurrent private placement). There has not been a binding agreement or commitment to purchase in the concurrent private placement and there can be no assurance as to the size or terms of the concurrent private placement, if any. The consummation of the concurrent private placement will be contingent and conditioned upon consummation of this offering and the satisfaction of certain other customary conditions. However, the consummation of this offering is not contingent on the consummation of the concurrent private placement. Morgan Stanley &amp; Co. LLC, Leerink Partners LLC and Evercore Group L.L.C. are acting as placement agents in connection with the concurrent private placement and will receive a placement agent fee equal to 6% of the total purchase price of the private placement shares.</w:t>
      </w:r>
    </w:p>
    <w:p>
      <w:pPr>
        <w:spacing w:after="0" w:line="185"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We expect that delivery of the shares will be made to investors in book-entry form through The Depository Trust Company on or about       , 2026, which will be the second business day following the initial trade date for the shares (this settlement cycle being referred to as “T+2”). Under Rule 15c6-1 under the Securities Exchange Act of 1934, as amended (the “Exchange Act”), trades in the secondary market generally are required to settle in one business day, unless the parties to any such trade expressly agree otherwise. Accordingly, purchasers who wish to trade shares prior to the business day preceding the settlement date will be required, by virtue of the fact that the shares initially will settle T+2, to specify an alternate settlement cycle at the time of any such trade to prevent a failed settlement. Purchasers of shares who wish to trade the shares prior to the business day preceding the settlement date should consult their own advisors.</w:t>
      </w:r>
    </w:p>
    <w:p>
      <w:pPr>
        <w:spacing w:after="0" w:line="183"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underwriters may also exercise their option to purchase up to an additional $        of shares of our common stock from us, at the public offering price, less the underwriting discounts and commissions, for 30 days after the date of this prospectus supplement.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underwriters expect to deliver the shares against payment on or about 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241300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i w:val="1"/>
          <w:iCs w:val="1"/>
          <w:color w:val="auto"/>
        </w:rPr>
        <w:t>Morgan Stanley</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i w:val="1"/>
          <w:iCs w:val="1"/>
          <w:color w:val="auto"/>
        </w:rPr>
        <w:t>BTIG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rPr>
        <w:t>Leerink Partners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line="285" w:lineRule="auto"/>
        <w:rPr>
          <w:sz w:val="20"/>
          <w:szCs w:val="20"/>
          <w:color w:val="auto"/>
        </w:rPr>
      </w:pPr>
      <w:r>
        <w:rPr>
          <w:rFonts w:ascii="Times New Roman" w:cs="Times New Roman" w:eastAsia="Times New Roman" w:hAnsi="Times New Roman"/>
          <w:sz w:val="25"/>
          <w:szCs w:val="25"/>
          <w:i w:val="1"/>
          <w:iCs w:val="1"/>
          <w:color w:val="auto"/>
        </w:rPr>
        <w:t>Evercore ISI Citizens Capital Markets</w:t>
      </w:r>
    </w:p>
    <w:p>
      <w:pPr>
        <w:spacing w:after="0" w:line="134" w:lineRule="exact"/>
        <w:rPr>
          <w:sz w:val="20"/>
          <w:szCs w:val="20"/>
          <w:color w:val="auto"/>
        </w:rPr>
      </w:pPr>
    </w:p>
    <w:p>
      <w:pPr>
        <w:sectPr>
          <w:pgSz w:w="11900" w:h="16838" w:orient="portrait"/>
          <w:cols w:equalWidth="0" w:num="3">
            <w:col w:w="4340" w:space="720"/>
            <w:col w:w="2840" w:space="720"/>
            <w:col w:w="252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6"/>
          <w:szCs w:val="16"/>
          <w:i w:val="1"/>
          <w:iCs w:val="1"/>
          <w:color w:val="auto"/>
        </w:rPr>
        <w:t>Prospectus Supplement dated 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i w:val="1"/>
          <w:iCs w:val="1"/>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i w:val="1"/>
          <w:iCs w:val="1"/>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i w:val="1"/>
          <w:iCs w:val="1"/>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 2026.</w:t>
      </w:r>
    </w:p>
    <w:p>
      <w:pPr>
        <w:sectPr>
          <w:pgSz w:w="11900" w:h="16838" w:orient="portrait"/>
          <w:cols w:equalWidth="0" w:num="5">
            <w:col w:w="2280" w:space="140"/>
            <w:col w:w="40" w:space="140"/>
            <w:col w:w="40" w:space="140"/>
            <w:col w:w="40" w:space="140"/>
            <w:col w:w="8180"/>
          </w:cols>
          <w:pgMar w:left="320" w:top="455"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1380" w:type="dxa"/>
            <w:vAlign w:val="bottom"/>
            <w:gridSpan w:val="3"/>
            <w:vMerge w:val="restart"/>
          </w:tcPr>
          <w:p>
            <w:pPr>
              <w:spacing w:after="0"/>
              <w:rPr>
                <w:sz w:val="15"/>
                <w:szCs w:val="15"/>
                <w:color w:val="auto"/>
              </w:rPr>
            </w:pP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9"/>
              </w:rPr>
              <w:t>DIVIDEND POLICY</w:t>
            </w:r>
          </w:p>
        </w:tc>
        <w:tc>
          <w:tcPr>
            <w:tcW w:w="3360" w:type="dxa"/>
            <w:vAlign w:val="bottom"/>
            <w:gridSpan w:val="8"/>
            <w:vMerge w:val="restart"/>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5"/>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Borders>
              <w:bottom w:val="single" w:sz="8" w:color="0000EE"/>
            </w:tcBorders>
            <w:gridSpan w:val="8"/>
            <w:vMerge w:val="continue"/>
          </w:tcPr>
          <w:p>
            <w:pPr>
              <w:spacing w:after="0"/>
              <w:rPr>
                <w:sz w:val="14"/>
                <w:szCs w:val="14"/>
                <w:color w:val="auto"/>
              </w:rPr>
            </w:pPr>
          </w:p>
        </w:tc>
        <w:tc>
          <w:tcPr>
            <w:tcW w:w="3360" w:type="dxa"/>
            <w:vAlign w:val="bottom"/>
            <w:gridSpan w:val="8"/>
            <w:vMerge w:val="continue"/>
          </w:tcPr>
          <w:p>
            <w:pPr>
              <w:spacing w:after="0"/>
              <w:rPr>
                <w:sz w:val="14"/>
                <w:szCs w:val="14"/>
                <w:color w:val="auto"/>
              </w:rPr>
            </w:pPr>
          </w:p>
        </w:tc>
        <w:tc>
          <w:tcPr>
            <w:tcW w:w="40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196"/>
        </w:trPr>
        <w:tc>
          <w:tcPr>
            <w:tcW w:w="41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SPECIAL NOTE REGARDING FORWARD-LOOKING</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THE CONCURRENT CONVERTIBLE NOTES OFFERING</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1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STATEMENTS</w:t>
            </w:r>
          </w:p>
        </w:tc>
        <w:tc>
          <w:tcPr>
            <w:tcW w:w="2840" w:type="dxa"/>
            <w:vAlign w:val="bottom"/>
            <w:tcBorders>
              <w:top w:val="single" w:sz="8" w:color="0000EE"/>
            </w:tcBorders>
            <w:gridSpan w:val="10"/>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w w:val="93"/>
              </w:rPr>
              <w:t>S-iv</w:t>
            </w:r>
          </w:p>
        </w:tc>
        <w:tc>
          <w:tcPr>
            <w:tcW w:w="14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UNDERWRITERS</w:t>
            </w:r>
          </w:p>
        </w:tc>
        <w:tc>
          <w:tcPr>
            <w:tcW w:w="3040" w:type="dxa"/>
            <w:vAlign w:val="bottom"/>
            <w:tcBorders>
              <w:top w:val="single" w:sz="8" w:color="0000EE"/>
            </w:tcBorders>
            <w:gridSpan w:val="8"/>
          </w:tcPr>
          <w:p>
            <w:pPr>
              <w:spacing w:after="0"/>
              <w:rPr>
                <w:sz w:val="17"/>
                <w:szCs w:val="17"/>
                <w:color w:val="auto"/>
              </w:rPr>
            </w:pPr>
          </w:p>
        </w:tc>
        <w:tc>
          <w:tcPr>
            <w:tcW w:w="500" w:type="dxa"/>
            <w:vAlign w:val="bottom"/>
            <w:gridSpan w:val="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c>
          <w:tcPr>
            <w:tcW w:w="0" w:type="dxa"/>
            <w:vAlign w:val="bottom"/>
          </w:tcPr>
          <w:p>
            <w:pPr>
              <w:spacing w:after="0"/>
              <w:rPr>
                <w:sz w:val="1"/>
                <w:szCs w:val="1"/>
                <w:color w:val="auto"/>
              </w:rPr>
            </w:pPr>
          </w:p>
        </w:tc>
      </w:tr>
      <w:tr>
        <w:trPr>
          <w:trHeight w:val="196"/>
        </w:trPr>
        <w:tc>
          <w:tcPr>
            <w:tcW w:w="48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00" w:type="dxa"/>
            <w:vAlign w:val="bottom"/>
          </w:tcPr>
          <w:p>
            <w:pPr>
              <w:spacing w:after="0"/>
              <w:rPr>
                <w:sz w:val="17"/>
                <w:szCs w:val="17"/>
                <w:color w:val="auto"/>
              </w:rPr>
            </w:pPr>
          </w:p>
        </w:tc>
        <w:tc>
          <w:tcPr>
            <w:tcW w:w="700" w:type="dxa"/>
            <w:vAlign w:val="bottom"/>
            <w:gridSpan w:val="3"/>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49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196"/>
        </w:trPr>
        <w:tc>
          <w:tcPr>
            <w:tcW w:w="12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4"/>
              </w:rPr>
              <w:t>THE OFFERING</w:t>
            </w:r>
          </w:p>
        </w:tc>
        <w:tc>
          <w:tcPr>
            <w:tcW w:w="2040" w:type="dxa"/>
            <w:vAlign w:val="bottom"/>
            <w:tcBorders>
              <w:top w:val="single" w:sz="8" w:color="0000EE"/>
            </w:tcBorders>
            <w:gridSpan w:val="8"/>
          </w:tcPr>
          <w:p>
            <w:pPr>
              <w:spacing w:after="0"/>
              <w:rPr>
                <w:sz w:val="17"/>
                <w:szCs w:val="17"/>
                <w:color w:val="auto"/>
              </w:rPr>
            </w:pPr>
          </w:p>
        </w:tc>
        <w:tc>
          <w:tcPr>
            <w:tcW w:w="154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520" w:type="dxa"/>
            <w:vAlign w:val="bottom"/>
            <w:gridSpan w:val="9"/>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4"/>
              </w:rPr>
              <w:t>RISK FACTORS</w:t>
            </w:r>
          </w:p>
        </w:tc>
        <w:tc>
          <w:tcPr>
            <w:tcW w:w="3580" w:type="dxa"/>
            <w:vAlign w:val="bottom"/>
            <w:gridSpan w:val="12"/>
          </w:tcPr>
          <w:p>
            <w:pPr>
              <w:spacing w:after="0"/>
              <w:rPr>
                <w:sz w:val="17"/>
                <w:szCs w:val="17"/>
                <w:color w:val="auto"/>
              </w:rPr>
            </w:pPr>
          </w:p>
        </w:tc>
        <w:tc>
          <w:tcPr>
            <w:tcW w:w="800" w:type="dxa"/>
            <w:vAlign w:val="bottom"/>
            <w:gridSpan w:val="4"/>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49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800" w:type="dxa"/>
            <w:vAlign w:val="bottom"/>
            <w:gridSpan w:val="4"/>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49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CAPITALIZATION</w:t>
            </w:r>
          </w:p>
        </w:tc>
        <w:tc>
          <w:tcPr>
            <w:tcW w:w="120" w:type="dxa"/>
            <w:vAlign w:val="bottom"/>
            <w:tcBorders>
              <w:top w:val="single" w:sz="8" w:color="0000EE"/>
            </w:tcBorders>
          </w:tcPr>
          <w:p>
            <w:pPr>
              <w:spacing w:after="0"/>
              <w:rPr>
                <w:sz w:val="17"/>
                <w:szCs w:val="17"/>
                <w:color w:val="auto"/>
              </w:rPr>
            </w:pPr>
          </w:p>
        </w:tc>
        <w:tc>
          <w:tcPr>
            <w:tcW w:w="3240" w:type="dxa"/>
            <w:vAlign w:val="bottom"/>
            <w:gridSpan w:val="9"/>
          </w:tcPr>
          <w:p>
            <w:pPr>
              <w:spacing w:after="0"/>
              <w:rPr>
                <w:sz w:val="17"/>
                <w:szCs w:val="17"/>
                <w:color w:val="auto"/>
              </w:rPr>
            </w:pPr>
          </w:p>
        </w:tc>
        <w:tc>
          <w:tcPr>
            <w:tcW w:w="800" w:type="dxa"/>
            <w:vAlign w:val="bottom"/>
            <w:gridSpan w:val="4"/>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180" w:type="dxa"/>
            <w:vAlign w:val="bottom"/>
            <w:tcBorders>
              <w:top w:val="single" w:sz="8" w:color="0000EE"/>
            </w:tcBorders>
          </w:tcPr>
          <w:p>
            <w:pPr>
              <w:spacing w:after="0"/>
              <w:rPr>
                <w:sz w:val="17"/>
                <w:szCs w:val="17"/>
                <w:color w:val="auto"/>
              </w:rPr>
            </w:pPr>
          </w:p>
        </w:tc>
        <w:tc>
          <w:tcPr>
            <w:tcW w:w="39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REFERENCE</w:t>
            </w:r>
          </w:p>
        </w:tc>
        <w:tc>
          <w:tcPr>
            <w:tcW w:w="840" w:type="dxa"/>
            <w:vAlign w:val="bottom"/>
            <w:gridSpan w:val="3"/>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S-36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DILUTION</w:t>
            </w:r>
          </w:p>
        </w:tc>
        <w:tc>
          <w:tcPr>
            <w:tcW w:w="3360" w:type="dxa"/>
            <w:vAlign w:val="bottom"/>
            <w:gridSpan w:val="10"/>
          </w:tcPr>
          <w:p>
            <w:pPr>
              <w:spacing w:after="0"/>
              <w:rPr>
                <w:sz w:val="17"/>
                <w:szCs w:val="17"/>
                <w:color w:val="auto"/>
              </w:rPr>
            </w:pPr>
          </w:p>
        </w:tc>
        <w:tc>
          <w:tcPr>
            <w:tcW w:w="800" w:type="dxa"/>
            <w:vAlign w:val="bottom"/>
            <w:gridSpan w:val="4"/>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18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1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40" w:type="dxa"/>
            <w:vAlign w:val="bottom"/>
            <w:gridSpan w:val="20"/>
          </w:tcPr>
          <w:p>
            <w:pPr>
              <w:ind w:left="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6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3180" w:type="dxa"/>
            <w:vAlign w:val="bottom"/>
            <w:gridSpan w:val="8"/>
            <w:vMerge w:val="restart"/>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49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640" w:type="dxa"/>
            <w:vAlign w:val="bottom"/>
            <w:gridSpan w:val="10"/>
            <w:vMerge w:val="continue"/>
          </w:tcPr>
          <w:p>
            <w:pPr>
              <w:spacing w:after="0"/>
              <w:rPr>
                <w:sz w:val="13"/>
                <w:szCs w:val="13"/>
                <w:color w:val="auto"/>
              </w:rPr>
            </w:pPr>
          </w:p>
        </w:tc>
        <w:tc>
          <w:tcPr>
            <w:tcW w:w="3180" w:type="dxa"/>
            <w:vAlign w:val="bottom"/>
            <w:gridSpan w:val="8"/>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380" w:type="dxa"/>
            <w:vAlign w:val="bottom"/>
          </w:tcPr>
          <w:p>
            <w:pPr>
              <w:spacing w:after="0"/>
              <w:rPr>
                <w:sz w:val="13"/>
                <w:szCs w:val="13"/>
                <w:color w:val="auto"/>
              </w:rPr>
            </w:pPr>
          </w:p>
        </w:tc>
        <w:tc>
          <w:tcPr>
            <w:tcW w:w="4940" w:type="dxa"/>
            <w:vAlign w:val="bottom"/>
            <w:gridSpan w:val="16"/>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9"/>
        </w:trPr>
        <w:tc>
          <w:tcPr>
            <w:tcW w:w="16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180" w:type="dxa"/>
            <w:vAlign w:val="bottom"/>
            <w:gridSpan w:val="8"/>
          </w:tcPr>
          <w:p>
            <w:pPr>
              <w:spacing w:after="0"/>
              <w:rPr>
                <w:sz w:val="18"/>
                <w:szCs w:val="18"/>
                <w:color w:val="auto"/>
              </w:rPr>
            </w:pPr>
          </w:p>
        </w:tc>
        <w:tc>
          <w:tcPr>
            <w:tcW w:w="8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17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Description of Units</w:t>
            </w:r>
          </w:p>
        </w:tc>
        <w:tc>
          <w:tcPr>
            <w:tcW w:w="3220" w:type="dxa"/>
            <w:vAlign w:val="bottom"/>
            <w:gridSpan w:val="7"/>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940" w:type="dxa"/>
            <w:vAlign w:val="bottom"/>
            <w:gridSpan w:val="2"/>
          </w:tcPr>
          <w:p>
            <w:pPr>
              <w:spacing w:after="0"/>
              <w:rPr>
                <w:sz w:val="17"/>
                <w:szCs w:val="17"/>
                <w:color w:val="auto"/>
              </w:rPr>
            </w:pPr>
          </w:p>
        </w:tc>
        <w:tc>
          <w:tcPr>
            <w:tcW w:w="800" w:type="dxa"/>
            <w:vAlign w:val="bottom"/>
            <w:gridSpan w:val="4"/>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49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 for Non-U.S.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Our Company</w:t>
            </w:r>
          </w:p>
        </w:tc>
        <w:tc>
          <w:tcPr>
            <w:tcW w:w="940" w:type="dxa"/>
            <w:vAlign w:val="bottom"/>
            <w:gridSpan w:val="2"/>
          </w:tcPr>
          <w:p>
            <w:pPr>
              <w:spacing w:after="0"/>
              <w:rPr>
                <w:sz w:val="17"/>
                <w:szCs w:val="17"/>
                <w:color w:val="auto"/>
              </w:rPr>
            </w:pPr>
          </w:p>
        </w:tc>
        <w:tc>
          <w:tcPr>
            <w:tcW w:w="800" w:type="dxa"/>
            <w:vAlign w:val="bottom"/>
            <w:gridSpan w:val="4"/>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0000EE"/>
            </w:tcBorders>
          </w:tcPr>
          <w:p>
            <w:pPr>
              <w:spacing w:after="0"/>
              <w:rPr>
                <w:sz w:val="17"/>
                <w:szCs w:val="17"/>
                <w:color w:val="auto"/>
              </w:rPr>
            </w:pPr>
          </w:p>
        </w:tc>
        <w:tc>
          <w:tcPr>
            <w:tcW w:w="43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Holders</w:t>
            </w:r>
          </w:p>
        </w:tc>
        <w:tc>
          <w:tcPr>
            <w:tcW w:w="38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0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800" w:type="dxa"/>
            <w:vAlign w:val="bottom"/>
            <w:gridSpan w:val="4"/>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49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that may be Offered</w:t>
            </w:r>
          </w:p>
        </w:tc>
        <w:tc>
          <w:tcPr>
            <w:tcW w:w="2620" w:type="dxa"/>
            <w:vAlign w:val="bottom"/>
            <w:gridSpan w:val="5"/>
          </w:tcPr>
          <w:p>
            <w:pPr>
              <w:spacing w:after="0"/>
              <w:rPr>
                <w:sz w:val="17"/>
                <w:szCs w:val="17"/>
                <w:color w:val="auto"/>
              </w:rPr>
            </w:pPr>
          </w:p>
        </w:tc>
        <w:tc>
          <w:tcPr>
            <w:tcW w:w="800" w:type="dxa"/>
            <w:vAlign w:val="bottom"/>
            <w:gridSpan w:val="4"/>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49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140" w:type="dxa"/>
            <w:vAlign w:val="bottom"/>
            <w:tcBorders>
              <w:top w:val="single" w:sz="8" w:color="0000EE"/>
            </w:tcBorders>
            <w:gridSpan w:val="2"/>
          </w:tcPr>
          <w:p>
            <w:pPr>
              <w:spacing w:after="0"/>
              <w:rPr>
                <w:sz w:val="17"/>
                <w:szCs w:val="17"/>
                <w:color w:val="auto"/>
              </w:rPr>
            </w:pPr>
          </w:p>
        </w:tc>
        <w:tc>
          <w:tcPr>
            <w:tcW w:w="2620" w:type="dxa"/>
            <w:vAlign w:val="bottom"/>
            <w:gridSpan w:val="5"/>
          </w:tcPr>
          <w:p>
            <w:pPr>
              <w:spacing w:after="0"/>
              <w:rPr>
                <w:sz w:val="17"/>
                <w:szCs w:val="17"/>
                <w:color w:val="auto"/>
              </w:rPr>
            </w:pPr>
          </w:p>
        </w:tc>
        <w:tc>
          <w:tcPr>
            <w:tcW w:w="800" w:type="dxa"/>
            <w:vAlign w:val="bottom"/>
            <w:gridSpan w:val="4"/>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940" w:type="dxa"/>
            <w:vAlign w:val="bottom"/>
            <w:gridSpan w:val="1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60" w:type="dxa"/>
            <w:vAlign w:val="bottom"/>
            <w:gridSpan w:val="11"/>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800" w:type="dxa"/>
            <w:vAlign w:val="bottom"/>
            <w:gridSpan w:val="4"/>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49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880" w:type="dxa"/>
            <w:vAlign w:val="bottom"/>
            <w:tcBorders>
              <w:top w:val="single" w:sz="8" w:color="0000EE"/>
            </w:tcBorders>
          </w:tcPr>
          <w:p>
            <w:pPr>
              <w:spacing w:after="0"/>
              <w:rPr>
                <w:sz w:val="17"/>
                <w:szCs w:val="17"/>
                <w:color w:val="auto"/>
              </w:rPr>
            </w:pPr>
          </w:p>
        </w:tc>
        <w:tc>
          <w:tcPr>
            <w:tcW w:w="2080" w:type="dxa"/>
            <w:vAlign w:val="bottom"/>
            <w:gridSpan w:val="5"/>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is part of an automatic shelf registration statement on Form S-3 (File No. 333-294170) that we filed with the Securities and Exchange Commission (the “SEC”) as a “well-known seasoned issuer” as defined in Rule 405 of the Securities Act using a “shelf” registration process, and consists of two parts. The first part is this prospectus supplement, including the documents incorporated by reference herein, which describes the specific terms of this offering. The second part, the accompanying prospectus, including the documents incorporated by reference therein, gives more general information, some of which may not apply to this offering. Generally, when we refer to the “prospectus,” we are referring to both parts combined. This prospectus supplement and any free writing prospectus we authorize for use in connection with this offering may add to, update or change information in the accompanying prospectus and the documents incorporated by reference into this prospectus supplement or the accompanying prospectus.</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If information in this prospectus supplement is inconsistent with the accompanying prospectus or with any document incorporated by reference herein or therein that was filed with the SEC before the date of this prospectus supplement, you should rely on the information contained in this prospectus supplement; provided, that if any statement in one of these documents is inconsistent with a statement in another document having a later date, the statement in the document having the later date modifies or supersedes the earlier statement. This prospectus supplement, the accompanying prospectus, the documents incorporated by reference into each and any free writing prospectus we authorize for use in connection with this offering include important information about us, the shares and other information you should consider before purchasing the shares. See the sections entitled “Incorporation of Certain Information by Reference” and “Where You Can Find More Information” in this prospectus supplement.</w:t>
      </w:r>
    </w:p>
    <w:p>
      <w:pPr>
        <w:spacing w:after="0" w:line="189"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you with any information other than the information contained in this prospectus supplement and the accompanying prospectus, including the documents incorporated by reference herein and therein, and any free writing prospectus we have authorized for use in connection with this offering. We take no responsibility for, and can provide no assurances as to the reliability of, any information that is in addition to or different from that contained or incorporated by reference in this prospectus supplement and the accompanying prospectus. You should not assume that the information contained in this prospectus supplement and the accompanying prospectus, or in any free writing prospectus that we have authorized for use in connection with this offering, is accurate as of any date other than the date of those respective documents, or that information contained in any document incorporated by reference is accurate as of any date other than the date of the document incorporated by reference. Our business, financial condition, liquidity, results of operations and prospects may have changed since those dates. We are not, and the underwriters are not, making offers to sell these securities in any jurisdiction in which an offer or solicitation is not authorized or permitted or in which the person making such offer or solicitation is not qualified to do so or to any person to whom it is unlawful to make such an offer or solicitation. You should read this prospectus supplement, the accompanying prospectus, including any information incorporated by reference, and any free writing prospectus that we have authorized for use in connection with this offering, in their entirety before making an investment decision. You should also read and consider the information in the documents to which we have referred you in the sections entitled “Incorporation of Certain Information by Reference” and “Where You Can Find More Information.”</w:t>
      </w:r>
    </w:p>
    <w:p>
      <w:pPr>
        <w:spacing w:after="0" w:line="19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Accordingly, such representations, warranties and covenants should not be relied on as accurately representing the current state of our affairs.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used in this prospectus supplement or the accompanying prospectus, unless the context otherwise requires, references to the terms “Rapport,” “Rapport Therapeutics,” “the Company,” “we,” “us,” and “our” and similar designations refer to Rapport Therapeutics, Inc. and, where appropriate, our wholly-owned subsidiary.</w:t>
      </w:r>
    </w:p>
    <w:p>
      <w:pPr>
        <w:spacing w:after="0" w:line="176" w:lineRule="exact"/>
        <w:rPr>
          <w:sz w:val="20"/>
          <w:szCs w:val="20"/>
          <w:color w:val="auto"/>
        </w:rPr>
      </w:pPr>
    </w:p>
    <w:p>
      <w:pPr>
        <w:jc w:val="both"/>
        <w:ind w:left="120" w:firstLine="440"/>
        <w:spacing w:after="0" w:line="236" w:lineRule="auto"/>
        <w:rPr>
          <w:sz w:val="20"/>
          <w:szCs w:val="20"/>
          <w:color w:val="auto"/>
        </w:rPr>
      </w:pPr>
      <w:r>
        <w:rPr>
          <w:rFonts w:ascii="Times New Roman" w:cs="Times New Roman" w:eastAsia="Times New Roman" w:hAnsi="Times New Roman"/>
          <w:sz w:val="18"/>
          <w:szCs w:val="18"/>
          <w:color w:val="auto"/>
        </w:rPr>
        <w:t xml:space="preserve">We intend to apply for various trademarks that we use in connection with the operation of our business. This prospectus supplement may also contain trademarks, service marks and trade names of third parties, which are the property of their respective owners. Our use or display of third parties’ trademarks, service marks, trade names or products in this prospectus supplement is not intended to, and does not imply a relationship with, or endorsement or sponsorship by us. Solely for convenience, the trademarks, service marks and trade names referred to in this prospectus supplement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SM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that we incorporate by reference herein and therein, and any free writing prospectus that we have authorized for use in connection with this offering include forward-looking statements within the meaning of Section 27A of the Securities Act, and Section 21E of the Exchange Act. All statements, other than statements of historical fact, contained herein, including statements regarding our plans, objectives and expectations for our business, operations and financial performance and condition, and can be identified by terminology such as “anticipate,” “believe,” “contemplate,” “continue” “could,” “estimate,” “expect,” “goal,” “hope,” “intend,” “may,” “might,” “plan,” “possible,” “potential,” “predict,” “project,” “seek,” “should,” “strategy,” “target,” “will,” “would,” “can,” “future” or the negative of these words or other similar expressions.</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31" w:lineRule="exact"/>
        <w:rPr>
          <w:sz w:val="20"/>
          <w:szCs w:val="20"/>
          <w:color w:val="auto"/>
        </w:rPr>
      </w:pPr>
    </w:p>
    <w:p>
      <w:pPr>
        <w:ind w:left="1080" w:right="2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develop, and commercialize current and future product candidates based on our receptor associated proteins (“RAPs”) technology platform;</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nonclinical studies and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translation of endpoints in our current and planned clinical trials to planned and future registrational trials;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positive results from earlier nonclinical studies or clinical trials conducted by us or third parties in current or future clinical trials;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that our current and future product candidates are safe and effective for their proposed indications;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the diseases or disorders we elect to pursue with our product candidates, and the willingness of those patient populations to use and adhere to our product candidates if approved in the future;</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programs, future product candidates, platform, and technology;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candidates through applicable regulatory approval processes;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cash and the sufficiency of our existing cash, cash equivalents and short-term investments to fund our future operating expenses and capital expenditure requirements;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our obligations under our intellectual property licenses with third parties, including Janssen Pharmaceutical NV;</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future license agreements and collaborations;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rising interest rates and inflation;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our key personnel and additional qualified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any milestones in connection with our license agreement with Tenacia Biotechnology (Hong Kong) Co., Ltd.;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short-term investments;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pro forma cash runway;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concurrent convertible notes offering and the concurrent private placement and the expected terms thereof;</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preliminary financial estimate, which represents management’s current estimate and is subject to change;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net proceeds from this offering and, if consummated, the concurrent private placement and, if consummated, the concurrent convertible notes offering.</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caution you that the foregoing list of forward-looking statements made in this prospectus supplement, the accompanying prospectus and the documents we have filed with the SEC that are incorporated herein and therein by reference is not exclusive.</w:t>
      </w:r>
    </w:p>
    <w:p>
      <w:pPr>
        <w:spacing w:after="0" w:line="16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Any forward-looking statements in this prospectus supplement, the accompanying prospectus and the documents we have filed with the SEC that are incorporated herein and therein by reference, and any free writing prospectus, as applicable,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While we may elect to update these forward-looking statements at some point in the future, we have no current intention of doing so except to the extent required by applicable law.</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You should therefore not rely on these forward-looking statements as representing our views as of any date subsequent to the date of this prospectus supplement.</w:t>
      </w:r>
    </w:p>
    <w:p>
      <w:pPr>
        <w:spacing w:after="0" w:line="16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their estimates, in particular, as they relate to projections, involve numerous assumptions, are subject to risks and uncertainties and are subject to change based on various factors.</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Factors that may cause actual results to differ materially from current expectations include, among other things, those discussed in the “Risk Factors” section in this prospectus supplement, the section of the accompanying prospectus and any related free writing prospectus entitled “Risk Factors” and the risk factors and cautionary statements described in other documents that we file from time to time with the SEC, specifically under “Risk Factors” and elsewhere in our most recent Annual Report on Form 10-K for the year ended December 31, 2025, any of our subsequent Quarterly Reports on Form 10-Q and Current Reports on Form 8-K, as applicable.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when made,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30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shares of our common stock. For a more complete understanding of our Company and this offering, we encourage you to read and consider carefully the more detailed information in this prospectus supplement and the accompanying prospectus, including the information incorporated by reference into this prospectus supplement and the accompanying prospectus, and the information included in any free writing prospectus that we have authorized for use in connection with this offering. You should also carefully consider the matters discussed under the heading “Risk Factors” in this prospectus supplement on page S-11 and on page 1 of the accompanying prospectus, and those identified in our Annual Report on Form 10-K for the year ended December 31, 2025, our Quarterly Reports on Form 10-Q for the quarters ended March 31, 2026 and June 30, 2026, and any of our subsequent Quarterly Reports on Form 10-Q and Current Reports on Form 8-K, as applicable.</w:t>
      </w: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dedicated to the discovery and development of small molecule precision medicines for patients with neurological or psychiatric disorders. Our foundational science has elucidated complexities of neuronal receptor biology and enables us to map and target certain neuronal receptor complexes. Neuronal receptors are complex assemblies of proteins, comprising receptor principal subunits and their receptor associated proteins (“RAPs”), the latter of which play crucial roles in regulating receptor expression and function. We believe that our deep expertise in RAP biology provides an opportunity for us to interrogate previously inaccessible targets and develop neurological and psychiatric drugs that are specific for receptor variants and neuroanatomical regions associated with certain diseases. Most neuroactive drugs lack this specificity, often resulting in undesired and intolerable side effects. Leveraging our expertise, we are developing a portfolio of precision product candidates that we believe has the potential to transform the standard of care of many neurological and psychiatric disorders.</w:t>
      </w:r>
    </w:p>
    <w:p>
      <w:pPr>
        <w:spacing w:after="0" w:line="188" w:lineRule="exact"/>
        <w:rPr>
          <w:sz w:val="20"/>
          <w:szCs w:val="20"/>
          <w:color w:val="auto"/>
        </w:rPr>
      </w:pPr>
    </w:p>
    <w:p>
      <w:pPr>
        <w:jc w:val="both"/>
        <w:ind w:left="300" w:firstLine="426"/>
        <w:spacing w:after="0" w:line="259" w:lineRule="auto"/>
        <w:rPr>
          <w:sz w:val="20"/>
          <w:szCs w:val="20"/>
          <w:color w:val="auto"/>
        </w:rPr>
      </w:pPr>
      <w:r>
        <w:rPr>
          <w:rFonts w:ascii="Times New Roman" w:cs="Times New Roman" w:eastAsia="Times New Roman" w:hAnsi="Times New Roman"/>
          <w:sz w:val="18"/>
          <w:szCs w:val="18"/>
          <w:color w:val="auto"/>
        </w:rPr>
        <w:t>Our founders have made pioneering discoveries related to the function of RAPs in the brain. Their findings form the basis of our RAP technology platform, which enables a differentiated approach to generate precision small molecule product candidates with the potential to overcome many limitations of conventional neurology drug discovery. RAP-219, our most advanced product candidate, is an AMPA receptor (“AMPAR”) negative allosteric modulator (“NAM”). RAP-219 is designed to achieve neuroanatomical specificity through its selective targeting of a RAP known as TARP</w:t>
      </w:r>
      <w:r>
        <w:rPr>
          <w:rFonts w:ascii="Arial" w:cs="Arial" w:eastAsia="Arial" w:hAnsi="Arial"/>
          <w:sz w:val="18"/>
          <w:szCs w:val="18"/>
          <w:b w:val="1"/>
          <w:bCs w:val="1"/>
          <w:color w:val="auto"/>
        </w:rPr>
        <w:t>g</w:t>
      </w:r>
      <w:r>
        <w:rPr>
          <w:rFonts w:ascii="Times New Roman" w:cs="Times New Roman" w:eastAsia="Times New Roman" w:hAnsi="Times New Roman"/>
          <w:sz w:val="18"/>
          <w:szCs w:val="18"/>
          <w:color w:val="auto"/>
        </w:rPr>
        <w:t>8, which is associated with the neuronal AMPARs. Whereas AMPARs are distributed widely in the central nervous system (“CNS”), TARP</w:t>
      </w:r>
      <w:r>
        <w:rPr>
          <w:rFonts w:ascii="Arial" w:cs="Arial" w:eastAsia="Arial" w:hAnsi="Arial"/>
          <w:sz w:val="18"/>
          <w:szCs w:val="18"/>
          <w:b w:val="1"/>
          <w:bCs w:val="1"/>
          <w:color w:val="auto"/>
        </w:rPr>
        <w:t>g</w:t>
      </w:r>
      <w:r>
        <w:rPr>
          <w:rFonts w:ascii="Times New Roman" w:cs="Times New Roman" w:eastAsia="Times New Roman" w:hAnsi="Times New Roman"/>
          <w:sz w:val="18"/>
          <w:szCs w:val="18"/>
          <w:color w:val="auto"/>
        </w:rPr>
        <w:t>8 is expressed only in discrete regions, including the neocortex and mesial temporal lobe, where focal onset seizures (“FOS”) often originate. By contrast, TARP</w:t>
      </w:r>
      <w:r>
        <w:rPr>
          <w:rFonts w:ascii="Arial" w:cs="Arial" w:eastAsia="Arial" w:hAnsi="Arial"/>
          <w:sz w:val="18"/>
          <w:szCs w:val="18"/>
          <w:b w:val="1"/>
          <w:bCs w:val="1"/>
          <w:color w:val="auto"/>
        </w:rPr>
        <w:t>g</w:t>
      </w:r>
      <w:r>
        <w:rPr>
          <w:rFonts w:ascii="Times New Roman" w:cs="Times New Roman" w:eastAsia="Times New Roman" w:hAnsi="Times New Roman"/>
          <w:sz w:val="18"/>
          <w:szCs w:val="18"/>
          <w:color w:val="auto"/>
        </w:rPr>
        <w:t>8 has minimal expression in the hindbrain, where drug effects are often associated with adverse events. As such, we believe RAP-219 has the potential for a differentiated profile as compared to traditional neuroscience medications. Due to the role of AMPA biology in various neurological disorders and our precision approach of selectively targeting TARP</w:t>
      </w:r>
      <w:r>
        <w:rPr>
          <w:rFonts w:ascii="Arial" w:cs="Arial" w:eastAsia="Arial" w:hAnsi="Arial"/>
          <w:sz w:val="18"/>
          <w:szCs w:val="18"/>
          <w:b w:val="1"/>
          <w:bCs w:val="1"/>
          <w:color w:val="auto"/>
        </w:rPr>
        <w:t>g</w:t>
      </w:r>
      <w:r>
        <w:rPr>
          <w:rFonts w:ascii="Times New Roman" w:cs="Times New Roman" w:eastAsia="Times New Roman" w:hAnsi="Times New Roman"/>
          <w:sz w:val="18"/>
          <w:szCs w:val="18"/>
          <w:color w:val="auto"/>
        </w:rPr>
        <w:t>8, we believe RAP-219 has pipeline-in-a-product potential and we are evaluating it as a potentially transformational treatment for patients with FOS, primary generalized tonic-clonic seizures (“PGTCS”), and bipolar mania.</w:t>
      </w:r>
    </w:p>
    <w:p>
      <w:pPr>
        <w:spacing w:after="0" w:line="185"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Several Phase 1 trials in RAP-219 have been conducted in healthy adult volunteers, including a single ascending dose (“SAD”) trial; a multiple ascending dose (“MAD”) trial; a second MAD trial (“MAD-2”), to assess alternative dosing regimens that may accelerate time to reach therapeutic exposure; and a positron emission tomography (“PET”) trial, which utilized a companion PET radiotracer to confirm brain target receptor occupancy (“RO”) and brain region specificity across a range of dosing and exposure levels.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9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firstLine="426"/>
        <w:spacing w:after="0" w:line="252" w:lineRule="auto"/>
        <w:rPr>
          <w:sz w:val="20"/>
          <w:szCs w:val="20"/>
          <w:color w:val="auto"/>
        </w:rPr>
      </w:pPr>
      <w:r>
        <w:rPr>
          <w:rFonts w:ascii="Times New Roman" w:cs="Times New Roman" w:eastAsia="Times New Roman" w:hAnsi="Times New Roman"/>
          <w:sz w:val="18"/>
          <w:szCs w:val="18"/>
          <w:color w:val="auto"/>
        </w:rPr>
        <w:t>In September 2025, we announced positive topline results from our Phase 2a proof-of-concept trial of RAP-219 in adult patients with drug-resistant FOS. The trial met its primary and secondary endpoints. The trial demonstrated a statistically significant reduction in long episodes (“LEs”)—an objective electrographic biomarker for clinical seizure reduction—compared with baseline over the 8-week treatment period. In the trial, RAP-219 also demonstrated a statistically significant and clinically meaningful reduction in clinical seizures compared with baseline. RAP-219 was generally well tolerated. In December 2025, we presented post-hoc analysis from the Phase 2a proof-of-concept trial showing treatment with RAP-219 had consistent effects in the first (weeks 1-4) and second (weeks 5-9) four-week segments of the treatment period. This demonstrates that there was a rapid onset of efficacy, and a consistent reduction in LEs, and a consistent, clinically meaningful reduction in clinical seizures throughout the 8-week treatment period. Following 8-weeks of RAP-219 treatment in the Phase 2a trial, patients entered an 8-week follow-up period to assess the durability effect on LEs and clinical seizures. In April 2026, we presented results from the 8-week follow-up period. Based on pharmacokinetic (“PK”) data collected across our Phase 1 and Phase 2 trials and further supported by population PK modeling, RAP-219 is now estimated to have a 22-day half-life, compared to the prior reported estimate of 14 days. Due to the long half-life, plasma concentrations of RAP-219 remained within the receptor occupancy therapeutic levels over the 8-week follow-up period, resulting in sustained biomarker and clinical responses consistent with the 8-week treatment period. In the first four weeks of follow-up (weeks 9-12), RAP-219 showed even greater reductions in LEs and clinical seizures than were observed during the 8-week treatment period. Clinically meaningful improvements over baseline continued through the second four weeks of follow-up (weeks 13-16). In late 2025, we initiated an open-label long-term safety trial to allow patients enrolled in our Phase 2a proof-of-concept trial in drug-resistant FOS to resume taking RAP-219. Data from the open-label trial are expected in the fourth quarter of 2026. In December 2025, we received U.S. Food and Drug Administration (“FDA”) feedback from an end-of-phase 2 meeting supporting advancement into two Phase 3 trials of RAP-219 in patients with drug-resistant FOS. We are currently enrolling the Phase 3 program.</w:t>
      </w:r>
    </w:p>
    <w:p>
      <w:pPr>
        <w:spacing w:after="0" w:line="191"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are also expanding our epilepsy portfolio into PGTCS, the most common type of generalized seizure and an important next step in addressing unmet need in patients with seizure disorders. With proof-of-concept established in FOS, we plan to initiate a Phase 3 trial in PGTCS in the first half of 2027.</w:t>
      </w:r>
    </w:p>
    <w:p>
      <w:pPr>
        <w:spacing w:after="0" w:line="176" w:lineRule="exact"/>
        <w:rPr>
          <w:sz w:val="20"/>
          <w:szCs w:val="20"/>
          <w:color w:val="auto"/>
        </w:rPr>
      </w:pPr>
    </w:p>
    <w:p>
      <w:pPr>
        <w:jc w:val="both"/>
        <w:ind w:left="300" w:firstLine="426"/>
        <w:spacing w:after="0" w:line="259" w:lineRule="auto"/>
        <w:rPr>
          <w:sz w:val="20"/>
          <w:szCs w:val="20"/>
          <w:color w:val="auto"/>
        </w:rPr>
      </w:pPr>
      <w:r>
        <w:rPr>
          <w:rFonts w:ascii="Times New Roman" w:cs="Times New Roman" w:eastAsia="Times New Roman" w:hAnsi="Times New Roman"/>
          <w:sz w:val="18"/>
          <w:szCs w:val="18"/>
          <w:color w:val="auto"/>
        </w:rPr>
        <w:t>We believe RAP-219 also has therapeutic potential in bipolar disorder. In October 2026, we announced positive topline results from our Phase 2 trial of RAP-219 in adults experiencing acute mania associated with bipolar I disorder (“BD”). The trial met its primary endpoint, with RAP-219 achieving a 3.1-point placebo-adjusted improvement in the Young Mania Rating Scale (“YMRS”) total score at week 3 (mean reduction from baseline of 15.4 points with RAP-219 versus 12.3 points with placebo (p=0.045)), and RAP-219 was well tolerated. These results establish clinical proof-of-concept for RAP-219 and its novel TARP</w:t>
      </w:r>
      <w:r>
        <w:rPr>
          <w:rFonts w:ascii="Arial" w:cs="Arial" w:eastAsia="Arial" w:hAnsi="Arial"/>
          <w:sz w:val="18"/>
          <w:szCs w:val="18"/>
          <w:b w:val="1"/>
          <w:bCs w:val="1"/>
          <w:color w:val="auto"/>
        </w:rPr>
        <w:t>g</w:t>
      </w:r>
      <w:r>
        <w:rPr>
          <w:rFonts w:ascii="Times New Roman" w:cs="Times New Roman" w:eastAsia="Times New Roman" w:hAnsi="Times New Roman"/>
          <w:sz w:val="18"/>
          <w:szCs w:val="18"/>
          <w:color w:val="auto"/>
        </w:rPr>
        <w:t>8-selective mechanism in bipolar mania, supporting progression to Phase 3 trials which are expected to begin in the second half of 2027.</w:t>
      </w:r>
    </w:p>
    <w:p>
      <w:pPr>
        <w:spacing w:after="0" w:line="184" w:lineRule="exact"/>
        <w:rPr>
          <w:sz w:val="20"/>
          <w:szCs w:val="20"/>
          <w:color w:val="auto"/>
        </w:rPr>
      </w:pPr>
    </w:p>
    <w:p>
      <w:pPr>
        <w:jc w:val="both"/>
        <w:ind w:left="300" w:firstLine="426"/>
        <w:spacing w:after="0" w:line="262" w:lineRule="auto"/>
        <w:rPr>
          <w:sz w:val="20"/>
          <w:szCs w:val="20"/>
          <w:color w:val="auto"/>
        </w:rPr>
      </w:pPr>
      <w:r>
        <w:rPr>
          <w:rFonts w:ascii="Times New Roman" w:cs="Times New Roman" w:eastAsia="Times New Roman" w:hAnsi="Times New Roman"/>
          <w:sz w:val="18"/>
          <w:szCs w:val="18"/>
          <w:color w:val="auto"/>
        </w:rPr>
        <w:t xml:space="preserve">We also previously submitted an Investigational New Drug (“IND”) application to the FDA for initiation of a Phase 2 proof-of-concept trial in RAP-219 for the treatment of diabetic peripheral neuropathic pain (“DPNP”), which was placed on clinical hold by the FDA in the fourth quarter of 2024. Following further interactions with the FDA, the FDA removed its clinical hold on the DPNP IND in December 2025. We are deferring further investment in the RAP-219 DPNP program at this time to prioritize our </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6ß4 program, which we believe has significant potential in chronic pain and migraine, as described below.</w:t>
      </w:r>
    </w:p>
    <w:p>
      <w:pPr>
        <w:spacing w:after="0" w:line="179"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Additionally, we continue to develop a long-acting injectable (“LAI”) formulation of RAP-219. We believe an LAI formulation has the potential to improve patient adherence and expand the potential clinical utility across all of the RAP-219 indications. IND-enabling activities are underway and initial Phase 1 PK data are expected in the third quarter of 2027.</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firstLine="426"/>
        <w:spacing w:after="0" w:line="259" w:lineRule="auto"/>
        <w:rPr>
          <w:sz w:val="20"/>
          <w:szCs w:val="20"/>
          <w:color w:val="auto"/>
        </w:rPr>
      </w:pPr>
      <w:r>
        <w:rPr>
          <w:rFonts w:ascii="Times New Roman" w:cs="Times New Roman" w:eastAsia="Times New Roman" w:hAnsi="Times New Roman"/>
          <w:sz w:val="18"/>
          <w:szCs w:val="18"/>
          <w:color w:val="auto"/>
        </w:rPr>
        <w:t xml:space="preserve">We also have two advanced discovery-stage nicotinic acetylcholine receptor (“nAChR”) programs stemming from our RAP technology platform. nAChRs have been clinically validated in patient-reported neuropathic pain and our first advanced discovery-stage nAChR program comprises agonists of the </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6ß4 nAChR. </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6ß4 nAChRs are selectively expressed in sensory neurons, and the </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6 subunit has human genetic validation in chronic pain. We have initiated IND-enabling activities for our </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6ß4 nAChR agonist development candidate, RAP-641, directed at a genetically validated precision target that we are pursuing as a potential novel non-opiate, non-CNS approach for chronic pain and migraine. RAP-641 Phase 1 preliminary results are expected in the second half of 2027. The second advanced discovery-stage nAChR program comprises modulators of the </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9</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10 nAChR. Third-party preclinical genetic data suggest that this nAChR could be an attractive target in treating hearing and vestibular disorders. We continue to leverage our RAP technology platform to discover additional product candidates that we believe have the potential to provide transformative benefits for large patient populations with neurological or psychiatric diseases.</w:t>
      </w:r>
    </w:p>
    <w:p>
      <w:pPr>
        <w:spacing w:after="0" w:line="4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Phase 2 Results and Development Plans</w:t>
      </w:r>
    </w:p>
    <w:p>
      <w:pPr>
        <w:spacing w:after="0" w:line="121" w:lineRule="exact"/>
        <w:rPr>
          <w:sz w:val="20"/>
          <w:szCs w:val="20"/>
          <w:color w:val="auto"/>
        </w:rPr>
      </w:pPr>
    </w:p>
    <w:p>
      <w:pPr>
        <w:jc w:val="both"/>
        <w:ind w:left="300" w:firstLine="426"/>
        <w:spacing w:after="0" w:line="262" w:lineRule="auto"/>
        <w:rPr>
          <w:sz w:val="20"/>
          <w:szCs w:val="20"/>
          <w:color w:val="auto"/>
        </w:rPr>
      </w:pPr>
      <w:r>
        <w:rPr>
          <w:rFonts w:ascii="Times New Roman" w:cs="Times New Roman" w:eastAsia="Times New Roman" w:hAnsi="Times New Roman"/>
          <w:sz w:val="18"/>
          <w:szCs w:val="18"/>
          <w:color w:val="auto"/>
        </w:rPr>
        <w:t>On October 20, 2026, we announced positive topline results from our Phase 2 trial of RAP-219 in adults experiencing acute mania associated with BD. The trial met its primary endpoint, with RAP-219 achieving a 3.1-point placebo-adjusted improvement in the YMRS total score at week 3 (mean reduction from baseline of 15.4 points with RAP-219 versus 12.3 points with placebo (p=0.045)), and RAP-219 was well tolerated. These results establish clinical proof-of-concept for RAP-219 and its novel TARP</w:t>
      </w:r>
      <w:r>
        <w:rPr>
          <w:rFonts w:ascii="Arial" w:cs="Arial" w:eastAsia="Arial" w:hAnsi="Arial"/>
          <w:sz w:val="18"/>
          <w:szCs w:val="18"/>
          <w:b w:val="1"/>
          <w:bCs w:val="1"/>
          <w:color w:val="auto"/>
        </w:rPr>
        <w:t>g</w:t>
      </w:r>
      <w:r>
        <w:rPr>
          <w:rFonts w:ascii="Times New Roman" w:cs="Times New Roman" w:eastAsia="Times New Roman" w:hAnsi="Times New Roman"/>
          <w:sz w:val="18"/>
          <w:szCs w:val="18"/>
          <w:color w:val="auto"/>
        </w:rPr>
        <w:t>8-selective mechanism in bipolar mania, supporting progression to Phase 3 trials which are expected to begin in the second half of 2027.</w:t>
      </w:r>
    </w:p>
    <w:p>
      <w:pPr>
        <w:spacing w:after="0" w:line="179" w:lineRule="exact"/>
        <w:rPr>
          <w:sz w:val="20"/>
          <w:szCs w:val="20"/>
          <w:color w:val="auto"/>
        </w:rPr>
      </w:pPr>
    </w:p>
    <w:p>
      <w:pPr>
        <w:jc w:val="both"/>
        <w:ind w:left="300" w:firstLine="426"/>
        <w:spacing w:after="0" w:line="258" w:lineRule="auto"/>
        <w:rPr>
          <w:sz w:val="20"/>
          <w:szCs w:val="20"/>
          <w:color w:val="auto"/>
        </w:rPr>
      </w:pPr>
      <w:r>
        <w:rPr>
          <w:rFonts w:ascii="Times New Roman" w:cs="Times New Roman" w:eastAsia="Times New Roman" w:hAnsi="Times New Roman"/>
          <w:sz w:val="18"/>
          <w:szCs w:val="18"/>
          <w:color w:val="auto"/>
        </w:rPr>
        <w:t>This randomized, double-blind, placebo-controlled Phase 2 trial, conducted in the United States, enrolled 253 adults with BD experiencing an acute manic episode (YMRS≥25 at baseline). During the screening period, all treatments indicated for BD and all anxiolytics and hypnotics, regardless of the indication, were discontinued. Lorazepam was allowed as a rescue medication at protocol-defined doses, and its use required an adverse event (AE) to be recorded, regardless of whether the symptom(s) were judged to be due to a pre-existing condition or disease manifestation.</w:t>
      </w:r>
    </w:p>
    <w:p>
      <w:pPr>
        <w:spacing w:after="0" w:line="183"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Eligible patients received RAP-219 0.75 mg once daily (following a two- or four-day titration) or placebo for three weeks in an inpatient setting. Mean baseline YMRS total score was 36.9 in the RAP-219 arm and 35.8 in the placebo arm. Topline efficacy and safety data reported are from the 3-week treatment period. Safety data from the 8-week post-treatment period will be presented at a future medical conference.</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RAP-219 Demonstrated Statistically Significant Improvement in Manic Symptoms</w:t>
      </w:r>
    </w:p>
    <w:p>
      <w:pPr>
        <w:spacing w:after="0" w:line="135" w:lineRule="exact"/>
        <w:rPr>
          <w:sz w:val="20"/>
          <w:szCs w:val="20"/>
          <w:color w:val="auto"/>
        </w:rPr>
      </w:pPr>
    </w:p>
    <w:p>
      <w:pPr>
        <w:ind w:left="1240" w:hanging="523"/>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met its primary endpoint, with RAP-219 achieving a statistically significant 3.1-point least squares (“LS”) mean improvement over placebo in YMRS total score at week 3 (p=0.045).</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RAP-219–treated patients had an LS mean decrease of 15.4 points in YMRS total score at week 3 from a baseline of 36.9.</w:t>
      </w:r>
    </w:p>
    <w:p>
      <w:pPr>
        <w:spacing w:after="0" w:line="130"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11 YMRS items improved on RAP-219 compared to placebo at week 3, with improvements in irritability, thought content, disruptive-aggressive behavior, and sexual interest reaching nominal significance (p&lt;0.05).</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RAP-219 showed progressive improvement in the placebo-adjusted YMRS scores over the 3-week treatment period (0.9 at week 1, 2.2 at week 2, and 3.1 at week 3).</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0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hanging="523"/>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RAP-219 also demonstrated a statistically significant improvement in mania severity score versus placebo at week 3 as measured by the Clinical Global Impression—Bipolar Version mania severity scale, the pre-specified secondary endpoint (0.4; p=0.024).</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RAP-219 was Well-Tolerated</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During the 3-week treatment period, based on safety and tolerability data, as of the interim database lock on September 16, 2026:</w:t>
      </w:r>
    </w:p>
    <w:p>
      <w:pPr>
        <w:spacing w:after="0" w:line="131" w:lineRule="exact"/>
        <w:rPr>
          <w:sz w:val="20"/>
          <w:szCs w:val="20"/>
          <w:color w:val="auto"/>
        </w:rPr>
      </w:pPr>
    </w:p>
    <w:p>
      <w:pPr>
        <w:ind w:left="1240" w:right="20" w:hanging="523"/>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of treatment-emergent adverse events (“TEAEs”) was similar between RAP-219 and placebo (51.6% vs 52.8%), as was the incidence of psychiatric TEAEs (34.9% vs 33.1%).</w:t>
      </w:r>
    </w:p>
    <w:p>
      <w:pPr>
        <w:spacing w:after="0" w:line="67"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TEAEs were mild or moderate in severity, and there were no serious adverse events (“SAEs”); 3.2% of patients on RAP-219 discontinued due to a TEAE compared with 0.8% placebo.</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TEAEs observed in ≥5% of participants in either group were agitation, insomnia, restlessness, anxiety, headache, and nausea. Of these, nausea was the only TEAE that was reported ≥2x as often in participants on RAP-219 compared to placebo.</w:t>
      </w:r>
    </w:p>
    <w:p>
      <w:pPr>
        <w:spacing w:after="0" w:line="67"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common TEAE on RAP-219 was agitation, generally occurring in the first week and lasting a median duration of two days in both the RAP-219 and placebo groups. In both groups, this was considered unrelated in &gt;80% of patients.</w:t>
      </w:r>
    </w:p>
    <w:p>
      <w:pPr>
        <w:spacing w:after="0" w:line="67"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commonly associated with current bipolar mania medications, including orthostatic hypotension, akathisia, and extrapyramidal symptoms were not reported. Somnolence was reported less often with RAP-219 (0.8%) than placebo (3.1%).</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below safety analysis set includes all randomized participants who have received at least one dose of study drug (RAP-219 or placebo).</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Treatment Period TEAE Summary</w:t>
            </w:r>
          </w:p>
        </w:tc>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Placebo (N=127)</w:t>
            </w:r>
          </w:p>
        </w:tc>
        <w:tc>
          <w:tcPr>
            <w:tcW w:w="5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RAP-</w:t>
            </w:r>
          </w:p>
        </w:tc>
        <w:tc>
          <w:tcPr>
            <w:tcW w:w="0" w:type="dxa"/>
            <w:vAlign w:val="bottom"/>
          </w:tcPr>
          <w:p>
            <w:pPr>
              <w:spacing w:after="0"/>
              <w:rPr>
                <w:sz w:val="1"/>
                <w:szCs w:val="1"/>
                <w:color w:val="auto"/>
              </w:rPr>
            </w:pPr>
          </w:p>
        </w:tc>
      </w:tr>
      <w:tr>
        <w:trPr>
          <w:trHeight w:val="180"/>
        </w:trPr>
        <w:tc>
          <w:tcPr>
            <w:tcW w:w="3520" w:type="dxa"/>
            <w:vAlign w:val="bottom"/>
            <w:gridSpan w:val="2"/>
            <w:vMerge w:val="continue"/>
          </w:tcPr>
          <w:p>
            <w:pPr>
              <w:spacing w:after="0"/>
              <w:rPr>
                <w:sz w:val="15"/>
                <w:szCs w:val="15"/>
                <w:color w:val="auto"/>
              </w:rPr>
            </w:pPr>
          </w:p>
        </w:tc>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219 (N=126)</w:t>
            </w:r>
          </w:p>
        </w:tc>
        <w:tc>
          <w:tcPr>
            <w:tcW w:w="0" w:type="dxa"/>
            <w:vAlign w:val="bottom"/>
          </w:tcPr>
          <w:p>
            <w:pPr>
              <w:spacing w:after="0"/>
              <w:rPr>
                <w:sz w:val="1"/>
                <w:szCs w:val="1"/>
                <w:color w:val="auto"/>
              </w:rPr>
            </w:pPr>
          </w:p>
        </w:tc>
      </w:tr>
      <w:tr>
        <w:trPr>
          <w:trHeight w:val="203"/>
        </w:trPr>
        <w:tc>
          <w:tcPr>
            <w:tcW w:w="2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Any TEAE, n (%)</w:t>
            </w:r>
          </w:p>
        </w:tc>
        <w:tc>
          <w:tcPr>
            <w:tcW w:w="136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67 (52.8)</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65 (51.6)</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TEAEs leading to drug discontinuation</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 (0.8)</w:t>
            </w:r>
          </w:p>
        </w:tc>
        <w:tc>
          <w:tcPr>
            <w:tcW w:w="100" w:type="dxa"/>
            <w:vAlign w:val="bottom"/>
          </w:tcPr>
          <w:p>
            <w:pPr>
              <w:spacing w:after="0"/>
              <w:rPr>
                <w:sz w:val="18"/>
                <w:szCs w:val="18"/>
                <w:color w:val="auto"/>
              </w:rPr>
            </w:pP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4 (3.2)</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TEAEs leading to dose reduction</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 (0.8)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Mild TEAEs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31 (24.4)</w:t>
            </w:r>
          </w:p>
        </w:tc>
        <w:tc>
          <w:tcPr>
            <w:tcW w:w="100" w:type="dxa"/>
            <w:vAlign w:val="bottom"/>
          </w:tcPr>
          <w:p>
            <w:pPr>
              <w:spacing w:after="0"/>
              <w:rPr>
                <w:sz w:val="18"/>
                <w:szCs w:val="18"/>
                <w:color w:val="auto"/>
              </w:rPr>
            </w:pP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33 (26.2)</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Moderate TEAEs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36 (28.3)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32 (25.4)</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Severe TEAEs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SAEs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3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Any Psychiatric TEAE, n (%)</w:t>
            </w: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gridSpan w:val="3"/>
          </w:tcPr>
          <w:p>
            <w:pPr>
              <w:ind w:left="140"/>
              <w:spacing w:after="0" w:line="191" w:lineRule="exact"/>
              <w:rPr>
                <w:sz w:val="20"/>
                <w:szCs w:val="20"/>
                <w:color w:val="auto"/>
              </w:rPr>
            </w:pPr>
            <w:r>
              <w:rPr>
                <w:rFonts w:ascii="Times New Roman" w:cs="Times New Roman" w:eastAsia="Times New Roman" w:hAnsi="Times New Roman"/>
                <w:sz w:val="18"/>
                <w:szCs w:val="18"/>
                <w:color w:val="auto"/>
              </w:rPr>
              <w:t>42 (33.1)</w:t>
            </w:r>
          </w:p>
        </w:tc>
        <w:tc>
          <w:tcPr>
            <w:tcW w:w="100" w:type="dxa"/>
            <w:vAlign w:val="bottom"/>
          </w:tcPr>
          <w:p>
            <w:pPr>
              <w:spacing w:after="0"/>
              <w:rPr>
                <w:sz w:val="16"/>
                <w:szCs w:val="16"/>
                <w:color w:val="auto"/>
              </w:rPr>
            </w:pPr>
          </w:p>
        </w:tc>
        <w:tc>
          <w:tcPr>
            <w:tcW w:w="1280" w:type="dxa"/>
            <w:vAlign w:val="bottom"/>
            <w:gridSpan w:val="2"/>
          </w:tcPr>
          <w:p>
            <w:pPr>
              <w:ind w:left="520"/>
              <w:spacing w:after="0" w:line="191" w:lineRule="exact"/>
              <w:rPr>
                <w:sz w:val="20"/>
                <w:szCs w:val="20"/>
                <w:color w:val="auto"/>
              </w:rPr>
            </w:pPr>
            <w:r>
              <w:rPr>
                <w:rFonts w:ascii="Times New Roman" w:cs="Times New Roman" w:eastAsia="Times New Roman" w:hAnsi="Times New Roman"/>
                <w:sz w:val="18"/>
                <w:szCs w:val="18"/>
                <w:color w:val="auto"/>
              </w:rPr>
              <w:t>44 (34.9)</w:t>
            </w:r>
          </w:p>
        </w:tc>
        <w:tc>
          <w:tcPr>
            <w:tcW w:w="0" w:type="dxa"/>
            <w:vAlign w:val="bottom"/>
          </w:tcPr>
          <w:p>
            <w:pPr>
              <w:spacing w:after="0"/>
              <w:rPr>
                <w:sz w:val="1"/>
                <w:szCs w:val="1"/>
                <w:color w:val="auto"/>
              </w:rPr>
            </w:pPr>
          </w:p>
        </w:tc>
      </w:tr>
      <w:tr>
        <w:trPr>
          <w:trHeight w:val="173"/>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TEAEs in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5% of participants in either group, n(%), and</w:t>
            </w:r>
          </w:p>
        </w:tc>
        <w:tc>
          <w:tcPr>
            <w:tcW w:w="2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Placebo (N=127)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RAP-219 (N=126)</w:t>
            </w:r>
          </w:p>
        </w:tc>
        <w:tc>
          <w:tcPr>
            <w:tcW w:w="0" w:type="dxa"/>
            <w:vAlign w:val="bottom"/>
          </w:tcPr>
          <w:p>
            <w:pPr>
              <w:spacing w:after="0"/>
              <w:rPr>
                <w:sz w:val="1"/>
                <w:szCs w:val="1"/>
                <w:color w:val="auto"/>
              </w:rPr>
            </w:pPr>
          </w:p>
        </w:tc>
      </w:tr>
      <w:tr>
        <w:trPr>
          <w:trHeight w:val="115"/>
        </w:trPr>
        <w:tc>
          <w:tcPr>
            <w:tcW w:w="3520" w:type="dxa"/>
            <w:vAlign w:val="bottom"/>
            <w:gridSpan w:val="2"/>
            <w:vMerge w:val="continue"/>
          </w:tcPr>
          <w:p>
            <w:pPr>
              <w:spacing w:after="0"/>
              <w:rPr>
                <w:sz w:val="10"/>
                <w:szCs w:val="10"/>
                <w:color w:val="auto"/>
              </w:rPr>
            </w:pPr>
          </w:p>
        </w:tc>
        <w:tc>
          <w:tcPr>
            <w:tcW w:w="2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All</w:t>
            </w:r>
          </w:p>
        </w:tc>
        <w:tc>
          <w:tcPr>
            <w:tcW w:w="540" w:type="dxa"/>
            <w:vAlign w:val="bottom"/>
          </w:tcPr>
          <w:p>
            <w:pPr>
              <w:spacing w:after="0"/>
              <w:rPr>
                <w:sz w:val="10"/>
                <w:szCs w:val="10"/>
                <w:color w:val="auto"/>
              </w:rPr>
            </w:pPr>
          </w:p>
        </w:tc>
        <w:tc>
          <w:tcPr>
            <w:tcW w:w="74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Treatment</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All</w:t>
            </w:r>
          </w:p>
        </w:tc>
        <w:tc>
          <w:tcPr>
            <w:tcW w:w="520" w:type="dxa"/>
            <w:vAlign w:val="bottom"/>
          </w:tcPr>
          <w:p>
            <w:pPr>
              <w:spacing w:after="0"/>
              <w:rPr>
                <w:sz w:val="10"/>
                <w:szCs w:val="10"/>
                <w:color w:val="auto"/>
              </w:rPr>
            </w:pPr>
          </w:p>
        </w:tc>
        <w:tc>
          <w:tcPr>
            <w:tcW w:w="76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Treatment</w:t>
            </w:r>
          </w:p>
        </w:tc>
        <w:tc>
          <w:tcPr>
            <w:tcW w:w="0" w:type="dxa"/>
            <w:vAlign w:val="bottom"/>
          </w:tcPr>
          <w:p>
            <w:pPr>
              <w:spacing w:after="0"/>
              <w:rPr>
                <w:sz w:val="1"/>
                <w:szCs w:val="1"/>
                <w:color w:val="auto"/>
              </w:rPr>
            </w:pPr>
          </w:p>
        </w:tc>
      </w:tr>
      <w:tr>
        <w:trPr>
          <w:trHeight w:val="182"/>
        </w:trPr>
        <w:tc>
          <w:tcPr>
            <w:tcW w:w="3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treatment relatedness</w:t>
            </w:r>
          </w:p>
        </w:tc>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Agitation</w:t>
            </w:r>
          </w:p>
        </w:tc>
        <w:tc>
          <w:tcPr>
            <w:tcW w:w="2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12</w:t>
            </w:r>
          </w:p>
        </w:tc>
        <w:tc>
          <w:tcPr>
            <w:tcW w:w="54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(9.4)</w:t>
            </w: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 (1.6)</w:t>
            </w:r>
          </w:p>
        </w:tc>
        <w:tc>
          <w:tcPr>
            <w:tcW w:w="520" w:type="dxa"/>
            <w:vAlign w:val="bottom"/>
            <w:tcBorders>
              <w:top w:val="single" w:sz="8" w:color="CCEEFF"/>
            </w:tcBorders>
            <w:gridSpan w:val="2"/>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21 (16.7)</w:t>
            </w: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4 (3.2)</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Insomnia</w:t>
            </w:r>
          </w:p>
        </w:tc>
        <w:tc>
          <w:tcPr>
            <w:tcW w:w="274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w w:val="99"/>
              </w:rPr>
              <w:t>19</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(15.0)</w:t>
            </w:r>
          </w:p>
        </w:tc>
        <w:tc>
          <w:tcPr>
            <w:tcW w:w="1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 (0.8)</w:t>
            </w:r>
          </w:p>
        </w:tc>
        <w:tc>
          <w:tcPr>
            <w:tcW w:w="12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18 (14.3)</w:t>
            </w: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4 (3.2)</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Restlessness</w:t>
            </w:r>
          </w:p>
        </w:tc>
        <w:tc>
          <w:tcPr>
            <w:tcW w:w="274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w w:val="99"/>
              </w:rPr>
              <w:t>10</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(7.9)</w:t>
            </w:r>
          </w:p>
        </w:tc>
        <w:tc>
          <w:tcPr>
            <w:tcW w:w="12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11 (8.7)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 (1.6)</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Anxiety</w:t>
            </w:r>
          </w:p>
        </w:tc>
        <w:tc>
          <w:tcPr>
            <w:tcW w:w="328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7 (5.5)</w:t>
            </w:r>
          </w:p>
        </w:tc>
        <w:tc>
          <w:tcPr>
            <w:tcW w:w="1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 (0.8)</w:t>
            </w:r>
          </w:p>
        </w:tc>
        <w:tc>
          <w:tcPr>
            <w:tcW w:w="11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9 (7.1)</w:t>
            </w:r>
          </w:p>
        </w:tc>
        <w:tc>
          <w:tcPr>
            <w:tcW w:w="100" w:type="dxa"/>
            <w:vAlign w:val="bottom"/>
          </w:tcPr>
          <w:p>
            <w:pPr>
              <w:spacing w:after="0"/>
              <w:rPr>
                <w:sz w:val="18"/>
                <w:szCs w:val="18"/>
                <w:color w:val="auto"/>
              </w:rPr>
            </w:pP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 (0.8)</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Headache</w:t>
            </w:r>
          </w:p>
        </w:tc>
        <w:tc>
          <w:tcPr>
            <w:tcW w:w="274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w w:val="99"/>
              </w:rPr>
              <w:t>13</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 (4.7)</w:t>
            </w:r>
          </w:p>
        </w:tc>
        <w:tc>
          <w:tcPr>
            <w:tcW w:w="11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 (5.6)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 (0.8)</w:t>
            </w:r>
          </w:p>
        </w:tc>
        <w:tc>
          <w:tcPr>
            <w:tcW w:w="0" w:type="dxa"/>
            <w:vAlign w:val="bottom"/>
          </w:tcPr>
          <w:p>
            <w:pPr>
              <w:spacing w:after="0"/>
              <w:rPr>
                <w:sz w:val="1"/>
                <w:szCs w:val="1"/>
                <w:color w:val="auto"/>
              </w:rPr>
            </w:pPr>
          </w:p>
        </w:tc>
      </w:tr>
      <w:tr>
        <w:trPr>
          <w:trHeight w:val="23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Nausea</w:t>
            </w:r>
          </w:p>
        </w:tc>
        <w:tc>
          <w:tcPr>
            <w:tcW w:w="328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2 (1.6)</w:t>
            </w:r>
          </w:p>
        </w:tc>
        <w:tc>
          <w:tcPr>
            <w:tcW w:w="1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 (0.8)</w:t>
            </w:r>
          </w:p>
        </w:tc>
        <w:tc>
          <w:tcPr>
            <w:tcW w:w="11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7 (5.6)</w:t>
            </w:r>
          </w:p>
        </w:tc>
        <w:tc>
          <w:tcPr>
            <w:tcW w:w="100" w:type="dxa"/>
            <w:vAlign w:val="bottom"/>
          </w:tcPr>
          <w:p>
            <w:pPr>
              <w:spacing w:after="0"/>
              <w:rPr>
                <w:sz w:val="20"/>
                <w:szCs w:val="20"/>
                <w:color w:val="auto"/>
              </w:rPr>
            </w:pP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4 (3.2)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enrolled 253 patients in the randomized trial, of which, 127 patients were in the placebo group and 126 received RAP-219. Of those patients enrolled, thirty-one patients (24.6%) in the RAP-219 group discontinued the treatment, compared with fifteen (11.8%) in the placebo group. The most common reason for treatment</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70846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7084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discontinuation was withdrawal of consent (16.7% RAP-219, 4.7% placebo). Reasons given for withdrawal of consent (RAP-219, placebo) were: personal reasons or subject decision (7, 2), family reasons (6, 3), wanted to leave the inpatient unit (5, 0), worsening symptoms or wanted to receive care elsewhere (3, 1).</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Next Steps and Upcoming Milestones</w:t>
      </w:r>
    </w:p>
    <w:p>
      <w:pPr>
        <w:spacing w:after="0" w:line="121"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plan to meet with the FDA in the first quarter of 2027 to discuss the Phase 2 data and registrational trial design for RAP-219 in adults experiencing acute mania associated with BD. Initiation of two Phase 3 trials of RAP-219 in acute bipolar mania is expected in the second half of 2027.</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Additional data from the Phase 2 trial will be presented at a future medical meeting.</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Upcoming milestones include:</w:t>
      </w:r>
    </w:p>
    <w:p>
      <w:pPr>
        <w:spacing w:after="0" w:line="131" w:lineRule="exact"/>
        <w:rPr>
          <w:sz w:val="20"/>
          <w:szCs w:val="20"/>
          <w:color w:val="auto"/>
        </w:rPr>
      </w:pPr>
    </w:p>
    <w:p>
      <w:pPr>
        <w:ind w:left="1240" w:hanging="523"/>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 FOCUS 1 and FOCUS 2 pivotal Phase 3 trials are enrolling.</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 open-label long-term safety trial: Initial data from the long-term open-label extension of the Phase 2a trial in focal onset seizures are expected in the fourth quarter of 2026.</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Bipolar mania: End-of-Phase 2 Meeting with the FDA expected in the first quarter of 2027; initiation of two Phase 3 pivotal trials expected in the second half of 2027.</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PGTCS: Phase 3 trial is expected to begin in the first half of 2027.</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LAI: Phase 1 PK data for a long-acting injectable formulation of RAP-219 are expected in the third quarter of 2027.</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RAP-641: Phase 1 preliminary results are expected in the second half of 2027.</w:t>
      </w:r>
    </w:p>
    <w:p>
      <w:pPr>
        <w:spacing w:after="0" w:line="130" w:lineRule="exact"/>
        <w:rPr>
          <w:rFonts w:ascii="Times New Roman" w:cs="Times New Roman" w:eastAsia="Times New Roman" w:hAnsi="Times New Roman"/>
          <w:sz w:val="18"/>
          <w:szCs w:val="18"/>
          <w:color w:val="auto"/>
        </w:rPr>
      </w:pPr>
    </w:p>
    <w:p>
      <w:pPr>
        <w:jc w:val="both"/>
        <w:ind w:left="1240" w:hanging="523"/>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position: As of June 30, 2026, the Company had $436.1 million in cash, cash equivalents and short-term investments, excluding restricted cash, expected to fund operations into the second half of 2029, beyond expected topline data from the Company’s Phase 3 program in focal onset seizures.</w:t>
      </w:r>
    </w:p>
    <w:p>
      <w:pPr>
        <w:spacing w:after="0" w:line="3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CONCURRENT CONVERTIBLE NOTES OFFERING</w:t>
      </w:r>
    </w:p>
    <w:p>
      <w:pPr>
        <w:spacing w:after="0" w:line="229" w:lineRule="exact"/>
        <w:rPr>
          <w:sz w:val="20"/>
          <w:szCs w:val="20"/>
          <w:color w:val="auto"/>
        </w:rPr>
      </w:pPr>
    </w:p>
    <w:p>
      <w:pPr>
        <w:jc w:val="both"/>
        <w:ind w:left="300" w:firstLine="426"/>
        <w:spacing w:after="0" w:line="253" w:lineRule="auto"/>
        <w:rPr>
          <w:sz w:val="20"/>
          <w:szCs w:val="20"/>
          <w:color w:val="auto"/>
        </w:rPr>
      </w:pPr>
      <w:r>
        <w:rPr>
          <w:rFonts w:ascii="Times New Roman" w:cs="Times New Roman" w:eastAsia="Times New Roman" w:hAnsi="Times New Roman"/>
          <w:sz w:val="18"/>
          <w:szCs w:val="18"/>
          <w:color w:val="auto"/>
        </w:rPr>
        <w:t>Concurrently with this offering, we are offering, pursuant to a separate prospectus supplement,     % convertible senior notes due 2032, in an aggregate principal amount of $        , plus up to an additional $        aggregate principal amount of convertible notes that the underwriters of the concurrent convertible notes offering have the option to purchase from us solely to cover over-allotments, if any. The consummation of this offering is not contingent on the consummation of the concurrent convertible notes offering, and the consummation of the concurrent convertible notes offering is not contingent on the consummation of this offering. Accordingly, you should not assume that the concurrent convertible notes offering will be consummated on the terms described in this prospectus supplement, if at all, or that we will receive any additional proceeds from the concurrent convertible notes offering. This prospectus supplement does not constitute an offer to sell, or the solicitation of an offer to buy, any securities being offered in the concurrent convertible notes offering. The prospectus supplement for the concurrent convertible notes offering does not constitute an offer to sell, or the solicitation of an offer to buy any of the shares of common stock that we are offering pursuant to this prospectus supplement. See “The Concurrent Convertible Notes Offering” for additional information.</w:t>
      </w: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229"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A certain investor has indicated its intent to purchase     shares of common stock in the concurrent private placement, which will be exempt from the registration requirements of the Securities Act, at a per share price equal to the public offering price of our common stock in this offering. There has not been a binding agreement or commitment to purchase in the concurrent private placement and there can be no assurance as to the size or</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87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spacing w:after="0" w:line="258" w:lineRule="auto"/>
        <w:rPr>
          <w:sz w:val="20"/>
          <w:szCs w:val="20"/>
          <w:color w:val="auto"/>
        </w:rPr>
      </w:pPr>
      <w:r>
        <w:rPr>
          <w:rFonts w:ascii="Times New Roman" w:cs="Times New Roman" w:eastAsia="Times New Roman" w:hAnsi="Times New Roman"/>
          <w:sz w:val="18"/>
          <w:szCs w:val="18"/>
          <w:color w:val="auto"/>
        </w:rPr>
        <w:t>terms of the concurrent private placement, if any. The consummation of the concurrent private placement will be contingent and conditioned upon consummation of this offering and the satisfaction of certain other customary conditions. However, the consummation of this offering is not contingent on the consummation of the concurrent private placement. Morgan Stanley &amp; Co. LLC, Leerink Partners LLC and Evercore Group L.L.C. are acting as placement agents in connection with the concurrent private placement and will receive a placement agent fee equal to 6% of the total purchase price of the private placement shares.</w:t>
      </w:r>
    </w:p>
    <w:p>
      <w:pPr>
        <w:spacing w:after="0" w:line="3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FINANCIAL UPDATE</w:t>
      </w:r>
    </w:p>
    <w:p>
      <w:pPr>
        <w:spacing w:after="0" w:line="229"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As of September 30, 2026, we estimate that we had cash, cash equivalents and short-term investments, excluding restricted cash, of approximately $395.0 million.</w:t>
      </w:r>
    </w:p>
    <w:p>
      <w:pPr>
        <w:spacing w:after="0" w:line="162" w:lineRule="exact"/>
        <w:rPr>
          <w:sz w:val="20"/>
          <w:szCs w:val="20"/>
          <w:color w:val="auto"/>
        </w:rPr>
      </w:pPr>
    </w:p>
    <w:p>
      <w:pPr>
        <w:jc w:val="both"/>
        <w:ind w:left="300" w:firstLine="426"/>
        <w:spacing w:after="0" w:line="253" w:lineRule="auto"/>
        <w:rPr>
          <w:sz w:val="20"/>
          <w:szCs w:val="20"/>
          <w:color w:val="auto"/>
        </w:rPr>
      </w:pPr>
      <w:r>
        <w:rPr>
          <w:rFonts w:ascii="Times New Roman" w:cs="Times New Roman" w:eastAsia="Times New Roman" w:hAnsi="Times New Roman"/>
          <w:sz w:val="18"/>
          <w:szCs w:val="18"/>
          <w:color w:val="auto"/>
        </w:rPr>
        <w:t>This financial data as of September 30, 2026 is preliminary and may change, and is based on information available to management as of the date of this prospectus supplement and is subject to completion by management of our financial statements as of and for the three months ended September 30, 2026. There can be no assurance that our final cash position as of September 30, 2026 will not differ from this estimate, including as a result of review adjustments and any such changes could be material. The preliminary financial data included in this prospectus supplement has been prepared by, and is the responsibility of, Rapport Therapeutics, Inc.’s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 This estimate should not be viewed as a substitute for financial statements prepared in accordance with accounting principles generally accepted in the United States and is not necessarily indicative of the results to be achieved in any future period. Complete results will be included in our Quarterly Report on Form 10-Q for the three months ended September 30, 2026.</w:t>
      </w: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229" w:lineRule="exact"/>
        <w:rPr>
          <w:sz w:val="20"/>
          <w:szCs w:val="20"/>
          <w:color w:val="auto"/>
        </w:rPr>
      </w:pPr>
    </w:p>
    <w:p>
      <w:pPr>
        <w:jc w:val="both"/>
        <w:ind w:left="300" w:firstLine="426"/>
        <w:spacing w:after="0" w:line="255"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in February 2022 under the name Precision Neuroscience NewCo, Inc., and changed our name to Rapport Therapeutics, Inc. in October 2022. Our principal executive offices are located at 99 High Street, Suite 2100, Boston, MA 02110, and our telephone number is (857) 321-8020. We have one subsidiary, Rapport Therapeutics Securities Corporation, formed in December 2022 under the laws of the Commonwealth of Massachusetts. Our website address is </w:t>
      </w:r>
      <w:r>
        <w:rPr>
          <w:rFonts w:ascii="Times New Roman" w:cs="Times New Roman" w:eastAsia="Times New Roman" w:hAnsi="Times New Roman"/>
          <w:sz w:val="18"/>
          <w:szCs w:val="18"/>
          <w:i w:val="1"/>
          <w:iCs w:val="1"/>
          <w:color w:val="auto"/>
        </w:rPr>
        <w:t>www.rapportrx.com</w:t>
      </w:r>
      <w:r>
        <w:rPr>
          <w:rFonts w:ascii="Times New Roman" w:cs="Times New Roman" w:eastAsia="Times New Roman" w:hAnsi="Times New Roman"/>
          <w:sz w:val="18"/>
          <w:szCs w:val="18"/>
          <w:color w:val="auto"/>
        </w:rPr>
        <w:t>. The information contained in, or that can be accessed through, our website, does not constitute a part of this prospectus supplement, and is not incorporated by reference in this prospectus supplement or in any other filings we make with the SEC. We have included our website address in this prospectus supplement solely as an inactive textual reference. Our common stock trades on The Nasdaq Global Market under the symbol “RAPP.”</w:t>
      </w:r>
    </w:p>
    <w:p>
      <w:pPr>
        <w:spacing w:after="0" w:line="200" w:lineRule="exact"/>
        <w:rPr>
          <w:sz w:val="20"/>
          <w:szCs w:val="20"/>
          <w:color w:val="auto"/>
        </w:rPr>
      </w:pPr>
    </w:p>
    <w:p>
      <w:pPr>
        <w:spacing w:after="0" w:line="20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ind w:left="1240" w:hanging="52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50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hanging="523"/>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the Sarbanes-Oxley Act of 2002; and</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jc w:val="both"/>
        <w:ind w:left="300" w:firstLine="426"/>
        <w:spacing w:after="0" w:line="255"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initial public offering; (iii) the date on which we have issued more than $1.0 billion in nonconvertible debt during the previous three years; or</w:t>
      </w:r>
    </w:p>
    <w:p>
      <w:pPr>
        <w:spacing w:after="0" w:line="3" w:lineRule="exact"/>
        <w:rPr>
          <w:sz w:val="20"/>
          <w:szCs w:val="20"/>
          <w:color w:val="auto"/>
        </w:rPr>
      </w:pPr>
    </w:p>
    <w:p>
      <w:pPr>
        <w:jc w:val="both"/>
        <w:ind w:left="300" w:hanging="2"/>
        <w:spacing w:after="0" w:line="255" w:lineRule="auto"/>
        <w:tabs>
          <w:tab w:leader="none" w:pos="6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rules of the SEC. We could be an emerging growth company until as late as December 31, 2029, but we expect to lose that status earlier since the aggregate market value of our shares of common stock held by non-affiliates exceeded $700 million on the last business day of our second quarter in 2026.</w:t>
      </w:r>
    </w:p>
    <w:p>
      <w:pPr>
        <w:spacing w:after="0" w:line="186"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w:t>
      </w:r>
    </w:p>
    <w:p>
      <w:pPr>
        <w:spacing w:after="0" w:line="188" w:lineRule="exact"/>
        <w:rPr>
          <w:sz w:val="20"/>
          <w:szCs w:val="20"/>
          <w:color w:val="auto"/>
        </w:rPr>
      </w:pPr>
    </w:p>
    <w:p>
      <w:pPr>
        <w:jc w:val="both"/>
        <w:ind w:left="300" w:firstLine="426"/>
        <w:spacing w:after="0" w:line="253"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was less than $700 million as of June 30, 2025 and our annual revenue was less than $100 million during the most recently completed fiscal year. We may continue to be a smaller reporting company after this offering if either (i) the market value of our shares held by non-affiliates is less than $250 million as of the last business day of the most recently completed second fiscal quarter or (ii) our annual revenue was less than $100 million during the most recently completed fiscal year and the market value of our shares held by nonaffiliates is less than $700 million as of the last business day of the most recently completed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However, since the aggregate market value of our shares of common stock held by non-affiliates exceeded $700 million on the last business day of our second quarter in 2026, beginning with our Quarterly Report on Form 10-Q for the quarter ended March 31, 2027, we will no longer be eligible to use the scaled disclosure accommodations available to smaller reporting companies and will become subject to additional disclosure requirements.</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24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5820" w:val="left"/>
          <w:tab w:leader="none" w:pos="6680" w:val="left"/>
        </w:tabs>
        <w:rPr>
          <w:sz w:val="20"/>
          <w:szCs w:val="20"/>
          <w:color w:val="auto"/>
        </w:rPr>
      </w:pPr>
      <w:r>
        <w:rPr>
          <w:rFonts w:ascii="Times New Roman" w:cs="Times New Roman" w:eastAsia="Times New Roman" w:hAnsi="Times New Roman"/>
          <w:sz w:val="18"/>
          <w:szCs w:val="18"/>
          <w:b w:val="1"/>
          <w:bCs w:val="1"/>
          <w:color w:val="auto"/>
        </w:rPr>
        <w:t>Common stock offered by us</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of shares.</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 common stock offered by us</w:t>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0" w:right="2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after this offering and the concurrent private placement</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from the date of this prospectus supplement to purchase up to $        of additional shares of our common stock.</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certain investor has indicated its intent to purchase         shares of common stock in the concurrent private placement, which will be exempt from the registration requirements of the Securities Act, at a per share price equal to the public offering price of our common stock in this offering. There has not been a binding agreement or commitment to purchase in the concurrent private placement and there can be no assurance as to the size or terms of the concurrent private placement, if any. The consummation of the concurrent private placement will be contingent and conditioned upon consummation of this offering and the satisfaction of certain other customary conditions. However, the consummation of this offering is not contingent on the consummation of the concurrent private placement. Morgan Stanley &amp; Co. LLC, Leerink Partners LLC and Evercore Group L.L.C. are acting as placement agents in connection with the concurrent private placement and will receive a placement agent fee equal to 6% of the total purchase price of the private placement shares.</w:t>
      </w:r>
    </w:p>
    <w:p>
      <w:pPr>
        <w:spacing w:after="0" w:line="262" w:lineRule="exact"/>
        <w:rPr>
          <w:sz w:val="20"/>
          <w:szCs w:val="20"/>
          <w:color w:val="auto"/>
        </w:rPr>
      </w:pPr>
    </w:p>
    <w:p>
      <w:pPr>
        <w:ind w:right="120"/>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(or        shares if the underwriters exercise their option to purchase additional shares in full).</w:t>
      </w:r>
    </w:p>
    <w:p>
      <w:pPr>
        <w:spacing w:after="0" w:line="1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and, if it is consummated, the concurrent private placement will be approximately $        million, or approximately $        million if the underwriters exercise their option to purchase additional shares in full, after deducting the underwriting discounts and commissions, placement agent fees and estimated offering and private placement expenses payable by us. We currently intend to use the net proceeds from this offering, and, if consummated, the concurrent private placement, and if consummated,</w:t>
      </w:r>
    </w:p>
    <w:p>
      <w:pPr>
        <w:spacing w:after="0" w:line="200" w:lineRule="exact"/>
        <w:rPr>
          <w:sz w:val="20"/>
          <w:szCs w:val="20"/>
          <w:color w:val="auto"/>
        </w:rPr>
      </w:pPr>
    </w:p>
    <w:p>
      <w:pPr>
        <w:sectPr>
          <w:pgSz w:w="11900" w:h="16838" w:orient="portrait"/>
          <w:cols w:equalWidth="0" w:num="2">
            <w:col w:w="5120" w:space="720"/>
            <w:col w:w="5100"/>
          </w:cols>
          <w:pgMar w:left="320" w:top="455" w:right="639" w:bottom="1440" w:gutter="0" w:footer="0" w:header="0"/>
          <w:type w:val="continuous"/>
        </w:sectPr>
      </w:pPr>
    </w:p>
    <w:p>
      <w:pPr>
        <w:spacing w:after="0" w:line="1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S-8</w:t>
      </w:r>
    </w:p>
    <w:p>
      <w:pPr>
        <w:sectPr>
          <w:pgSz w:w="11900" w:h="16838" w:orient="portrait"/>
          <w:cols w:equalWidth="0" w:num="1">
            <w:col w:w="10940"/>
          </w:cols>
          <w:pgMar w:left="320" w:top="455" w:right="6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847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4847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64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the concurrent convertible notes offering, together with our existing</w:t>
            </w:r>
          </w:p>
        </w:tc>
      </w:tr>
      <w:tr>
        <w:trPr>
          <w:trHeight w:val="216"/>
        </w:trPr>
        <w:tc>
          <w:tcPr>
            <w:tcW w:w="4220" w:type="dxa"/>
            <w:vAlign w:val="bottom"/>
          </w:tcPr>
          <w:p>
            <w:pPr>
              <w:spacing w:after="0"/>
              <w:rPr>
                <w:sz w:val="18"/>
                <w:szCs w:val="18"/>
                <w:color w:val="auto"/>
              </w:rPr>
            </w:pPr>
          </w:p>
        </w:tc>
        <w:tc>
          <w:tcPr>
            <w:tcW w:w="64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cash, cash equivalents and short- term investments, to primarily fund</w:t>
            </w:r>
          </w:p>
        </w:tc>
      </w:tr>
      <w:tr>
        <w:trPr>
          <w:trHeight w:val="216"/>
        </w:trPr>
        <w:tc>
          <w:tcPr>
            <w:tcW w:w="4220" w:type="dxa"/>
            <w:vAlign w:val="bottom"/>
          </w:tcPr>
          <w:p>
            <w:pPr>
              <w:spacing w:after="0"/>
              <w:rPr>
                <w:sz w:val="18"/>
                <w:szCs w:val="18"/>
                <w:color w:val="auto"/>
              </w:rPr>
            </w:pPr>
          </w:p>
        </w:tc>
        <w:tc>
          <w:tcPr>
            <w:tcW w:w="64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our ongoing and planned clinical trials advancing RAP-219, for other</w:t>
            </w:r>
          </w:p>
        </w:tc>
      </w:tr>
      <w:tr>
        <w:trPr>
          <w:trHeight w:val="216"/>
        </w:trPr>
        <w:tc>
          <w:tcPr>
            <w:tcW w:w="4220" w:type="dxa"/>
            <w:vAlign w:val="bottom"/>
          </w:tcPr>
          <w:p>
            <w:pPr>
              <w:spacing w:after="0"/>
              <w:rPr>
                <w:sz w:val="18"/>
                <w:szCs w:val="18"/>
                <w:color w:val="auto"/>
              </w:rPr>
            </w:pPr>
          </w:p>
        </w:tc>
        <w:tc>
          <w:tcPr>
            <w:tcW w:w="64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research and development, and for working capital and general</w:t>
            </w:r>
          </w:p>
        </w:tc>
      </w:tr>
      <w:tr>
        <w:trPr>
          <w:trHeight w:val="216"/>
        </w:trPr>
        <w:tc>
          <w:tcPr>
            <w:tcW w:w="4220" w:type="dxa"/>
            <w:vAlign w:val="bottom"/>
          </w:tcPr>
          <w:p>
            <w:pPr>
              <w:spacing w:after="0"/>
              <w:rPr>
                <w:sz w:val="18"/>
                <w:szCs w:val="18"/>
                <w:color w:val="auto"/>
              </w:rPr>
            </w:pPr>
          </w:p>
        </w:tc>
        <w:tc>
          <w:tcPr>
            <w:tcW w:w="64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corporate purposes. See the section titled “Use of Proceeds” for</w:t>
            </w:r>
          </w:p>
        </w:tc>
      </w:tr>
      <w:tr>
        <w:trPr>
          <w:trHeight w:val="234"/>
        </w:trPr>
        <w:tc>
          <w:tcPr>
            <w:tcW w:w="4220" w:type="dxa"/>
            <w:vAlign w:val="bottom"/>
          </w:tcPr>
          <w:p>
            <w:pPr>
              <w:spacing w:after="0"/>
              <w:rPr>
                <w:sz w:val="20"/>
                <w:szCs w:val="20"/>
                <w:color w:val="auto"/>
              </w:rPr>
            </w:pPr>
          </w:p>
        </w:tc>
        <w:tc>
          <w:tcPr>
            <w:tcW w:w="39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additional information.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65"/>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Concurrent convertible notes offering</w:t>
            </w:r>
          </w:p>
        </w:tc>
        <w:tc>
          <w:tcPr>
            <w:tcW w:w="64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w w:val="99"/>
              </w:rPr>
              <w:t>Concurrently with this offering, we are offering, pursuant to a separate</w:t>
            </w:r>
          </w:p>
        </w:tc>
      </w:tr>
      <w:tr>
        <w:trPr>
          <w:trHeight w:val="216"/>
        </w:trPr>
        <w:tc>
          <w:tcPr>
            <w:tcW w:w="4220" w:type="dxa"/>
            <w:vAlign w:val="bottom"/>
          </w:tcPr>
          <w:p>
            <w:pPr>
              <w:spacing w:after="0"/>
              <w:rPr>
                <w:sz w:val="18"/>
                <w:szCs w:val="18"/>
                <w:color w:val="auto"/>
              </w:rPr>
            </w:pPr>
          </w:p>
        </w:tc>
        <w:tc>
          <w:tcPr>
            <w:tcW w:w="64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prospectus supplement,       % convertible senior notes due 2032, in</w:t>
            </w:r>
          </w:p>
        </w:tc>
      </w:tr>
      <w:tr>
        <w:trPr>
          <w:trHeight w:val="216"/>
        </w:trPr>
        <w:tc>
          <w:tcPr>
            <w:tcW w:w="4220" w:type="dxa"/>
            <w:vAlign w:val="bottom"/>
          </w:tcPr>
          <w:p>
            <w:pPr>
              <w:spacing w:after="0"/>
              <w:rPr>
                <w:sz w:val="18"/>
                <w:szCs w:val="18"/>
                <w:color w:val="auto"/>
              </w:rPr>
            </w:pPr>
          </w:p>
        </w:tc>
        <w:tc>
          <w:tcPr>
            <w:tcW w:w="39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 xml:space="preserve">an aggregate principal amount of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   , plus up to an additional</w:t>
            </w:r>
          </w:p>
        </w:tc>
      </w:tr>
      <w:tr>
        <w:trPr>
          <w:trHeight w:val="216"/>
        </w:trPr>
        <w:tc>
          <w:tcPr>
            <w:tcW w:w="4220" w:type="dxa"/>
            <w:vAlign w:val="bottom"/>
          </w:tcPr>
          <w:p>
            <w:pPr>
              <w:spacing w:after="0"/>
              <w:rPr>
                <w:sz w:val="18"/>
                <w:szCs w:val="18"/>
                <w:color w:val="auto"/>
              </w:rPr>
            </w:pPr>
          </w:p>
        </w:tc>
        <w:tc>
          <w:tcPr>
            <w:tcW w:w="20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 xml:space="preserve">$          </w:t>
            </w:r>
          </w:p>
        </w:tc>
        <w:tc>
          <w:tcPr>
            <w:tcW w:w="4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 principal amount of convertible notes that the</w:t>
            </w:r>
          </w:p>
        </w:tc>
      </w:tr>
      <w:tr>
        <w:trPr>
          <w:trHeight w:val="216"/>
        </w:trPr>
        <w:tc>
          <w:tcPr>
            <w:tcW w:w="4220" w:type="dxa"/>
            <w:vAlign w:val="bottom"/>
          </w:tcPr>
          <w:p>
            <w:pPr>
              <w:spacing w:after="0"/>
              <w:rPr>
                <w:sz w:val="18"/>
                <w:szCs w:val="18"/>
                <w:color w:val="auto"/>
              </w:rPr>
            </w:pPr>
          </w:p>
        </w:tc>
        <w:tc>
          <w:tcPr>
            <w:tcW w:w="64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underwriters of the concurrent convertible notes offering have the</w:t>
            </w:r>
          </w:p>
        </w:tc>
      </w:tr>
      <w:tr>
        <w:trPr>
          <w:trHeight w:val="216"/>
        </w:trPr>
        <w:tc>
          <w:tcPr>
            <w:tcW w:w="4220" w:type="dxa"/>
            <w:vAlign w:val="bottom"/>
          </w:tcPr>
          <w:p>
            <w:pPr>
              <w:spacing w:after="0"/>
              <w:rPr>
                <w:sz w:val="18"/>
                <w:szCs w:val="18"/>
                <w:color w:val="auto"/>
              </w:rPr>
            </w:pPr>
          </w:p>
        </w:tc>
        <w:tc>
          <w:tcPr>
            <w:tcW w:w="64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option to purchase from us to cover over-allotments, if any. We</w:t>
            </w:r>
          </w:p>
        </w:tc>
      </w:tr>
      <w:tr>
        <w:trPr>
          <w:trHeight w:val="216"/>
        </w:trPr>
        <w:tc>
          <w:tcPr>
            <w:tcW w:w="4220" w:type="dxa"/>
            <w:vAlign w:val="bottom"/>
          </w:tcPr>
          <w:p>
            <w:pPr>
              <w:spacing w:after="0"/>
              <w:rPr>
                <w:sz w:val="18"/>
                <w:szCs w:val="18"/>
                <w:color w:val="auto"/>
              </w:rPr>
            </w:pPr>
          </w:p>
        </w:tc>
        <w:tc>
          <w:tcPr>
            <w:tcW w:w="64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estimate that the net proceeds from the concurrent convertible notes</w:t>
            </w:r>
          </w:p>
        </w:tc>
      </w:tr>
      <w:tr>
        <w:trPr>
          <w:trHeight w:val="216"/>
        </w:trPr>
        <w:tc>
          <w:tcPr>
            <w:tcW w:w="4220" w:type="dxa"/>
            <w:vAlign w:val="bottom"/>
          </w:tcPr>
          <w:p>
            <w:pPr>
              <w:spacing w:after="0"/>
              <w:rPr>
                <w:sz w:val="18"/>
                <w:szCs w:val="18"/>
                <w:color w:val="auto"/>
              </w:rPr>
            </w:pPr>
          </w:p>
        </w:tc>
        <w:tc>
          <w:tcPr>
            <w:tcW w:w="39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 xml:space="preserve">offering will be approximately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million, or approximately</w:t>
            </w:r>
          </w:p>
        </w:tc>
      </w:tr>
      <w:tr>
        <w:trPr>
          <w:trHeight w:val="216"/>
        </w:trPr>
        <w:tc>
          <w:tcPr>
            <w:tcW w:w="4220" w:type="dxa"/>
            <w:vAlign w:val="bottom"/>
          </w:tcPr>
          <w:p>
            <w:pPr>
              <w:spacing w:after="0"/>
              <w:rPr>
                <w:sz w:val="18"/>
                <w:szCs w:val="18"/>
                <w:color w:val="auto"/>
              </w:rPr>
            </w:pPr>
          </w:p>
        </w:tc>
        <w:tc>
          <w:tcPr>
            <w:tcW w:w="20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 xml:space="preserve">$          </w:t>
            </w:r>
          </w:p>
        </w:tc>
        <w:tc>
          <w:tcPr>
            <w:tcW w:w="4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million if the underwriters of the concurrent convertible</w:t>
            </w:r>
          </w:p>
        </w:tc>
      </w:tr>
      <w:tr>
        <w:trPr>
          <w:trHeight w:val="216"/>
        </w:trPr>
        <w:tc>
          <w:tcPr>
            <w:tcW w:w="4220" w:type="dxa"/>
            <w:vAlign w:val="bottom"/>
          </w:tcPr>
          <w:p>
            <w:pPr>
              <w:spacing w:after="0"/>
              <w:rPr>
                <w:sz w:val="18"/>
                <w:szCs w:val="18"/>
                <w:color w:val="auto"/>
              </w:rPr>
            </w:pPr>
          </w:p>
        </w:tc>
        <w:tc>
          <w:tcPr>
            <w:tcW w:w="64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notes offering exercise in full their over-allotment option, after</w:t>
            </w:r>
          </w:p>
        </w:tc>
      </w:tr>
      <w:tr>
        <w:trPr>
          <w:trHeight w:val="216"/>
        </w:trPr>
        <w:tc>
          <w:tcPr>
            <w:tcW w:w="4220" w:type="dxa"/>
            <w:vAlign w:val="bottom"/>
          </w:tcPr>
          <w:p>
            <w:pPr>
              <w:spacing w:after="0"/>
              <w:rPr>
                <w:sz w:val="18"/>
                <w:szCs w:val="18"/>
                <w:color w:val="auto"/>
              </w:rPr>
            </w:pPr>
          </w:p>
        </w:tc>
        <w:tc>
          <w:tcPr>
            <w:tcW w:w="640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deducting the underwriting discounts and commissions and estimated</w:t>
            </w:r>
          </w:p>
        </w:tc>
      </w:tr>
      <w:tr>
        <w:trPr>
          <w:trHeight w:val="234"/>
        </w:trPr>
        <w:tc>
          <w:tcPr>
            <w:tcW w:w="4220" w:type="dxa"/>
            <w:vAlign w:val="bottom"/>
          </w:tcPr>
          <w:p>
            <w:pPr>
              <w:spacing w:after="0"/>
              <w:rPr>
                <w:sz w:val="20"/>
                <w:szCs w:val="20"/>
                <w:color w:val="auto"/>
              </w:rPr>
            </w:pPr>
          </w:p>
        </w:tc>
        <w:tc>
          <w:tcPr>
            <w:tcW w:w="39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offering expenses payable by us.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pacing w:after="0" w:line="4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The consummation of this offering is not contingent on the</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consummation of the concurrent convertible notes offering, and the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consummation of the concurrent convertible notes offering is not</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contingent on the consummation of this offering. Accordingly, you</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should not assume that the concurrent convertible notes offering will</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be consummated on the terms described in this prospectus</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supplement, if at all, or that we will receive any additional proceeds</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from the concurrent convertible notes offering. This prospectus</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supplement does not constitute an offer to sell, or the solicitation of an</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offer to buy, any securities being offered in the concurrent convertible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notes offering. The prospectus supplement for the concurrent</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convertible notes offering does not constitute an offer to sell, or the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solicitation of an offer to buy any of the shares of common stock that</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we are offering pursuant to this prospectus supplement. See “The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Concurrent Convertible Notes Offering” for additional information.</w:t>
      </w: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20"/>
          </w:cols>
          <w:pgMar w:left="320" w:top="455" w:right="6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58159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Investing in our common stock involves significant risks. You should read the “Risk Factors” section of this prospectus supplement beginning on page S-11 and page 1 of the accompanying prospectus, and under similar headings in the other documents, including our Annual Report on Form 10-K for the year ended December 31, 2025, our Quarterly Reports on Form 10-Q for the quarters ended March 31, 2026 and June 30, 2026, and any of our subsequent Quarterly Reports on Form 10-Q and Current Reports on Form 8-K, as applicable, incorporated by reference into this prospectus supplement and the accompanying prospectus, for a discussion of factors to consider carefully before deciding to invest in shares of our common stock.</w:t>
      </w:r>
    </w:p>
    <w:p>
      <w:pPr>
        <w:spacing w:after="0" w:line="39" w:lineRule="exact"/>
        <w:rPr>
          <w:sz w:val="20"/>
          <w:szCs w:val="20"/>
          <w:color w:val="auto"/>
        </w:rPr>
      </w:pPr>
    </w:p>
    <w:p>
      <w:pPr>
        <w:sectPr>
          <w:pgSz w:w="11900" w:h="16838" w:orient="portrait"/>
          <w:cols w:equalWidth="0" w:num="2">
            <w:col w:w="5120" w:space="720"/>
            <w:col w:w="51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“RAPP”</w:t>
      </w:r>
    </w:p>
    <w:p>
      <w:pPr>
        <w:spacing w:after="0" w:line="200" w:lineRule="exact"/>
        <w:rPr>
          <w:sz w:val="20"/>
          <w:szCs w:val="20"/>
          <w:color w:val="auto"/>
        </w:rPr>
      </w:pPr>
    </w:p>
    <w:p>
      <w:pPr>
        <w:sectPr>
          <w:pgSz w:w="11900" w:h="16838" w:orient="portrait"/>
          <w:cols w:equalWidth="0" w:num="2">
            <w:col w:w="5120" w:space="720"/>
            <w:col w:w="5100"/>
          </w:cols>
          <w:pgMar w:left="320" w:top="455" w:right="639" w:bottom="1440" w:gutter="0" w:footer="0" w:header="0"/>
          <w:type w:val="continuous"/>
        </w:sectPr>
      </w:pPr>
    </w:p>
    <w:p>
      <w:pPr>
        <w:spacing w:after="0" w:line="37"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All information in this prospectus supplement related to the number of shares of our common stock to be outstanding immediately after this offering is based on 47,955,079 shares of our common stock outstanding as of June 30, 2026 (which includes 317,771 shares of unvested restricted common stock outstanding as of June 30, 2026). The number of shares outstanding as of June 30, 2026 as used throughout this prospectus supplement, unless otherwise indicated, excludes:</w:t>
      </w:r>
    </w:p>
    <w:p>
      <w:pPr>
        <w:spacing w:after="0" w:line="85" w:lineRule="exact"/>
        <w:rPr>
          <w:sz w:val="20"/>
          <w:szCs w:val="20"/>
          <w:color w:val="auto"/>
        </w:rPr>
      </w:pPr>
    </w:p>
    <w:p>
      <w:pPr>
        <w:ind w:left="1240" w:right="20" w:hanging="523"/>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8,030,456 shares of common stock issuable upon the exercise of stock options outstanding as of June 30, 2026, with a weighted average exercise price of $16.43 per share;</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16,993 shares of common stock issuable upon the vesting of restricted stock units outstanding as of June 30, 2026;</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47,750 shares of common stock issuable upon the vesting of performance-based stock units outstanding as of June 30, 2026;</w:t>
      </w:r>
    </w:p>
    <w:p>
      <w:pPr>
        <w:spacing w:after="0" w:line="130"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2,246,865 shares of common stock available for future issuance under our 2024 Stock Option and Incentive Plan as of June 30, 2026, as well as any increases in the number of shares of common stock reserved for issuance thereunder;</w:t>
      </w:r>
    </w:p>
    <w:p>
      <w:pPr>
        <w:spacing w:after="0" w:line="67"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690,045 shares of common stock available for future issuance under our 2024 Employee Stock Purchase Plan as of June 30, 2026, as well as any increases in the number of shares of common stock reserved for issuance thereunder; and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issuable upon conversion of the convertible notes issued in the concurrent convertible notes offering.</w:t>
      </w:r>
    </w:p>
    <w:p>
      <w:pPr>
        <w:spacing w:after="0" w:line="225"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Unless otherwise stated, all information contained in this prospectus supplement assumes no exercise of stock options or the vesting and settlement of restricted stock units described above after June 30, 2026 and no exercise of the underwriters’ option to purchase additional shares of common stock from us but includes the issuance of the shares to be issued in the concurrent private placement.</w:t>
      </w:r>
    </w:p>
    <w:p>
      <w:pPr>
        <w:spacing w:after="0" w:line="176"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In addition, the number of shares outstanding immediately after this offering does not include shares of common stock that we may offer and sell in the future pursuant to our sales agreement (the “Sales Agreement”), with Leerink Partners LLC and Cantor Fitzgerald &amp; Co., as sales agents.</w:t>
      </w:r>
    </w:p>
    <w:p>
      <w:pPr>
        <w:spacing w:after="0" w:line="162"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However, we cannot sell shares pursuant to the Sales Agreement during the period from the date of this prospectus supplement continuing through the date 30 days after the date of this prospectus supplement. See “Underwriters” for additional information regarding lock-up arrangements.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40"/>
          </w:cols>
          <w:pgMar w:left="320" w:top="455" w:right="6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you decide to invest in our common stock, you should carefully consider the risks and uncertainties described below and in Part I, Item 1A. “Risk Factors” in our Annual Report on Form 10-K for the year ended December 31, 2025, our Quarterly Reports on Form 10-Q for the quarters ended March 31, 2026 and June 30, 2026, and any of our subsequent Quarterly Reports on Form 10-Q and Current Reports on Form 8-K, as applicable, together with all other information contained in this prospectus supplement, the accompanying prospectus and in our filings with the SEC that we have incorporated by reference in this prospectus supplement and in any free writing prospectus that we have authorized for use in connection with this offering. If any of the following risks actually occurs,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 Additional risks not presently known to us or that we currently believe are immaterial may also significantly impair our business operations. Please also read carefully the section above titled “Special Note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in this offering, you will suffer immediate and substantial dilution.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If you purchase shares of our common stock in this offering, you will incur immediate and substantial dilution in the as adjusted net tangible book value of your stock because the price that you pay will be substantially greater than the net tangible book value per share of the shares you acquire. This dilution is due to our investors who purchased shares of our common stock prior to this offering having paid substantially less when they purchased their shares than the price at which shares of our common stock are being offered to the public in this offering. To the extent outstanding options are exercised, outstanding restricted common stock vest or the shares are issued upon conversion of the convertible notes there will be further dilution to new investors. As a result of the dilution to your holdings, you may receive significantly less than the purchase price paid in this offering, if anything, in the event of a liquidation. For a further description of the dilution that you will experience immediately after this offering, see the section of this prospectus supplement titled “Dilution.”</w:t>
      </w:r>
    </w:p>
    <w:p>
      <w:pPr>
        <w:spacing w:after="0" w:line="296" w:lineRule="exact"/>
        <w:rPr>
          <w:sz w:val="20"/>
          <w:szCs w:val="20"/>
          <w:color w:val="auto"/>
        </w:rPr>
      </w:pPr>
    </w:p>
    <w:p>
      <w:pPr>
        <w:ind w:left="5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capital raises may cause you to experience future dilution, restrict our operations or require us to relinquish rights to our product candidates.</w:t>
      </w:r>
    </w:p>
    <w:p>
      <w:pPr>
        <w:spacing w:after="0" w:line="5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expect to finance our cash needs through future offerings of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intellectual property, potential future revenue streams, or product candidates or grant licenses on terms that may not be favorable to us. If we are unable to raise additional funds through equity or debt financings or other arrangements with third parties when needed, we may be required to delay, limit, reduce or terminate our product candidate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development or future commercialization efforts or grant rights to third parties to develop and market product candidates that we would otherwise prefer to develop and market ourselves.</w:t>
      </w:r>
    </w:p>
    <w:p>
      <w:pPr>
        <w:spacing w:after="0" w:line="266" w:lineRule="exact"/>
        <w:rPr>
          <w:sz w:val="20"/>
          <w:szCs w:val="20"/>
          <w:color w:val="auto"/>
        </w:rPr>
      </w:pPr>
    </w:p>
    <w:p>
      <w:pPr>
        <w:ind w:left="5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if consummated, the concurrent private placement, and if consummated, the concurrent convertible notes offering, and may not use them effectively.</w:t>
      </w:r>
    </w:p>
    <w:p>
      <w:pPr>
        <w:spacing w:after="0" w:line="5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management has broad discretion to use our cash and cash equivalents, including the net proceeds from this offering and, if consummated, the concurrent private placement, and if consummated, the concurrent convertible notes offering, and could spend the proceeds in ways that do not improve our business, financial condition or results of operations or enhance the value of our common stock. Furthermore, you will not have the opportunity as part of your investment decision to assess whether such proceeds are being used appropriately. Because of the number and variability of factors that will determine our use of our cash and cash equivalents, including the net proceeds from this offering and, if consummated, the concurrent private placement, and if consummated, the concurrent convertible notes offering, their ultimate use may vary substantially from their currently intended use. Our management might not apply our cash and cash equivalents, including the net proceeds from this offering and, if consummated, the concurrent private placement, and if consummated, the concurrent convertible notes offering, in ways that ultimately increase the value of your investment. We currently intend to use the net proceeds from this offering and, if consummated, the concurrent private placement, and, if consummated, the concurrent convertible notes offering, to primarily fund our ongoing and planned clinical trials advancing RAP-219, for other research and development, and for working capital and general corporate purposes. Pending the use of net proceeds, we may invest the net proceeds in a variety of capital preservation instruments, including short-term, interest-bearing obligations, investment-grade instruments, certificates of deposit or direct or guaranteed obligations of the United States government, or we may hold such proceeds as cash, until they are used for their stated purposes.</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failure by our management to apply these funds effectively could result in financial losses that could harm our business, cause the price of our common stock to decline and delay the development of our current and future product candidates. Pending their use, we may invest the net proceeds from this offering in a manner that does not produce income or that loses value.</w:t>
      </w:r>
    </w:p>
    <w:p>
      <w:pPr>
        <w:spacing w:after="0" w:line="280" w:lineRule="exact"/>
        <w:rPr>
          <w:sz w:val="20"/>
          <w:szCs w:val="20"/>
          <w:color w:val="auto"/>
        </w:rPr>
      </w:pPr>
    </w:p>
    <w:p>
      <w:pPr>
        <w:ind w:left="5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shares of our common stock in the foreseeable future, capital appreciation, if any, will be your sole source of gain.</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shares of our common stock. We anticipate that we will retain our earnings, if any, for future growth and therefore do not anticipate paying cash dividends in the future. As a result, only appreciation of the price of our shares of common stock will provide a return to stockholders.</w:t>
      </w:r>
    </w:p>
    <w:p>
      <w:pPr>
        <w:spacing w:after="0" w:line="280" w:lineRule="exact"/>
        <w:rPr>
          <w:sz w:val="20"/>
          <w:szCs w:val="20"/>
          <w:color w:val="auto"/>
        </w:rPr>
      </w:pPr>
    </w:p>
    <w:p>
      <w:pPr>
        <w:ind w:left="5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our common stock in the public markets, or the perception that such sales could occur, could depress the market price of our common stock.</w:t>
      </w:r>
    </w:p>
    <w:p>
      <w:pPr>
        <w:spacing w:after="0" w:line="5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our shares in the public markets could occur at any time, and such sales, or the perception in the market that holders of a substantial number of our shares intend to sell their shares, could depress the market price of our common stock and impair our ability to raise capital through the sale of additional equity securities. We, our directors and our executive officers and certain of our stockholders have agreed not to sell, dispose of or hedge any shares or securities convertible into or exchangeable for shares of common stock during the period from the date of this prospectus supplement continuing through and including the date 90 days (with respect to our officers and directors), 45 days (with respect to certain of our stockholders) or 30 days (with respect to us) after the date of this prospectus supplement, subject to certain exceptions. Morgan Stanley &amp; Co. LLC, Leerink Partners LLC and Evercore Group L.L.C. may, in their discretion, release the restrictions on any such shares at any time without notice. We cannot predict the effect that future sales of our common stock would have on the market price of our common stock.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This offering is not contingent on the consummation of the concurrent convertible notes offering, and vice versa.</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consummation of this offering is not contingent on the consummation of the concurrent convertible notes offering, and the consummation of the concurrent convertible notes offering is not contingent on the consummation of this offering. Accordingly, you should not assume that the concurrent convertible notes offering will be consummated on the terms described in this prospectus supplement, if at all, or that we will receive any additional proceeds from the concurrent convertible notes offering. This prospectus supplement does not constitute an offer to sell, or the solicitation of an offer to buy, any securities being offered in the concurrent convertible notes offering. See “The Concurrent Convertible Notes Offering for additional information.”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preliminary financial estimate represents management’s current estimate and is subject to change.</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preliminary estimate contained in “Prospectus Supplement Summary—Financial Update” is based on information available to management as of the date of this prospectus supplement and this estimate could change. Our actual financial results as of and for the three months ended September 30, 2026 are subject to the completion of our financial statements as of such date, and for such periods. Such actual financial results will not be available until after this offering is completed and, consequently, will not be available to you prior to investing in this offering. Our actual financial results as of and for the three months ended September 30, 2026 may differ materially from the preliminary estimate we have provided as a result of completion of our final adjustments, review by our independent registered public accountants and other developments arising between now and the time that our financial results for such periods are finalized. This estimate should not be viewed as a substitute for financial statements prepared in accordance with accounting principles generally accepted in the United States and is not necessarily indicative of the results to be achieved in any future period. Complete results as of and for the three months ended September 30, 2026 will be included in our Quarterly Report on Form 10-Q for the three month period ended September 30, 2026. See the other risks described in this section and “Special Note Regarding Forward-Looking Statements” for additional information regarding factors that could result in differences between such preliminary estimate and the actual financial results we will report as of and for the three months ended September 30, 2026.</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Concurrent Convertible Notes Offering</w:t>
      </w:r>
    </w:p>
    <w:p>
      <w:pPr>
        <w:spacing w:after="0" w:line="225" w:lineRule="exact"/>
        <w:rPr>
          <w:sz w:val="20"/>
          <w:szCs w:val="20"/>
          <w:color w:val="auto"/>
        </w:rPr>
      </w:pPr>
    </w:p>
    <w:p>
      <w:pPr>
        <w:ind w:left="5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convertible notes may dilute the ownership interest of our stockholders or may otherwise depress the price of our common stock.</w:t>
      </w:r>
    </w:p>
    <w:p>
      <w:pPr>
        <w:spacing w:after="0" w:line="5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conversion of some or all of the convertible notes being offered in the concurrent convertible notes offering, if consummated, may dilute the ownership interests of our stockholders. Upon conversion of the convertible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or anticipated conversion of the convertible notes into shares of our common stock could depress the price of our common stock.</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Hedging activity by investors in the convertible notes could depress the market price of our common stock.</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expect that many investors in the convertible notes being offered in the concurrent convertible notes offering, including potential purchasers of the convertible notes following the concurrent convertible notes offering, will seek to employ a convertible note arbitrage strategy. Under this strategy, investors typically short sell a certain number of shares of common stock and adjust their short position over time while they continue to hold the convertible notes. Investors may also implement this type of strategy by entering into swaps on our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common stock in lieu of, or in addition to, short selling shares of our common stock. This market activity, or the market’s perception that it will occur, could depress the trading price of our common stock.</w:t>
      </w:r>
    </w:p>
    <w:p>
      <w:pPr>
        <w:spacing w:after="0" w:line="266" w:lineRule="exact"/>
        <w:rPr>
          <w:sz w:val="20"/>
          <w:szCs w:val="20"/>
          <w:color w:val="auto"/>
        </w:rPr>
      </w:pPr>
    </w:p>
    <w:p>
      <w:pPr>
        <w:jc w:val="both"/>
        <w:ind w:left="56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the convertible notes in cash, to repay the convertible notes at maturity or to repurchase the convertible notes upon a fundamental change, and our future debt may contain limitations on our ability to pay cash upon conversion or repurchase of the convertible notes.</w:t>
      </w:r>
    </w:p>
    <w:p>
      <w:pPr>
        <w:spacing w:after="0" w:line="67"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Noteholders of the convertible notes, if the concurrent convertible notes offering is consummated will have the right, subject to certain conditions and limited exceptions, to require us to repurchase all or a portion of their convertible notes upon the occurrence of a fundamental change (which will be defined in the indenture governing the convertible notes) at a fundamental change repurchase price equal to 100% of the principal amount of the convertible notes to be repurchased,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but excluding, the fundamental change repurchase date. Upon maturity of the convertible notes, we must pay the principal amount of the convertible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in cash, unless the convertible notes have been previously converted, redeemed or repurchased. In addition, upon any conversion of the convertible notes, unless we elect to deliver solely shares of our common stock to settle such conversion (other than paying cash in lieu of delivering any fractional share), we will be required to make cash payments in respect of the convertible notes being converted. We may not have enough available cash or be able to obtain financing at the time we are required to make repurchases of the convertible notes surrendered therefor or pay cash with respect to the convertible notes being converted or convertible notes being repaid at maturity. In addition, our ability to repurchase the convertible notes or to pay cash upon conversions or at maturity of the convertible notes may be limited by law, by regulatory authority or by agreements governing our future indebtedness. Our failure to repurchase the convertible notes at a time when the repurchase is required by the indenture or to pay any cash payable on future conversions of the convertible notes or at maturity of the convertible notes, as required by the indenture governing the convertible notes, would constitute a default under the indenture. A default under the indenture or the fundamental change itself could also lead to a default under agreements governing our then-existing indebtedness. If the repayment of the related indebtedness were to be accelerated after any applicable notice or grace periods, we may not have sufficient funds to repay the indebtedness and repurchase the convertible notes or make cash payments upon conversions of the convertible notes, which could have a material adverse effect on our business, financial condition and results of operations and on the market price of our common stock.</w:t>
      </w:r>
    </w:p>
    <w:p>
      <w:pPr>
        <w:spacing w:after="0" w:line="2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in the indenture governing the convertible notes may delay or prevent an otherwise beneficial takeover attempt of us.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provisions in the indenture that will govern the convertible notes, if the concurrent convertible notes offering is consummated, may make it more difficult or expensive for a third party to acquire us. For example, the indenture that will govern the convertible notes will require us, subject to certain conditions and limited exceptions, to repurchase the convertible notes for cash upon the occurrence of a fundamental change (which will be defined in the indenture that will govern the convertible notes to include certain change-of-control events and the delisting of our common stock) and, in certain circumstances, to increase the conversion rate for a holder that converts its convertible notes in connection with a make-whole fundamental change (which will be defined in the indenture to include, among other events, fundamental changes and certain additional business combination transactions). A takeover of us may trigger the requirement that we repurchase the convertible notes and/or increase the conversion rate, which could make it costlier for a potential acquirer to engage in such takeover. Such additional costs may have the effect of delaying or preventing a takeover of us that would otherwise be beneficial to our stockholders.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convertible notes could adversely affect our reported financial condition and results.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accounting method for reflecting the convertible notes, if the concurrent convertible notes offering is consummated, on our consolidated balance sheet, accruing interest expense for the convertible notes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reflecting the underlying shares of our common stock in our reported diluted earnings per share may adversely affect our reported earnings and financial condition.</w:t>
      </w:r>
    </w:p>
    <w:p>
      <w:pPr>
        <w:spacing w:after="0" w:line="16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Subject to our full accounting assessment with respect to the convertible notes, which is not complete as of the date of this prospectus supplement, we expect that the convertible notes we are offering pursuant to the concurrent convertible notes offering will be reflected as a liability on our consolidated balance sheet, with the initial carrying amount equal to the principal amount of the convertible notes, net of issuance costs. Issuance costs are treated as a debt discount for accounting purposes, which are amortized into interest expense over the term of such convertible notes. As a result of this amortization, the interest expense that we expect to recognize for the convertible notes for accounting purposes will be greater than the cash interest payments we will pay on the convertible notes, which will result in lower reported net income or larger reported net loss.</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we expect that the shares of common stock underlying the convertible notes will be reflected in our diluted earnings per share using the “if-converted” method, in accordance with GAAP, for fiscal periods in which we report net income. Under that method, diluted earnings per share would generally be calculated assuming that all the convertible notes were converted solely into shares of common stock at the beginning of the reporting period, unless the result would be anti-dilutive. The application of the if-converted method may reduce our reported diluted earnings per share to the extent we are profitable in the future.</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convertible notes is satisfied, then we may be required under applicable accounting standards to reclassify the liability carrying value of such convertible notes as a current, rather than a long-term, liability. This reclassification could be required even if no noteholders convert such convertible notes following the occurrence of those circumstances and could materially reduce our reported working capital.</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cannot be sure whether other changes may be made to the current accounting standards related to the convertible notes, or otherwise, that could have a material effect on our reported financial results. We have not reached a final determination regarding the accounting treatment for the convertible notes, and the description above is preliminary. Accordingly, we may account for the convertible notes in a manner that is significantly different than described above.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this offering and, if consummated, the concurrent private placement will be approximately $    million, or approximately $    million if the underwriters exercise in full their option to purchase additional shares of common stock, after deducting the underwriting discounts and commissions, placement agent fees and estimated offering and private placement expenses payable by us.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the concurrent convertible notes offering, if consummated, will be approximately $    million, or approximately $    million if the underwriters of the concurrent convertible notes offering exercise in full their over-allotment option, after deducting the underwriting discounts and commissions and estimated offering expenses payable by us.</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if consummated, the concurrent private placement and, if consummated, the concurrent convertible notes offering, together with our existing cash, cash equivalents and short-term investments, to primarily fund our ongoing and planned clinical trials advancing RAP-219, for other research and development, and for working capital and general corporate purposes. Pending these uses, we may invest the net proceeds from this offering and, if consummated, the concurrent private placement and, if consummated, the concurrent convertible notes offering, in a variety of capital preservation instruments, including short-term, interest-bearing obligations, investment-grade instruments, certificates of deposit or direct or guaranteed obligations of the U.S. government , or we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may also use a portion of the remaining net proceeds from this offering and, if consummated, the concurrent private placement and, if consummated, the concurrent convertible notes offering, to in-license, acquire or invest in complementary businesses, technologies, products or assets. However, we currently have no agreements or commitments to complete any such transaction.</w:t>
      </w:r>
    </w:p>
    <w:p>
      <w:pPr>
        <w:spacing w:after="0" w:line="176" w:lineRule="exact"/>
        <w:rPr>
          <w:sz w:val="20"/>
          <w:szCs w:val="20"/>
          <w:color w:val="auto"/>
        </w:rPr>
      </w:pPr>
    </w:p>
    <w:p>
      <w:pPr>
        <w:ind w:left="120" w:right="100" w:firstLine="551"/>
        <w:spacing w:after="0" w:line="276" w:lineRule="auto"/>
        <w:rPr>
          <w:sz w:val="20"/>
          <w:szCs w:val="20"/>
          <w:color w:val="auto"/>
        </w:rPr>
      </w:pPr>
      <w:r>
        <w:rPr>
          <w:rFonts w:ascii="Times New Roman" w:cs="Times New Roman" w:eastAsia="Times New Roman" w:hAnsi="Times New Roman"/>
          <w:sz w:val="17"/>
          <w:szCs w:val="17"/>
          <w:color w:val="auto"/>
        </w:rPr>
        <w:t>We believe that the net proceeds from this offering and, if consummated, the concurrent private placement, and, if consummated, the concurrent convertible notes offering, together with our existing cash, cash equivalents and short-term investments, will enable us to fund our operations through</w:t>
      </w:r>
    </w:p>
    <w:p>
      <w:pPr>
        <w:spacing w:after="0" w:line="1"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        . We have based this estimate on assumptions that may prove to be wrong, and we could use our available capital resources sooner than we currently expect.</w:t>
      </w:r>
    </w:p>
    <w:p>
      <w:pPr>
        <w:spacing w:after="0" w:line="18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expected use of net proceeds from this offering and, if consummated, the concurrent private placement and, if consummated, the concurrent convertible notes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progress of our development, the status of and results from clinical trials and collaborations that we may enter into with third parties for our product candidates and any unforeseen cash needs, including the factors described under “Risk Factors” in this prospectus supplement and in the documents incorporated by reference herein. As a result, our management will retain broad discretion over the allocation of the net proceeds from this offering and, if consummated, the concurrent private placement and, if consummated, the concurrent convertible notes offering. We may find it necessary or advisable to use the net proceeds from this offering and, if consummated, the concurrent private placement and, if consummated, the concurrent convertible notes offering, for other purposes, and we will have broad discretion in the application of net proceeds.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our cash, cash equivalents and investments and our capitalization as of June 30, 2026:</w:t>
      </w:r>
    </w:p>
    <w:p>
      <w:pPr>
        <w:spacing w:after="0" w:line="131"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on an as adjusted basis, giving effect to the issuance and sale of           </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after deducting underwriting discounts</w:t>
            </w:r>
          </w:p>
        </w:tc>
      </w:tr>
      <w:tr>
        <w:trPr>
          <w:trHeight w:val="216"/>
        </w:trPr>
        <w:tc>
          <w:tcPr>
            <w:tcW w:w="300" w:type="dxa"/>
            <w:vAlign w:val="bottom"/>
          </w:tcPr>
          <w:p>
            <w:pPr>
              <w:spacing w:after="0"/>
              <w:rPr>
                <w:sz w:val="18"/>
                <w:szCs w:val="18"/>
                <w:color w:val="auto"/>
              </w:rPr>
            </w:pPr>
          </w:p>
        </w:tc>
        <w:tc>
          <w:tcPr>
            <w:tcW w:w="10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and commissions and estimated offering expenses payable by us and to the issuance and sale of             shares of common stock in the</w:t>
            </w:r>
          </w:p>
        </w:tc>
      </w:tr>
      <w:tr>
        <w:trPr>
          <w:trHeight w:val="234"/>
        </w:trPr>
        <w:tc>
          <w:tcPr>
            <w:tcW w:w="300" w:type="dxa"/>
            <w:vAlign w:val="bottom"/>
          </w:tcPr>
          <w:p>
            <w:pPr>
              <w:spacing w:after="0"/>
              <w:rPr>
                <w:sz w:val="20"/>
                <w:szCs w:val="20"/>
                <w:color w:val="auto"/>
              </w:rPr>
            </w:pPr>
          </w:p>
        </w:tc>
        <w:tc>
          <w:tcPr>
            <w:tcW w:w="10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concurrent private placement, after deducting placement agent fees and estimated private placement expenses payable by us; and</w:t>
            </w:r>
          </w:p>
        </w:tc>
      </w:tr>
      <w:tr>
        <w:trPr>
          <w:trHeight w:val="31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on a further as adjusted basis to give effect to the issuance and sale of $ </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aggregate principal amount of the convertible notes in</w:t>
            </w:r>
          </w:p>
        </w:tc>
      </w:tr>
      <w:tr>
        <w:trPr>
          <w:trHeight w:val="216"/>
        </w:trPr>
        <w:tc>
          <w:tcPr>
            <w:tcW w:w="300" w:type="dxa"/>
            <w:vAlign w:val="bottom"/>
          </w:tcPr>
          <w:p>
            <w:pPr>
              <w:spacing w:after="0"/>
              <w:rPr>
                <w:sz w:val="18"/>
                <w:szCs w:val="18"/>
                <w:color w:val="auto"/>
              </w:rPr>
            </w:pPr>
          </w:p>
        </w:tc>
        <w:tc>
          <w:tcPr>
            <w:tcW w:w="10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concurrent convertible notes offering, after deducting the underwriting discounts and commissions and our estimated offering</w:t>
            </w:r>
          </w:p>
        </w:tc>
      </w:tr>
      <w:tr>
        <w:trPr>
          <w:trHeight w:val="234"/>
        </w:trPr>
        <w:tc>
          <w:tcPr>
            <w:tcW w:w="300" w:type="dxa"/>
            <w:vAlign w:val="bottom"/>
          </w:tcPr>
          <w:p>
            <w:pPr>
              <w:spacing w:after="0"/>
              <w:rPr>
                <w:sz w:val="20"/>
                <w:szCs w:val="20"/>
                <w:color w:val="auto"/>
              </w:rPr>
            </w:pPr>
          </w:p>
        </w:tc>
        <w:tc>
          <w:tcPr>
            <w:tcW w:w="10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expenses, assuming the concurrent convertible notes offering is consummated.</w:t>
            </w:r>
          </w:p>
        </w:tc>
      </w:tr>
    </w:tbl>
    <w:p>
      <w:pPr>
        <w:spacing w:after="0" w:line="19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the table below is illustrative only, and our capitalization following the consummation of this offering and the concurrent private placement, if consummated, and the concurrent convertible notes offering, if consummated, will depend on the final terms of the offerings. Moreover, because the consummation of this offering is not contingent on the consummation of the concurrent convertible notes offering, you should not assume that the concurrent convertible notes offering, as reflected in the further as adjusted column in the table below, will take place.</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table should be read in conjunction with the other information included or incorporated by reference in this prospectus supplement, including our consolidated financial statements and related notes.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June 30, 2026</w:t>
            </w: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4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40" w:type="dxa"/>
            <w:vAlign w:val="bottom"/>
          </w:tcPr>
          <w:p>
            <w:pPr>
              <w:spacing w:after="0"/>
              <w:rPr>
                <w:sz w:val="10"/>
                <w:szCs w:val="10"/>
                <w:color w:val="auto"/>
              </w:rPr>
            </w:pPr>
          </w:p>
        </w:tc>
        <w:tc>
          <w:tcPr>
            <w:tcW w:w="740" w:type="dxa"/>
            <w:vAlign w:val="bottom"/>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Further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gridSpan w:val="8"/>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436,077</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Debt: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Principal amount of          % convertible senior notes due 2032</w:t>
            </w:r>
            <w:r>
              <w:rPr>
                <w:rFonts w:ascii="Times New Roman" w:cs="Times New Roman" w:eastAsia="Times New Roman" w:hAnsi="Times New Roman"/>
                <w:sz w:val="25"/>
                <w:szCs w:val="25"/>
                <w:color w:val="auto"/>
                <w:vertAlign w:val="superscript"/>
              </w:rPr>
              <w:t>(1)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2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Undesignated preferred stock, $0.001 par value per share; 10,000,000 shares authorized, zero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outstanding, actual, as adjusted and pro forma as adjusted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2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500,000,000 shares authorized; 47,955,079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gridSpan w:val="2"/>
            <w:shd w:val="clear" w:color="auto" w:fill="CCEEFF"/>
          </w:tcPr>
          <w:p>
            <w:pPr>
              <w:ind w:left="540"/>
              <w:spacing w:after="0" w:line="235" w:lineRule="exact"/>
              <w:rPr>
                <w:sz w:val="20"/>
                <w:szCs w:val="20"/>
                <w:color w:val="auto"/>
              </w:rPr>
            </w:pPr>
            <w:r>
              <w:rPr>
                <w:rFonts w:ascii="Times New Roman" w:cs="Times New Roman" w:eastAsia="Times New Roman" w:hAnsi="Times New Roman"/>
                <w:sz w:val="18"/>
                <w:szCs w:val="18"/>
                <w:color w:val="auto"/>
              </w:rPr>
              <w:t>outstanding, actual and as adjusted;          shares outstanding, pro forma as adjusted</w:t>
            </w:r>
            <w:r>
              <w:rPr>
                <w:rFonts w:ascii="Times New Roman" w:cs="Times New Roman" w:eastAsia="Times New Roman" w:hAnsi="Times New Roman"/>
                <w:sz w:val="26"/>
                <w:szCs w:val="26"/>
                <w:color w:val="auto"/>
                <w:vertAlign w:val="superscript"/>
              </w:rPr>
              <w:t>(2)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735,848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(1,270)</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(1,270)</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(311,700)</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(311,700)</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(311,700)</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422,926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0" w:hanging="424"/>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the table above for the convertible notes we are offering pursuant to the concurrent convertible notes offering represent their outstanding principal amount without reflecting issuance costs that we are required to recognize.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discussion and table are based on 47,955,079 shares of our common stock outstanding as of June 30, 2026 (which includes 317,771 shares of unvested restricted common stock outstanding as of June 30, 2026) and excludes the following:</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8,030,456 shares of common stock issuable upon the exercise of stock options outstanding as of June 30, 2026, with a weighted average exercise price of $16.43 per share;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16,993 shares of common stock issuable upon the vesting of restricted stock units outstanding as of June 30, 2026;</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47,750 shares of common stock issuable upon the vesting of performance-based stock units outstanding as of June 30, 2026;</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2,246,865 shares of common stock available for future issuance under our 2024 Stock Option and Incentive Plan as of June 30, 2026, as well as any increases in the number of shares of common stock reserved for issuance thereunder;</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690,045 shares of common stock available for future issuance under our 2024 Employee Stock Purchase Plan as of June 30, 2026, as well as any increases in the number of shares of common stock reserved for issuance thereunder;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issuable upon conversion of the convertible notes issued in the concurrent convertible notes offering.</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the number of shares outstanding described above does not include shares of common stock that we may offer and sell in the future pursuant to our sales agreement (the “Sales Agreement”), with Leerink Partners LLC and Cantor Fitzgerald &amp; Co., as sales agents.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after this offering.</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June 30, 2026, we had net tangible book value of approximately $422.5 million, or $8.81 per share of our common stock, based upon 47,955,079 shares of our common stock outstanding as of that date (which includes 317,771 shares of unvested restricted common stock outstanding as of June 30, 2026). Historical net tangible book value per share is equal to our total tangible assets, less total liabilities and deferred offering costs, divided by the number of outstanding shares of our common stock.</w:t>
      </w:r>
    </w:p>
    <w:p>
      <w:pPr>
        <w:spacing w:after="0" w:line="180" w:lineRule="exact"/>
        <w:rPr>
          <w:sz w:val="20"/>
          <w:szCs w:val="20"/>
          <w:color w:val="auto"/>
        </w:rPr>
      </w:pPr>
    </w:p>
    <w:p>
      <w:pPr>
        <w:jc w:val="both"/>
        <w:ind w:left="120" w:right="20" w:firstLine="440"/>
        <w:spacing w:after="0"/>
        <w:rPr>
          <w:sz w:val="20"/>
          <w:szCs w:val="20"/>
          <w:color w:val="auto"/>
        </w:rPr>
      </w:pPr>
      <w:r>
        <w:rPr>
          <w:rFonts w:ascii="Times New Roman" w:cs="Times New Roman" w:eastAsia="Times New Roman" w:hAnsi="Times New Roman"/>
          <w:sz w:val="9"/>
          <w:szCs w:val="9"/>
          <w:color w:val="auto"/>
        </w:rPr>
        <w:t>Without taking into account any other changes in our historical net tangible book value after June 30, 2026, other than to give effect to the issuance and sale of shares of our common stock in this offering at the public offering price of $      per share and       shares of common stock in the concurrent private placement at a purchase price of $      per private placement share, and after deducting underwriting discounts and commissions, placement agent fees and estimated offering and private placement expenses payable by us, our as adjusted net tangible book value as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June 30, 2026 would have been $      million, or $      per share. This represents an immediate increase of $      in as adjusted net tangible book value per share to existing stockholders and immediate dilution of $      in as adjusted net tangible book value per share to investors</w:t>
      </w:r>
    </w:p>
    <w:p>
      <w:pPr>
        <w:jc w:val="both"/>
        <w:ind w:left="120" w:right="20"/>
        <w:spacing w:after="0" w:line="253" w:lineRule="auto"/>
        <w:rPr>
          <w:sz w:val="20"/>
          <w:szCs w:val="20"/>
          <w:color w:val="auto"/>
        </w:rPr>
      </w:pPr>
      <w:r>
        <w:rPr>
          <w:rFonts w:ascii="Times New Roman" w:cs="Times New Roman" w:eastAsia="Times New Roman" w:hAnsi="Times New Roman"/>
          <w:sz w:val="18"/>
          <w:szCs w:val="18"/>
          <w:color w:val="auto"/>
        </w:rPr>
        <w:t>participating in this offering. Dilution per share to investors purchasing shares of our common stock in this offering is determined by subtracting as adjusted net tangible book value per share after this offering from the public offering price per share paid by investors purchasing shares of our common stock in this offering. The following table illustrates this calculation on a per share basis, without giving effect to the option to purchase additional shares granted to the underwriters: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76"/>
              </w:rPr>
              <w:t> </w:t>
            </w:r>
          </w:p>
        </w:tc>
      </w:tr>
      <w:tr>
        <w:trPr>
          <w:trHeight w:val="216"/>
        </w:trPr>
        <w:tc>
          <w:tcPr>
            <w:tcW w:w="9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per share as of June 30, 2026</w:t>
            </w:r>
          </w:p>
        </w:tc>
        <w:tc>
          <w:tcPr>
            <w:tcW w:w="6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w w:val="98"/>
              </w:rPr>
              <w:t>$8.81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as-adjusted net tangible book value per share attributable to this offering and the concurrent private placement</w:t>
            </w:r>
          </w:p>
        </w:tc>
        <w:tc>
          <w:tcPr>
            <w:tcW w:w="3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As-adjusted net tangible book value per share after this offering and the concurrent private placement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in this offering and the concurrent private placement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shd w:val="clear" w:color="auto" w:fill="CCEEFF"/>
          </w:tcPr>
          <w:p>
            <w:pPr>
              <w:spacing w:after="0"/>
              <w:rPr>
                <w:sz w:val="18"/>
                <w:szCs w:val="18"/>
                <w:color w:val="auto"/>
              </w:rPr>
            </w:pPr>
          </w:p>
        </w:tc>
      </w:tr>
      <w:tr>
        <w:trPr>
          <w:trHeight w:val="20"/>
        </w:trPr>
        <w:tc>
          <w:tcPr>
            <w:tcW w:w="9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If the underwriters exercise in full their option to purchase up to $         additional shares at the public offering price of $ </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Pr>
          <w:p>
            <w:pPr>
              <w:spacing w:after="0"/>
              <w:rPr>
                <w:sz w:val="24"/>
                <w:szCs w:val="24"/>
                <w:color w:val="auto"/>
              </w:rPr>
            </w:pP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per share, the</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as-adjusted net tangible book value will increase to $         per share, representing an immediate increase to existing stockholders of $ </w:t>
            </w:r>
          </w:p>
        </w:tc>
        <w:tc>
          <w:tcPr>
            <w:tcW w:w="11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w w:val="99"/>
              </w:rPr>
              <w:t>      per share</w:t>
            </w:r>
          </w:p>
        </w:tc>
      </w:tr>
      <w:tr>
        <w:trPr>
          <w:trHeight w:val="234"/>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and an immediate dilution of $         per share to new investors.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9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47,955,079 shares of our common stock outstanding as of June 30, 2026 (which includes 317,771 shares of unvested restricted common stock outstanding as of June 30, 2026) and excludes the following:</w:t>
      </w:r>
    </w:p>
    <w:p>
      <w:pPr>
        <w:spacing w:after="0" w:line="67" w:lineRule="exact"/>
        <w:rPr>
          <w:sz w:val="20"/>
          <w:szCs w:val="20"/>
          <w:color w:val="auto"/>
        </w:rPr>
      </w:pPr>
    </w:p>
    <w:p>
      <w:pPr>
        <w:ind w:left="108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8,030,456 shares of common stock issuable upon the exercise of stock options outstanding as of June 30, 2026, with a weighted average exercise price of $16.43 per share;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16,993 shares of common stock issuable upon the vesting of restricted stock units outstanding as of June 30, 2026;</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47,750 shares of common stock issuable upon the vesting of performance-based stock units outstanding as of June 30, 2026;</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2,246,865 shares of common stock available for future issuance under our 2024 Stock Option and Incentive Plan as of June 30, 2026, as well as any increases in the number of shares of common stock reserved for issuance thereunder;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690,045 shares of common stock available for future issuance under our 2024 Employee Stock Purchase Plan as of June 30, 2026, as well as any increases in the number of shares of common stock reserved for issuance thereunder;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issuable upon conversion of the convertible notes issued in the concurrent convertible notes offering.</w:t>
      </w:r>
    </w:p>
    <w:p>
      <w:pPr>
        <w:spacing w:after="0" w:line="22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To the extent that outstanding options are exercised, shares of common stock are issued upon the vesting and settlement of outstanding restricted stock units, new stock awards are issued under our equity incentive plans or additional shares of common stock are issued pursuant to the Sales Agreement with Leerink Partners LLC and Cantor Fitzgerald &amp; Co., as sales agents,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stockholders.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operation, development and growth of our business. Therefore,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may be restricted by the terms of any of our future indebtedness.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CONCURRENT CONVERTIBLE NOTES OFFERING</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Concurrently with this offering, we are offering, pursuant to a separate prospectus supplement,     % convertible senior notes due 2032, in an aggregate principal amount of $      , plus up to an additional $      aggregate principal amount of convertible notes that the underwriters of the concurrent convertible notes offering have the option to purchase from us solely to cover over-allotments, if any. We estimate that the net proceeds from the concurrent convertible notes offering will be approximately $      million, or approximately $      million if the underwriters of the concurrent convertible notes offering exercise in full their over-allotment option, after deducting the underwriting discounts and commissions and estimated offering expenses payable by us.</w:t>
      </w:r>
    </w:p>
    <w:p>
      <w:pPr>
        <w:spacing w:after="0" w:line="187"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consummation of this offering is not contingent on the consummation of the concurrent convertible notes offering, and the consummation of the concurrent convertible notes offering is not contingent on the consummation of this offering. Accordingly, you should not assume that the concurrent convertible notes offering will be consummated on the terms described in this prospectus supplement, if at all, or that we will receive any additional proceeds from the concurrent convertible notes offering. This prospectus supplement does not constitute an offer to sell, or the solicitation of an offer to buy, any securities being offered in the concurrent convertible notes offering. The prospectus supplement for the concurrent convertible notes offering does not constitute an offer to sell, or the solicitation of an offer to buy any of the shares of common stock that we are offering pursuant to this prospectus supplement.</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convertible notes will bear interest at a rate of     % per year, payable semiannually in arrears on June 1 and December 1 of each year, beginning on June 1, 2027. The convertible notes will mature on December 1, 2032 unless earlier converted, redeemed or repurchased.</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convertible notes will be our general unsecured obligations and will rank senior in right of payment to all of our future indebtedness that is expressly subordinated in right of payment to the convertible notes; equal in right of payment with all of our existing and future liabilities that are not so subordinated; effectively junior to any of our future secured indebtedness to the extent of the value of the assets securing such indebtedness; and structurally junior to all indebtedness and other liabilities (including trade payables) of our current or future subsidiaries.</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Noteholders may convert all or any portion of their convertible notes at their option at any time prior to the close of business on the business day immediately preceding September 1, 2032 only upon the satisfaction of certain conditions. On or after September 1, 2032 until the close of business on the second scheduled trading day immediately preceding the maturity date, noteholders may convert all or any portion of their convertible notes at their option at any time. Upon conversion, we will pay or deliver, as the case may be, cash, shares of our common stock or a combination of cash and shares of our common stock, at our election. The conversion rate will initially be      shares of common stock per $1,000 principal amount of convertible notes (equivalent to an initial conversion price of approximately $      per share of common stock). The conversion rate will be subject to adjustment in some events but will not be adjusted for any accrued and unpaid interest. In addition, following certain corporate events that occur prior to the maturity date or if we deliver a notice of redemption, we will, in certain circumstances, increase the conversion rate for a holder who elects to convert its convertible notes in connection with such a corporate event or convert its convertible notes called (or deemed called) for redemption during the related “redemption period” (which will be defined in the indenture governing the convertible notes), as the case may be.</w:t>
      </w:r>
    </w:p>
    <w:p>
      <w:pPr>
        <w:spacing w:after="0" w:line="19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not redeem the convertible notes prior to December 6, 2030. We may redeem for cash all or any portion of the convertible notes (subject to certain limitations), at our option, on a redemption date on or after December 6, 2030 if the last reported sale price of our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related notice of redemption.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redemption price for any redemption will be 100% of the principal amount of the convertible notes to be redeemed, plus accrued and unpaid interest to, but excluding, the relevant redemption date. No sinking fund is provided for the convertible notes.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undergo a “fundamental change” (which will be defined in the indenture governing the convertible notes), then, noteholders may require us to repurchase for cash all or any portion of their convertible notes at a fundamental change repurchase price equal to 100% of the principal amount of the convertible notes to be repurchased, plus accrued and unpaid interest to, but excluding, the fundamental change repurchase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supplement, the underwriters named below, for whom Morgan Stanley &amp; Co. LLC, Leerink Partners LLC and Evercore Group L.L.C. are acting as representatives, have severally agreed to purchase, and we have agreed to sell to them, severally, the number of shares indicated below:</w:t>
      </w:r>
    </w:p>
    <w:p>
      <w:pPr>
        <w:spacing w:after="0" w:line="18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400" w:type="dxa"/>
            <w:vAlign w:val="bottom"/>
            <w:vMerge w:val="restart"/>
          </w:tcPr>
          <w:p>
            <w:pPr>
              <w:spacing w:after="0"/>
              <w:rPr>
                <w:sz w:val="13"/>
                <w:szCs w:val="13"/>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560" w:type="dxa"/>
            <w:vAlign w:val="bottom"/>
          </w:tcPr>
          <w:p>
            <w:pPr>
              <w:spacing w:after="0"/>
              <w:rPr>
                <w:sz w:val="13"/>
                <w:szCs w:val="13"/>
                <w:color w:val="auto"/>
              </w:rPr>
            </w:pPr>
          </w:p>
        </w:tc>
        <w:tc>
          <w:tcPr>
            <w:tcW w:w="9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3400" w:type="dxa"/>
            <w:vAlign w:val="bottom"/>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BTIG, LLC</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3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3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 this prospectus supplement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supplement, to purchase up to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shares of common stock.</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70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w:t>
            </w:r>
          </w:p>
        </w:tc>
        <w:tc>
          <w:tcPr>
            <w:tcW w:w="3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404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4040" w:type="dxa"/>
            <w:vAlign w:val="bottom"/>
            <w:gridSpan w:val="2"/>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780" w:type="dxa"/>
            <w:vAlign w:val="bottom"/>
          </w:tcPr>
          <w:p>
            <w:pPr>
              <w:spacing w:after="0"/>
              <w:rPr>
                <w:sz w:val="24"/>
                <w:szCs w:val="24"/>
                <w:color w:val="auto"/>
              </w:rPr>
            </w:pPr>
          </w:p>
        </w:tc>
        <w:tc>
          <w:tcPr>
            <w:tcW w:w="44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S-24</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      . We have agreed to reimburse the underwriters for expenses relating to clearance of this offering and the concurrent convertible notes offering with the Financial Industry Regulatory Authority up to $40,000.</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“RAPP.”</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and our officers, directors and certain of our stockholders have agreed with the underwriters, subject to certain exceptions, not to dispose of or hedge any of our or their common stock or securities convertible into or exchangeable for shares of common stock (collectively, “Lock-Up Securities”) during the period from the date of this prospectus supplement continuing through the date 90 days (with respect to our officers and directors), 45 days (with respect to certain of our stockholders) or 30 days (with respect to us) after the date of this prospectus supplement (the “restricted period”), except with the prior written consent of Morgan Stanley &amp; Co. LLC, Leerink Partners LLC and Evercore Group L.L.C.</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officers, directors and certain of our stockholders have agreed with the underwriters, subject to certain exceptions, not to (i) offer, pledge, sell, contract to sell, sell any option or contract to purchase, purchase any option or contract to sell, grant any option, right or warrant to purchase, lend, or otherwise transfer or dispose of, directly or indirectly, any Lock-Up Securities, or (ii) enter into any hedging, swap, loan or other arrangement (including, without limitation, any short sale or the purchase or sale of, or entry into, any put or call option, or combination thereof, forward or any other derivative transaction or instrument, however described or defined) that transfers to another, in whole or in part, directly or indirectly, any of the economic consequences of ownership of the Lock-Up Securities, whether any such transaction described in clause (i) or (ii) above is to be settled by delivery of common stock or such other securities, in cash or otherwise, or (iii) make any demand for or exercise any right with respect to the registration of any Lock-Up Securities, or (iv) publicly disclose the intention to do any of the foregoing, in each case, during the restricted period, without the prior written consent of Morgan Stanley &amp; Co. LLC, Leerink Partners LLC and Evercore Group L.L.C.</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transfers of Lock-Up Securities:</w:t>
      </w:r>
    </w:p>
    <w:p>
      <w:pPr>
        <w:spacing w:after="0" w:line="131" w:lineRule="exact"/>
        <w:rPr>
          <w:sz w:val="20"/>
          <w:szCs w:val="20"/>
          <w:color w:val="auto"/>
        </w:rPr>
      </w:pPr>
    </w:p>
    <w:p>
      <w:pPr>
        <w:ind w:left="1080" w:hanging="378"/>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one or more bona fide gifts or charitable contributions, or for bona fide estate planning purposes;</w:t>
      </w:r>
    </w:p>
    <w:p>
      <w:pPr>
        <w:spacing w:after="0" w:line="130" w:lineRule="exact"/>
        <w:rPr>
          <w:rFonts w:ascii="Times New Roman" w:cs="Times New Roman" w:eastAsia="Times New Roman" w:hAnsi="Times New Roman"/>
          <w:sz w:val="18"/>
          <w:szCs w:val="18"/>
          <w:color w:val="auto"/>
        </w:rPr>
      </w:pPr>
    </w:p>
    <w:p>
      <w:pPr>
        <w:ind w:left="1080" w:hanging="428"/>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by will, testamentary document or intestate succession;</w:t>
      </w:r>
    </w:p>
    <w:p>
      <w:pPr>
        <w:spacing w:after="0" w:line="130" w:lineRule="exact"/>
        <w:rPr>
          <w:rFonts w:ascii="Times New Roman" w:cs="Times New Roman" w:eastAsia="Times New Roman" w:hAnsi="Times New Roman"/>
          <w:sz w:val="18"/>
          <w:szCs w:val="18"/>
          <w:color w:val="auto"/>
        </w:rPr>
      </w:pPr>
    </w:p>
    <w:p>
      <w:pPr>
        <w:jc w:val="both"/>
        <w:ind w:left="1080" w:right="20" w:hanging="478"/>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party is a natural person, to any member of the lock-up party’s immediate family or to any trust for the direct or indirect benefit of such lock-up party or the immediate family of such lock-up party, or, if such lock-up party is a trust, to a trustor or beneficiary of the trust or the estate of a beneficiary of such trust;</w:t>
      </w:r>
    </w:p>
    <w:p>
      <w:pPr>
        <w:spacing w:after="0" w:line="81" w:lineRule="exact"/>
        <w:rPr>
          <w:rFonts w:ascii="Times New Roman" w:cs="Times New Roman" w:eastAsia="Times New Roman" w:hAnsi="Times New Roman"/>
          <w:sz w:val="18"/>
          <w:szCs w:val="18"/>
          <w:color w:val="auto"/>
        </w:rPr>
      </w:pPr>
    </w:p>
    <w:p>
      <w:pPr>
        <w:ind w:left="1080" w:hanging="468"/>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corporation, partnership, limited liability company or other entity of which the lock-up party and the immediate family of the lock-up party are the legal and beneficial owner of all of the outstanding equity securities or similar interests;</w:t>
      </w:r>
    </w:p>
    <w:p>
      <w:pPr>
        <w:spacing w:after="0" w:line="67" w:lineRule="exact"/>
        <w:rPr>
          <w:rFonts w:ascii="Times New Roman" w:cs="Times New Roman" w:eastAsia="Times New Roman" w:hAnsi="Times New Roman"/>
          <w:sz w:val="18"/>
          <w:szCs w:val="18"/>
          <w:color w:val="auto"/>
        </w:rPr>
      </w:pPr>
    </w:p>
    <w:p>
      <w:pPr>
        <w:ind w:left="1080" w:hanging="418"/>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(iv) above;</w:t>
      </w:r>
    </w:p>
    <w:p>
      <w:pPr>
        <w:spacing w:after="0" w:line="130" w:lineRule="exact"/>
        <w:rPr>
          <w:rFonts w:ascii="Times New Roman" w:cs="Times New Roman" w:eastAsia="Times New Roman" w:hAnsi="Times New Roman"/>
          <w:sz w:val="18"/>
          <w:szCs w:val="18"/>
          <w:color w:val="auto"/>
        </w:rPr>
      </w:pPr>
    </w:p>
    <w:p>
      <w:pPr>
        <w:jc w:val="both"/>
        <w:ind w:left="1080" w:hanging="468"/>
        <w:spacing w:after="0" w:line="25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party is a corporation, partnership, limited liability company or other business entity, (A) to another corporation, partnership, limited liability company or other business entity that is a subsidiary or an affiliate (as defined in Rule 405 under the Securities Act of 1933, as amended) of the lock-up party, or to any investment fund or other entity which fund or entity is controlled or managed by the lock-up party or affiliates of the lock-up party (including, for the avoidance of doubt, where the lock-up is a partnership, to its general partner or a successor partnership or fund, or any other funds managed by such partnership), or (B) as part of a disposition, transfer or distribution by the lock-up party to its stockholders, partners, members or other equityholders or to the estate of any such stockholders, partners, members or other equityholders;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18"/>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130" w:lineRule="exact"/>
        <w:rPr>
          <w:rFonts w:ascii="Times New Roman" w:cs="Times New Roman" w:eastAsia="Times New Roman" w:hAnsi="Times New Roman"/>
          <w:sz w:val="18"/>
          <w:szCs w:val="18"/>
          <w:color w:val="auto"/>
        </w:rPr>
      </w:pPr>
    </w:p>
    <w:p>
      <w:pPr>
        <w:ind w:left="1080" w:hanging="568"/>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from one of our employees upon death, disability or termination of employment, in each case, of such employee;</w:t>
      </w:r>
    </w:p>
    <w:p>
      <w:pPr>
        <w:spacing w:after="0" w:line="130" w:lineRule="exact"/>
        <w:rPr>
          <w:rFonts w:ascii="Times New Roman" w:cs="Times New Roman" w:eastAsia="Times New Roman" w:hAnsi="Times New Roman"/>
          <w:sz w:val="18"/>
          <w:szCs w:val="18"/>
          <w:color w:val="auto"/>
        </w:rPr>
      </w:pPr>
    </w:p>
    <w:p>
      <w:pPr>
        <w:ind w:left="1080" w:hanging="468"/>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party is not one of our officers or directors, in connection with a sale of such lock-up party’s shares of common stock acquired (A) from the underwriters in this offering or (B) in open market transactions after the closing date of this offering;</w:t>
      </w:r>
    </w:p>
    <w:p>
      <w:pPr>
        <w:spacing w:after="0" w:line="67" w:lineRule="exact"/>
        <w:rPr>
          <w:rFonts w:ascii="Times New Roman" w:cs="Times New Roman" w:eastAsia="Times New Roman" w:hAnsi="Times New Roman"/>
          <w:sz w:val="18"/>
          <w:szCs w:val="18"/>
          <w:color w:val="auto"/>
        </w:rPr>
      </w:pPr>
    </w:p>
    <w:p>
      <w:pPr>
        <w:jc w:val="both"/>
        <w:ind w:left="1080" w:hanging="418"/>
        <w:spacing w:after="0" w:line="25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in connection with the vesting, settlement or exercise of restricted stock units, options, warrants or other rights to purchase shares of common stock (including, in each case, by way of “net” or “cashless” exercise), including any transfer to us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prospectus supplement, provided that any securities received upon such vesting, settlement, exercise or conversion shall be subject to the terms of the lock-up agreement;</w:t>
      </w:r>
    </w:p>
    <w:p>
      <w:pPr>
        <w:spacing w:after="0" w:line="94" w:lineRule="exact"/>
        <w:rPr>
          <w:rFonts w:ascii="Times New Roman" w:cs="Times New Roman" w:eastAsia="Times New Roman" w:hAnsi="Times New Roman"/>
          <w:sz w:val="18"/>
          <w:szCs w:val="18"/>
          <w:color w:val="auto"/>
        </w:rPr>
      </w:pPr>
    </w:p>
    <w:p>
      <w:pPr>
        <w:jc w:val="both"/>
        <w:ind w:left="1080" w:hanging="468"/>
        <w:spacing w:after="0" w:line="25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contract, instruction or plan that met the requirements of Rule 10b5-1 under the Exchange Act on the date such contract, instruction or plan was entered into (a “10b5-1 Plan”), provided that such 10b5-1 Plan was established prior to the execution of the applicable lock-up agreement, the existence and details of such 10b5-1 Plan were communicated to the representatives and such 10b5-1 Plan will not be amended or otherwise modified during the restricted period, and provided, further, that any filing under Section 16(a) of the Exchange Act in connection with such transfer shall indicate, to the extent permitted by such section and the related rules and regulations, that such transfer was pursuant to a 10b5-1 Plan;</w:t>
      </w:r>
    </w:p>
    <w:p>
      <w:pPr>
        <w:spacing w:after="0" w:line="92" w:lineRule="exact"/>
        <w:rPr>
          <w:rFonts w:ascii="Times New Roman" w:cs="Times New Roman" w:eastAsia="Times New Roman" w:hAnsi="Times New Roman"/>
          <w:sz w:val="18"/>
          <w:szCs w:val="18"/>
          <w:color w:val="auto"/>
        </w:rPr>
      </w:pPr>
    </w:p>
    <w:p>
      <w:pPr>
        <w:jc w:val="both"/>
        <w:ind w:left="1080" w:hanging="518"/>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pursuant to an agreement under which we have the option to repurchase shares or a right of first refusal with respect to transfer of such shares, provided that no filing under the Exchange Act or other public filing, report or announcement shall be voluntarily made, and if any such filing, report or announcement shall be legally required during the restricted period, such filing, report or announcement shall clearly indicate in the footnotes thereto the circumstances of such transfer or distribution; or</w:t>
      </w:r>
    </w:p>
    <w:p>
      <w:pPr>
        <w:spacing w:after="0" w:line="85" w:lineRule="exact"/>
        <w:rPr>
          <w:rFonts w:ascii="Times New Roman" w:cs="Times New Roman" w:eastAsia="Times New Roman" w:hAnsi="Times New Roman"/>
          <w:sz w:val="18"/>
          <w:szCs w:val="18"/>
          <w:color w:val="auto"/>
        </w:rPr>
      </w:pPr>
    </w:p>
    <w:p>
      <w:pPr>
        <w:jc w:val="both"/>
        <w:ind w:left="1080" w:hanging="568"/>
        <w:spacing w:after="0" w:line="254"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third-party tender offer, merger, consolidation or other similar transaction that is approved by our board of directors and made to all holders of our capital stock involving a change of control of us, in one transaction or a series of related transactions, to a person or group of affiliated persons, of shares of capital stock if, after such transfer, such person or group of affiliated persons would hold at least a majority of our outstanding voting securities (or the voting securities of the surviving entity), and the entry into any lock-up, voting or similar agreement pursuant to which the lock-up party may agree to transfer, sell, tender or otherwise dispose of common stock or other such securities in connection with such transaction; provided that in the event that such tender offer, merger, consolidation or other similar transaction is not completed, the lock-up party’s Lock-Up Securities shall remain subject to the provisions of the lock-up agreement;</w:t>
      </w:r>
    </w:p>
    <w:p>
      <w:pPr>
        <w:spacing w:after="0" w:line="19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provided that, (A) in the case of clauses (i), (ii), (iii), (iv), (v) and (vi) such transfer or distribution shall not involve a disposition for value, (B) in the case of clauses (i), (ii), (iii) (iv), (v), (vi), and (vii) it shall be a condition to the transfer that the transferee sign and deliver a lock-up agreement containing the same restrictions set forth above, (C) in the case of clauses (iii), (iv), (v) and (vi) no filing under the Exchange Act or other public filing, report or announcement reporting a reduction in beneficial ownership of Lock-Up Securities shall be required or voluntarily made in connection with any such transfer or distribution during the restricted period, and (D) in the case of clauses (i), (ii), (vii), (viii), (ix) and (x) no filing under the Exchange Act or other public filing, report or announcement shall be voluntarily made, and if any such filing, report or announcement shall be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legally required during the restricted period, such filing, report or announcement shall clearly indicate in the footnotes thereto the nature of such transfer. Additionally, the lock-up party can enter into a 10b5-1 Plan under the Exchange Act relating to the transfer, sale or other disposition of its Lock-Up Securities, if then permitted by us, provided that none of the securities subject to such plan may be transferred, sold or otherwise disposed of until after the expiration of the restricted period and no public announcement, report or filing under the Exchange Act, or any other public filing, report or announcement, shall be voluntarily made (whether by or on behalf of the lock-up party, us or any other party) regarding, or that otherwise discloses, the establishment of such plan during the restricted period, and if any such filing, report or announcement shall be legally required during the restricted period, such filing, report or announcement shall clearly indicate in the footnotes thereto that none of the securities subject to such plan may be transferred, sold or otherwise disposed of pursuant to such plan until after the expiration of the restricted period.</w:t>
      </w:r>
    </w:p>
    <w:p>
      <w:pPr>
        <w:spacing w:after="0" w:line="192"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restrictions on transfers or other dispositions by us described above do not apply to us with respect to (i) the sale of shares of common stock pursuant to this offering, (ii) the sale of notes pursuant to the concurrent convertible notes offering or the issuance of our common stock upon conversion of such notes, (iii) the sale of shares of common stock pursuant to the concurrent private placement (iv) the issuance of shares of common stock or any securities (including without limitation options, restricted stock or restricted stock units) convertible into, or exercisable for, shares of common stock pursuant to any employee stock option plan, incentive plan, stock plan, dividend reinvestment plan or otherwise in equity compensation arrangements in place as of the date of the underwriting agreement and described in this prospectus supplement, (v) the grant of awards pursuant to employee equity-based compensation plans, incentive plans, stock plans, or other arrangements in place as of the date of the underwriting agreement and described in this prospectus supplement, (vi) the filing of a registration statement on Form S-8 in connection with the registration of shares of common stock issuable under any such plan, (vii) the filing of a prospectus supplement in connection with the concurrent convertible notes offering and (viii) the issuance of up to 5% of the outstanding shares of our common stock in connection with the acquisition of the assets of, or a majority or controlling portion of the equity of, or a joint venture with, another entity; provided that each recipient of any shares of common stock issued or sold pursuant to clauses (ii), (iii), (iv), (v) and (viii) above enters into a lock-up agreement with the underwriters with the same restrictions set forth above.</w:t>
      </w:r>
    </w:p>
    <w:p>
      <w:pPr>
        <w:spacing w:after="0" w:line="19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Morgan Stanley &amp; Co. LLC, Leerink Partners LLC and Evercore Group L.L.C., in their sole discretion, may release the common stock and other securities subject to the lock-up agreements described above in whole or in part at any time.</w:t>
      </w:r>
    </w:p>
    <w:p>
      <w:pPr>
        <w:spacing w:after="0" w:line="162"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For example,</w:t>
      </w:r>
    </w:p>
    <w:p>
      <w:pPr>
        <w:spacing w:after="0" w:line="3" w:lineRule="exact"/>
        <w:rPr>
          <w:sz w:val="20"/>
          <w:szCs w:val="20"/>
          <w:color w:val="auto"/>
        </w:rPr>
      </w:pPr>
    </w:p>
    <w:p>
      <w:pPr>
        <w:jc w:val="both"/>
        <w:ind w:left="120" w:right="20" w:hanging="4"/>
        <w:spacing w:after="0" w:line="255" w:lineRule="auto"/>
        <w:tabs>
          <w:tab w:leader="none" w:pos="3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Leerink Partners LLC is a sales agent under the Sales Agreement pursuant to which we may offer and sell up to $150.0 million of shares of common stock from time to time and (ii) Morgan Stanley &amp; Co. LLC, Leerink Partners LLC and Evercore Group L.L.C. are also acting as underwriters in the concurrent convertible notes offering and as placement agents in the concurrent private placement.</w:t>
      </w:r>
    </w:p>
    <w:p>
      <w:pPr>
        <w:spacing w:after="0" w:line="186"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expect to deliver the shares of common stock to investors on or about       , 2026, which will be the second business day following the date of this prospectus supplement (this settlement cycle being referred to as “T+2”). Under Rule 15c6-1 under the Exchange Act, trades in the secondary market generally are required to settle in one business day, unless the parties to any such trade expressly agree otherwise. Accordingly, purchasers who wish to trade the shares of common stock prior to the business day preceding the settlement date will be required, by virtue of the fact that the shares of common stock initially will settle T+2, to specify an alternate settlement cycle at the time of any such trade to prevent a failed settlement. Purchasers of the shares of common stock who wish to trade the shares of common stock prior to the business day preceding the settlement date should consult their own advisors.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Concurrent Convertible Notes Offering</w:t>
      </w:r>
    </w:p>
    <w:p>
      <w:pPr>
        <w:spacing w:after="0" w:line="121" w:lineRule="exact"/>
        <w:rPr>
          <w:sz w:val="20"/>
          <w:szCs w:val="20"/>
          <w:color w:val="auto"/>
        </w:rPr>
      </w:pPr>
    </w:p>
    <w:p>
      <w:pPr>
        <w:ind w:left="560"/>
        <w:spacing w:after="0"/>
        <w:tabs>
          <w:tab w:leader="none" w:pos="6160" w:val="left"/>
        </w:tabs>
        <w:rPr>
          <w:sz w:val="20"/>
          <w:szCs w:val="20"/>
          <w:color w:val="auto"/>
        </w:rPr>
      </w:pPr>
      <w:r>
        <w:rPr>
          <w:rFonts w:ascii="Times New Roman" w:cs="Times New Roman" w:eastAsia="Times New Roman" w:hAnsi="Times New Roman"/>
          <w:sz w:val="18"/>
          <w:szCs w:val="18"/>
          <w:color w:val="auto"/>
        </w:rPr>
        <w:t xml:space="preserve">Concurrently with this offering, we are conducting an offering of $       </w:t>
        <w:tab/>
        <w:t xml:space="preserve">aggregate principal amount of convertible notes (or up to $       </w:t>
      </w:r>
    </w:p>
    <w:p>
      <w:pPr>
        <w:spacing w:after="0" w:line="27" w:lineRule="exact"/>
        <w:rPr>
          <w:sz w:val="20"/>
          <w:szCs w:val="20"/>
          <w:color w:val="auto"/>
        </w:rPr>
      </w:pPr>
    </w:p>
    <w:p>
      <w:pPr>
        <w:jc w:val="both"/>
        <w:ind w:left="120" w:right="20"/>
        <w:spacing w:after="0" w:line="252" w:lineRule="auto"/>
        <w:rPr>
          <w:sz w:val="20"/>
          <w:szCs w:val="20"/>
          <w:color w:val="auto"/>
        </w:rPr>
      </w:pPr>
      <w:r>
        <w:rPr>
          <w:rFonts w:ascii="Times New Roman" w:cs="Times New Roman" w:eastAsia="Times New Roman" w:hAnsi="Times New Roman"/>
          <w:sz w:val="18"/>
          <w:szCs w:val="18"/>
          <w:color w:val="auto"/>
        </w:rPr>
        <w:t>aggregate principal amount of convertible notes if the underwriters in such offering exercise their option to purchase additional notes in full) pursuant to a separate prospectus supplement (which we refer to as the concurrent convertible notes offering). Neither the consummation of this offering nor the concurrent convertible notes offering is contingent on the consummation of the other. No assurance can be given that the concurrent convertible notes offering will be completed on the terms described herein or at all. This prospectus supplement does not constitute an offer to sell, or the solicitation of an offer to buy, any notes in the concurrent convertible notes offering and the prospectus supplement for the concurrent convertible notes offering does not constitute an offer to buy, or the solicitation of an offer to sell, any of the shares of common stock offered hereby.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 certain investor has indicated its intent to purchase shares of our common stock in a concurrent private placement, which will be exempt from the registration requirements of the Securities Act, at a per share price equal to the public offering price of our common stock in this offering (which transaction we refer to as the concurrent private placement). There has not been a binding agreement or commitment to purchase in the concurrent private placement and there can be no assurance as to the size or terms of the concurrent private placement, if any. The consummation of the concurrent private placement will be contingent and conditioned upon consummation of this offering and the satisfaction of certain other customary conditions. However, the consummation of this offering is not contingent on the consummation of the concurrent private placement. Morgan Stanley &amp; Co. LLC, Leerink Partners LLC and Evercore Group L.L.C. are acting as placement agents in connection with the concurrent private placement and will receive a placement agent fee equal to 6.0% of the total purchase price of the private placement shares.</w:t>
      </w:r>
    </w:p>
    <w:p>
      <w:pPr>
        <w:spacing w:after="0" w:line="296" w:lineRule="exact"/>
        <w:rPr>
          <w:sz w:val="20"/>
          <w:szCs w:val="20"/>
          <w:color w:val="auto"/>
        </w:rPr>
      </w:pPr>
    </w:p>
    <w:p>
      <w:pPr>
        <w:jc w:val="center"/>
        <w:ind w:right="944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jc w:val="center"/>
        <w:ind w:right="9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9" w:lineRule="exact"/>
        <w:rPr>
          <w:sz w:val="20"/>
          <w:szCs w:val="20"/>
          <w:color w:val="auto"/>
        </w:rPr>
      </w:pPr>
    </w:p>
    <w:p>
      <w:pPr>
        <w:ind w:left="1080" w:hanging="408"/>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20" w:hanging="418"/>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408"/>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representatives to publish a prospectus pursuant to Article 3 of the Prospectus Regulation or supplement a prospectus pursuant to Article 23 of the Prospectus Regulation.</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31" w:lineRule="exact"/>
        <w:rPr>
          <w:sz w:val="20"/>
          <w:szCs w:val="20"/>
          <w:color w:val="auto"/>
        </w:rPr>
      </w:pPr>
    </w:p>
    <w:p>
      <w:pPr>
        <w:jc w:val="both"/>
        <w:ind w:left="1080" w:right="20" w:hanging="408"/>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shares in circumstances in which Section 21(1) of the FSMA does not apply to us; and</w:t>
      </w:r>
    </w:p>
    <w:p>
      <w:pPr>
        <w:spacing w:after="0" w:line="85" w:lineRule="exact"/>
        <w:rPr>
          <w:rFonts w:ascii="Times New Roman" w:cs="Times New Roman" w:eastAsia="Times New Roman" w:hAnsi="Times New Roman"/>
          <w:sz w:val="18"/>
          <w:szCs w:val="18"/>
          <w:color w:val="auto"/>
        </w:rPr>
      </w:pPr>
    </w:p>
    <w:p>
      <w:pPr>
        <w:ind w:left="1080" w:hanging="418"/>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in, from or otherwise involving the United Kingdom.</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81" w:lineRule="exact"/>
        <w:rPr>
          <w:sz w:val="20"/>
          <w:szCs w:val="20"/>
          <w:color w:val="auto"/>
        </w:rPr>
      </w:pPr>
    </w:p>
    <w:p>
      <w:pPr>
        <w:ind w:left="1080" w:hanging="378"/>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paragraph 15 of Schedule 1 to the POAT Regulations;</w:t>
      </w:r>
    </w:p>
    <w:p>
      <w:pPr>
        <w:spacing w:after="0" w:line="130" w:lineRule="exact"/>
        <w:rPr>
          <w:rFonts w:ascii="Times New Roman" w:cs="Times New Roman" w:eastAsia="Times New Roman" w:hAnsi="Times New Roman"/>
          <w:sz w:val="18"/>
          <w:szCs w:val="18"/>
          <w:color w:val="auto"/>
        </w:rPr>
      </w:pPr>
    </w:p>
    <w:p>
      <w:pPr>
        <w:ind w:left="1080" w:right="20" w:hanging="428"/>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paragraph 15 of Schedule 1 to the POAT Regulations),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478"/>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to the POAT Regulations;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provided that no such offer of the shares shall require us or any of the representatives to publish a prospectus pursuant to the POAT Regulations.</w:t>
      </w:r>
    </w:p>
    <w:p>
      <w:pPr>
        <w:spacing w:after="0" w:line="225"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“POAT Regulations” means the Public Offers and Admissions to Trading Regulations 2024. This prospectus supplement is only for distribution to and directed at: (i) in the United Kingdom, persons having professional experience in matters relating to investments falling within Article 19(5) of the Financial Services and Markets Act 2000 (Financial Promotion) Order 2005, as amended, or the Order, and high net worth entities falling within Article 49(2)(a) to (d) of the Order; (ii) persons who are outside the United Kingdom; and (iii) any other person to whom it can otherwise be lawfully distributed, or all such persons together, Relevant Persons. Any investment or investment activity to which this prospectus supplement relates is available only to and will be engaged in only with Relevant Persons, and any person who is not a Relevant Person should not rely on it.</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of the laws of Hong Kong) and any rules made or (b) in other circumstances which do not result in the document being a “prospectus” as defined in the Companies (Winding Up and Miscellaneous Provisions) Ordinance (Cap. 32 of the laws of Hong Kong) and which do not constitute an offer to the public within the meaning thereunder.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thereunder.</w:t>
      </w:r>
    </w:p>
    <w:p>
      <w:pPr>
        <w:spacing w:after="0" w:line="189"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contents of this prospectus supplement have not been reviewed, endorsed or approved by any Hong Kong regulatory authority, including the Securities and Futures Commission and the Companies Registry of Hong Kong and neither has it been nor will it be registered with the Registrar of Companies in Hong Kong. You are advised to exercise caution in relation to the offer. If you are in doubt about any contents of this document, you should obtain independent professional advice. This prospectus supplement may not be issued, circulated or distributed (in whole or in part) in Hong Kong, and the shares may not be offered for subscription to members of the public in Hong Kong. Each person acquiring the shares will be required, and is deemed by the acquisition of the shares, to confirm that such person is aware of the restriction on offers of the shares described in this prospectus supplement and that such person is not acquiring, and has not been offered any shares in circumstances that contravene any such restrictions and that such person has complied with all relevant laws, rules and regulations applicable to him/her/it and the jurisdiction(s) where such person or his/her/its assets are located.</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shares have not been and will not be registered pursuant to Article 4, Paragraph 1 of the Financial Instruments and Exchange Act of Japan (Act No. 25 of 1948, as amended, the “FIEA”) and, accordingly, will not be offered or sold, directly or indirectly, in Japan, or for the account of or the benefit of, any Japanese Person or to others for re-offering or resale, directly or indirectly, in Japan or to, or for the account of or the benefit of, any Japanese Person, except in compliance with the FIEA and other applicable laws, regulations and ministerial guidelines promulgated by relevant Japanese governmental or regulatory authorities in effect at the relevant time. For the purposes of this paragraph, “Japanese Person” means any person resident in Japan, including any corporation or other entity organized under the laws of Japan.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 2018, or (iii) otherwise pursuant to, and in accordance with the conditions of, any other applicable exemption or provision of the SFA.</w:t>
      </w:r>
    </w:p>
    <w:p>
      <w:pPr>
        <w:spacing w:after="0" w:line="188"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SFA, the Company has determined, and hereby notifies all relevant persons (as defined in Section 309A of the SFA) that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shares of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or the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or the offering may be publicly distributed or otherwise made publicly available in Switzerland.</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us, the offering, or the shares have been or will be filed with or approved by any Swiss regulatory authority. In particular, this prospectus supplement will not be filed with, and the offering of shares will not be supervised by, the Swiss Financial Market Supervisory Authority FINMA, or the FINMA, and the offering of shares has not been and will not be authorized under the Swiss Federal Act on Collective Investment Schemes, or the CISA. The investor protection afforded to acquirers of interests in collective investment schemes under the CISA does not extend to acquirers of the shares.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Markets Rules of the Dubai Financial Services Authority (the “DFSA”). This prospectus supplement is intended for distribution only to persons of a type specified in the Markets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Abu Dhabi Global Market</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Markets Rules of the Financial Services Regulatory Authority (“FSRA”). This prospectus supplement is intended for distribution only to persons of a type specified in the Markets Rules of the FSRA. It must not be delivered to, or relied on by, any other person. The FSRA has no responsibility for reviewing or verifying any documents in connection with Exempt Offers. The FSRA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shares have not been, and are not being, publicly offered, sold, promoted or advertised in the United Arab Emirates (including the Abu Dhabi Global Market and the Dubai International Financial Centre) other than in compliance with the laws of the United Arab Emirates (and the Abu Dhabi Global Market and the Dubai</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International Financial Centre) governing the issue, offering and sale of shares. Further, this prospectus supplement does not constitute a public offer of shares in the United Arab Emirates (including the Abu Dhabi Global Market and the Dubai International Financial Centre) and is not intended to be a public offer. This prospectus supplement has not been approved by or filed with the Central Bank of the United Arab Emirates, the Securities and Commodities Authority, Financial Services Regulatory Authority, the Dubai Financial Services Authority, or any other relevant licensing authority in the United Arab Emirates.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Any person acquiring the shares must observe such Australian on-sale restrictions.</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State of Israel this prospectus supplement shall not be regarded as an offer to the public to purchase shares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shares to any person within the State of Israel, other than to Qualified Investors and up to 35 Addressed Investors.</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5728-1968. In particular, we may request, as a condition to be offered shares, that Qualified Investors will each represent, warrant and certify to us and/or to anyone acting on our behalf: (i) that it is an investor falling within one of the categories listed in the First Addendum to the Israeli</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shares; (iv) that the shares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shares of common stock offered by this prospectus supplement and the accompanying prospectus will be passed upon by Goodwin Procter LLP, Boston, Massachusetts. Cooley LLP, New York, New York, is acting as counsel for the underwriters in connection with this offering.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on our investor website at </w:t>
      </w:r>
      <w:r>
        <w:rPr>
          <w:rFonts w:ascii="Times New Roman" w:cs="Times New Roman" w:eastAsia="Times New Roman" w:hAnsi="Times New Roman"/>
          <w:sz w:val="18"/>
          <w:szCs w:val="18"/>
          <w:i w:val="1"/>
          <w:iCs w:val="1"/>
          <w:color w:val="auto"/>
        </w:rPr>
        <w:t>www.rapportrx.com</w:t>
      </w:r>
      <w:r>
        <w:rPr>
          <w:rFonts w:ascii="Times New Roman" w:cs="Times New Roman" w:eastAsia="Times New Roman" w:hAnsi="Times New Roman"/>
          <w:sz w:val="18"/>
          <w:szCs w:val="18"/>
          <w:color w:val="auto"/>
        </w:rPr>
        <w:t>. Information contained in or accessible through our website is not a part of this prospectus supplement or the accompanying prospectus and is not incorporated by reference in this prospectus supplement or the accompanying prospectus.</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we have filed with the SEC and does not contain all of the information in the registration statement.</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full registration statement may be obtained from the SEC or us, as provided above. Statements in this prospectus supplement and the accompanying prospectus about any documents filed as exhibits to the registration statement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and the accompanying prospectus much of the information we file with the SEC, which means that we can disclose important information to you by referring you to those publicly available documents. The information incorporated by reference is considered to be part of this prospectus supplement and the accompanying prospectus, and later information that we file with the SEC (Commission File No. 001-42121) will automatically update and supersede this information. This means that you must look at all of the SEC filings that we incorporate by reference to determine if any of the statements in this prospectus supplement, the accompanying prospectus or any document previously incorporated by reference have been modified or superseded. We incorporate by reference the documents listed below and any future filings made by us with the SEC (other than Current Reports on Form 8-K or portions thereof furnished under Item 2.02 or Item 7.01 of Form 8-K and exhibits filed on such form that are related to such items and other portions of documents that are furnished, but not filed, pursuant to applicable rules promulgated by the SEC) that are filed by us with the SEC pursuant to Sections 13(a), 13(c), 14 or 15(d) of the Exchange Act after the filing and concurrent effectiveness of the registration statement but prior to the termination of all offerings covered by this prospectus supplement:</w:t>
      </w:r>
    </w:p>
    <w:p>
      <w:pPr>
        <w:spacing w:after="0" w:line="100"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6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10, 2026;</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2025 from our </w:t>
      </w:r>
      <w:hyperlink r:id="rId66">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which was filed with the SEC on April 23, 2026;</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quarters ended </w:t>
      </w:r>
      <w:hyperlink r:id="rId67">
        <w:r>
          <w:rPr>
            <w:rFonts w:ascii="Times New Roman" w:cs="Times New Roman" w:eastAsia="Times New Roman" w:hAnsi="Times New Roman"/>
            <w:sz w:val="18"/>
            <w:szCs w:val="18"/>
            <w:u w:val="single" w:color="auto"/>
            <w:color w:val="0000EE"/>
          </w:rPr>
          <w:t>March 31,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8">
        <w:r>
          <w:rPr>
            <w:rFonts w:ascii="Times New Roman" w:cs="Times New Roman" w:eastAsia="Times New Roman" w:hAnsi="Times New Roman"/>
            <w:sz w:val="18"/>
            <w:szCs w:val="18"/>
            <w:u w:val="single" w:color="auto"/>
            <w:color w:val="0000EE"/>
          </w:rPr>
          <w:t>June 30, 2026</w:t>
        </w:r>
      </w:hyperlink>
      <w:r>
        <w:rPr>
          <w:rFonts w:ascii="Times New Roman" w:cs="Times New Roman" w:eastAsia="Times New Roman" w:hAnsi="Times New Roman"/>
          <w:sz w:val="18"/>
          <w:szCs w:val="18"/>
          <w:color w:val="auto"/>
        </w:rPr>
        <w:t>, filed with the SEC on May 7, 2026 and August 5, 2026, respectively;</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4"/>
        </w:numPr>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7,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7,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10,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October 20,</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(excluding information furnished pursuant to Item 2.02 or Item 7.01 of Form 8-K, as applicable); and</w:t>
        </w:r>
      </w:hyperlink>
    </w:p>
    <w:p>
      <w:pPr>
        <w:spacing w:after="0" w:line="67" w:lineRule="exact"/>
        <w:rPr>
          <w:rFonts w:ascii="Times New Roman" w:cs="Times New Roman" w:eastAsia="Times New Roman" w:hAnsi="Times New Roman"/>
          <w:sz w:val="18"/>
          <w:szCs w:val="18"/>
          <w:color w:val="0000EE"/>
        </w:rPr>
      </w:pPr>
    </w:p>
    <w:p>
      <w:pPr>
        <w:jc w:val="both"/>
        <w:ind w:left="1080" w:right="20" w:hanging="532"/>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7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001-42121) as filed with the SEC on June 4, 2024, including any amendments or reports filed for the purpose of updating such description, including </w:t>
      </w:r>
      <w:hyperlink r:id="rId71">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2024, as filed with the SEC on March 11, 2025.</w:t>
      </w:r>
    </w:p>
    <w:p>
      <w:pPr>
        <w:spacing w:after="0" w:line="176"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 High Street, Suite 2100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(857) 321-8020</w:t>
      </w:r>
    </w:p>
    <w:p>
      <w:pPr>
        <w:spacing w:after="0" w:line="205" w:lineRule="exact"/>
        <w:rPr>
          <w:rFonts w:ascii="Times New Roman" w:cs="Times New Roman" w:eastAsia="Times New Roman" w:hAnsi="Times New Roman"/>
          <w:sz w:val="18"/>
          <w:szCs w:val="18"/>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these documents,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on our website at </w:t>
      </w:r>
      <w:r>
        <w:rPr>
          <w:rFonts w:ascii="Times New Roman" w:cs="Times New Roman" w:eastAsia="Times New Roman" w:hAnsi="Times New Roman"/>
          <w:sz w:val="18"/>
          <w:szCs w:val="18"/>
          <w:i w:val="1"/>
          <w:iCs w:val="1"/>
          <w:color w:val="auto"/>
        </w:rPr>
        <w:t>www.rapportrx.com</w:t>
      </w:r>
      <w:r>
        <w:rPr>
          <w:rFonts w:ascii="Times New Roman" w:cs="Times New Roman" w:eastAsia="Times New Roman" w:hAnsi="Times New Roman"/>
          <w:sz w:val="18"/>
          <w:szCs w:val="18"/>
          <w:color w:val="auto"/>
        </w:rPr>
        <w:t>. Information contained in or accessible through our website does not constitute a part of this prospectus supplement and is not incorporated by reference in this prospectus supplement. We have included our website solely as an inactive textual reference.</w:t>
      </w:r>
    </w:p>
    <w:p>
      <w:pPr>
        <w:spacing w:after="0" w:line="175" w:lineRule="exact"/>
        <w:rPr>
          <w:rFonts w:ascii="Times New Roman" w:cs="Times New Roman" w:eastAsia="Times New Roman" w:hAnsi="Times New Roman"/>
          <w:sz w:val="18"/>
          <w:szCs w:val="18"/>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we filed with the SEC. We have incorporated exhibits into the registration statement. You should read the exhibits carefully for provisions that may be important to you.</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and the accompanying prospectus. We have not authorized anyone to provide you with different information. We are not making an offer of these securities in any state where the offer is not permitted. You should not assume that the information in this prospectus supplement, the accompanying prospectus or in the documents incorporated by reference is accurate as of any date other than the date on the front of this prospectus supplement or those documents.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167640</wp:posOffset>
            </wp:positionV>
            <wp:extent cx="1971675" cy="531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197167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i w:val="1"/>
          <w:iCs w:val="1"/>
          <w:color w:val="auto"/>
        </w:rPr>
        <w:t>Common Stock</w:t>
      </w:r>
    </w:p>
    <w:p>
      <w:pPr>
        <w:spacing w:after="0" w:line="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i w:val="1"/>
          <w:iCs w:val="1"/>
          <w:color w:val="auto"/>
        </w:rPr>
        <w:t>Preferred Stock</w:t>
      </w:r>
    </w:p>
    <w:p>
      <w:pPr>
        <w:jc w:val="center"/>
        <w:ind w:right="-119"/>
        <w:spacing w:after="0" w:line="237" w:lineRule="auto"/>
        <w:rPr>
          <w:sz w:val="20"/>
          <w:szCs w:val="20"/>
          <w:color w:val="auto"/>
        </w:rPr>
      </w:pPr>
      <w:r>
        <w:rPr>
          <w:rFonts w:ascii="Times New Roman" w:cs="Times New Roman" w:eastAsia="Times New Roman" w:hAnsi="Times New Roman"/>
          <w:sz w:val="32"/>
          <w:szCs w:val="32"/>
          <w:i w:val="1"/>
          <w:iCs w:val="1"/>
          <w:color w:val="auto"/>
        </w:rPr>
        <w:t>Debt Securities</w:t>
      </w:r>
    </w:p>
    <w:p>
      <w:pPr>
        <w:jc w:val="center"/>
        <w:ind w:right="-119"/>
        <w:spacing w:after="0" w:line="238" w:lineRule="auto"/>
        <w:rPr>
          <w:sz w:val="20"/>
          <w:szCs w:val="20"/>
          <w:color w:val="auto"/>
        </w:rPr>
      </w:pPr>
      <w:r>
        <w:rPr>
          <w:rFonts w:ascii="Times New Roman" w:cs="Times New Roman" w:eastAsia="Times New Roman" w:hAnsi="Times New Roman"/>
          <w:sz w:val="32"/>
          <w:szCs w:val="32"/>
          <w:i w:val="1"/>
          <w:iCs w:val="1"/>
          <w:color w:val="auto"/>
        </w:rPr>
        <w:t>Warrants</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i w:val="1"/>
          <w:i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224155</wp:posOffset>
            </wp:positionV>
            <wp:extent cx="1474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We may from time to time issue, in one or more series or classes,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to this prospectus and any related free writing prospectus.</w:t>
      </w:r>
    </w:p>
    <w:p>
      <w:pPr>
        <w:spacing w:after="0" w:line="173"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We may offer these securities separately or together in units. Each time we sell securities described herein, we will provide prospective investors with a supplement to this prospectus that will specify the terms of the securities being offered. We may sell these securities to or through underwriters or dealers and also to other purchasers or through agents. We will set forth the names of any underwriters or agents, and any fees, conversions, or discount arrangements, in the applicable prospectus supplement. For additional information on the methods of sale, you should refer to the section entitled “Plan of Distribution” in this prospectus and in the applicable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183"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We are an “emerging growth company” and “smaller reporting company” under the federal securities laws and, as such, are subject to reduced public company reporting requirements. See “Prospectus Summary-Implications of Being an Emerging Growth Company and Smaller Reporting Company.”</w:t>
      </w:r>
    </w:p>
    <w:p>
      <w:pPr>
        <w:spacing w:after="0" w:line="158"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Our common stock is listed on The Nasdaq Global Market under the symbol “RAPP.” On March 6, 2026, the closing price for our common stock, as reported on The Nasdaq Global Market, was $30.24 per share. The applicable prospectus supplement will contain information, where applicable, as to any other listing on The Nasdaq Global Market or any securities market or other exchange of the securities, if any, covered by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ind w:left="120" w:right="2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Investing in these securities involves certain risks. See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i w:val="1"/>
          <w:iCs w:val="1"/>
          <w:color w:val="auto"/>
        </w:rPr>
        <w:t>” on page 1 of this prospectus as well as those included in any accompanying prospectus supplement and in the documents incorporated by reference in this prospectus for a discussion of the factors you should carefully consider before deciding to purchase these securities.</w:t>
      </w:r>
    </w:p>
    <w:p>
      <w:pPr>
        <w:spacing w:after="0" w:line="175"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date of this prospectus is March 10, 2026.</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6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3280" w:type="dxa"/>
            <w:vAlign w:val="bottom"/>
            <w:gridSpan w:val="5"/>
            <w:vMerge w:val="restart"/>
          </w:tcPr>
          <w:p>
            <w:pPr>
              <w:spacing w:after="0"/>
              <w:rPr>
                <w:sz w:val="15"/>
                <w:szCs w:val="15"/>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48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640" w:type="dxa"/>
            <w:vAlign w:val="bottom"/>
            <w:gridSpan w:val="4"/>
            <w:vMerge w:val="continue"/>
          </w:tcPr>
          <w:p>
            <w:pPr>
              <w:spacing w:after="0"/>
              <w:rPr>
                <w:sz w:val="14"/>
                <w:szCs w:val="14"/>
                <w:color w:val="auto"/>
              </w:rPr>
            </w:pPr>
          </w:p>
        </w:tc>
        <w:tc>
          <w:tcPr>
            <w:tcW w:w="3280" w:type="dxa"/>
            <w:vAlign w:val="bottom"/>
            <w:gridSpan w:val="5"/>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400" w:type="dxa"/>
            <w:vAlign w:val="bottom"/>
          </w:tcPr>
          <w:p>
            <w:pPr>
              <w:spacing w:after="0"/>
              <w:rPr>
                <w:sz w:val="14"/>
                <w:szCs w:val="14"/>
                <w:color w:val="auto"/>
              </w:rPr>
            </w:pPr>
          </w:p>
        </w:tc>
        <w:tc>
          <w:tcPr>
            <w:tcW w:w="4800" w:type="dxa"/>
            <w:vAlign w:val="bottom"/>
            <w:gridSpan w:val="10"/>
            <w:vMerge w:val="continue"/>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80" w:type="dxa"/>
            <w:vAlign w:val="bottom"/>
            <w:gridSpan w:val="5"/>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7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3080" w:type="dxa"/>
            <w:vAlign w:val="bottom"/>
            <w:gridSpan w:val="4"/>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104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4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 for Non-U.S.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Our Company</w:t>
            </w:r>
          </w:p>
        </w:tc>
        <w:tc>
          <w:tcPr>
            <w:tcW w:w="104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0000EE"/>
            </w:tcBorders>
          </w:tcPr>
          <w:p>
            <w:pPr>
              <w:spacing w:after="0"/>
              <w:rPr>
                <w:sz w:val="17"/>
                <w:szCs w:val="17"/>
                <w:color w:val="auto"/>
              </w:rPr>
            </w:pPr>
          </w:p>
        </w:tc>
        <w:tc>
          <w:tcPr>
            <w:tcW w:w="43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Holders</w:t>
            </w:r>
          </w:p>
        </w:tc>
        <w:tc>
          <w:tcPr>
            <w:tcW w:w="24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4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that may be Offered</w:t>
            </w:r>
          </w:p>
        </w:tc>
        <w:tc>
          <w:tcPr>
            <w:tcW w:w="2720" w:type="dxa"/>
            <w:vAlign w:val="bottom"/>
            <w:gridSpan w:val="2"/>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4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140" w:type="dxa"/>
            <w:vAlign w:val="bottom"/>
            <w:tcBorders>
              <w:top w:val="single" w:sz="8" w:color="0000EE"/>
            </w:tcBorders>
            <w:gridSpan w:val="2"/>
          </w:tcPr>
          <w:p>
            <w:pPr>
              <w:spacing w:after="0"/>
              <w:rPr>
                <w:sz w:val="17"/>
                <w:szCs w:val="17"/>
                <w:color w:val="auto"/>
              </w:rPr>
            </w:pPr>
          </w:p>
        </w:tc>
        <w:tc>
          <w:tcPr>
            <w:tcW w:w="2720" w:type="dxa"/>
            <w:vAlign w:val="bottom"/>
            <w:gridSpan w:val="2"/>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800" w:type="dxa"/>
            <w:vAlign w:val="bottom"/>
            <w:gridSpan w:val="6"/>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6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4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880" w:type="dxa"/>
            <w:vAlign w:val="bottom"/>
            <w:tcBorders>
              <w:top w:val="single" w:sz="8" w:color="0000EE"/>
            </w:tcBorders>
          </w:tcPr>
          <w:p>
            <w:pPr>
              <w:spacing w:after="0"/>
              <w:rPr>
                <w:sz w:val="17"/>
                <w:szCs w:val="17"/>
                <w:color w:val="auto"/>
              </w:rPr>
            </w:pPr>
          </w:p>
        </w:tc>
        <w:tc>
          <w:tcPr>
            <w:tcW w:w="1940" w:type="dxa"/>
            <w:vAlign w:val="bottom"/>
            <w:gridSpan w:val="2"/>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(the “SEC”) as a “well-known seasoned issuer” as defined in Rule 405 of the Securities Act of 1933, as amended , using a “shelf” registration process. Under this shelf registration process, we may from time to time sell any combination of the securities described in this prospectus in one or more offerings.</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described herein, we will provide one or more prospectus supplements that will contain specific information about the terms of the offering. The prospectus supplement may also add, update or change information contained in this prospectus. This prospectus, together with any accompanying prospectus supplement, contains important information you should know before investing in our securities, including important information about us and the securities being offered. You should read both this prospectus, any applicable accompanying prospectus supplement, and any related free writing prospectus, together with the additional information described under the headings “</w:t>
      </w:r>
      <w:r>
        <w:rPr>
          <w:rFonts w:ascii="Times New Roman" w:cs="Times New Roman" w:eastAsia="Times New Roman" w:hAnsi="Times New Roman"/>
          <w:sz w:val="18"/>
          <w:szCs w:val="18"/>
          <w:u w:val="single" w:color="auto"/>
          <w:color w:val="0000EE"/>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EE"/>
        </w:rPr>
        <w:t>Incorporation by Reference</w:t>
      </w:r>
      <w:r>
        <w:rPr>
          <w:rFonts w:ascii="Times New Roman" w:cs="Times New Roman" w:eastAsia="Times New Roman" w:hAnsi="Times New Roman"/>
          <w:sz w:val="18"/>
          <w:szCs w:val="18"/>
          <w:color w:val="auto"/>
        </w:rPr>
        <w:t>” beginning on page 32 of this prospectus.</w:t>
      </w:r>
    </w:p>
    <w:p>
      <w:pPr>
        <w:spacing w:after="0" w:line="18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does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accompanying prospectus supplement, the documents incorporated by reference and any related free writing prospectus is accurate only as of their respective dates. Our business, financial condition, results of operations and prospects may have changed materially since those dates. This prospectus, any applicable prospectus supplement and the information incorporated herein or therein by reference contains market data, industry statistics and other data that have been obtained or compiled from information made available by independent third parties. We are responsible for all of the disclosures contained in this prospectus, and we believe that these sources are reliable; however, we have not independently verified the information contained in such publications.</w:t>
      </w:r>
    </w:p>
    <w:p>
      <w:pPr>
        <w:spacing w:after="0" w:line="190" w:lineRule="exact"/>
        <w:rPr>
          <w:sz w:val="20"/>
          <w:szCs w:val="20"/>
          <w:color w:val="auto"/>
        </w:rPr>
      </w:pPr>
    </w:p>
    <w:p>
      <w:pPr>
        <w:jc w:val="both"/>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AND SELL SECURITIES UNLESS IT IS ACCOMPANIED BY AN ADDITIONAL PROSPECTUS OR A PROSPECTUS SUPPLEMENT.</w:t>
      </w:r>
    </w:p>
    <w:p>
      <w:pPr>
        <w:spacing w:after="0" w:line="15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used in this prospectus, unless the context otherwise requires, references to the terms “Rapport,” “Rapport Therapeutics,” “the Company,” “we,” “us” and “our,” and similar designations refer to Rapport Therapeutics, Inc. and, where appropriate, our wholly-owned subsidiary.</w:t>
      </w:r>
    </w:p>
    <w:p>
      <w:pPr>
        <w:spacing w:after="0" w:line="162" w:lineRule="exact"/>
        <w:rPr>
          <w:sz w:val="20"/>
          <w:szCs w:val="20"/>
          <w:color w:val="auto"/>
        </w:rPr>
      </w:pPr>
    </w:p>
    <w:p>
      <w:pPr>
        <w:jc w:val="both"/>
        <w:ind w:left="120" w:right="20" w:firstLine="440"/>
        <w:spacing w:after="0" w:line="221" w:lineRule="auto"/>
        <w:rPr>
          <w:sz w:val="20"/>
          <w:szCs w:val="20"/>
          <w:color w:val="auto"/>
        </w:rPr>
      </w:pPr>
      <w:r>
        <w:rPr>
          <w:rFonts w:ascii="Times New Roman" w:cs="Times New Roman" w:eastAsia="Times New Roman" w:hAnsi="Times New Roman"/>
          <w:sz w:val="18"/>
          <w:szCs w:val="18"/>
          <w:color w:val="auto"/>
        </w:rPr>
        <w:t xml:space="preserve">We intend to apply for various trademarks that we use in connection with the operation of our business. 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SM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set forth in our filings with the SEC that are incorporated by reference herein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Additional risks and uncertainties not presently known to us or that we currently believe to be immaterial may also adversely affect our business.</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most recent Annual Report on Form 10-K, our Quarterly Reports on Form 10-Q and our Current Reports on Form 8-K, as applicable, and the other documents we file with the SEC that are deemed incorporated by reference into this 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includes forward-looking statements within the meaning of Section 27A of the Securities Act, and Section 21E of the Securities Exchange Act of 1934, as amended (the “Exchange Act”). All statements, other than statements of historical fact, contained herein, including statements regarding our plans, objectives and expectations for our business, operations and financial performance and condition, and can be identified by terminology such as “anticipate,” “believe,” “contemplate,” “continue” “could,” “estimate,” “estimate,” “expect,” “goal,” “hope,” “intend,” “may,” “might,” “plan,” “possible,” “potential,” “predict,” “project,” “seek,” “should,” “strategy,” “target,” “will,” “would,” “can,” “future” or the negative of these words or other similar expressions.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31"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develop, and commercialize current and future product candidates based on our RAP technology platform;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translation of endpoints in our current and planned clinical trials to future registrational trials;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positive results from earlier preclinical studies or clinical trials conducted by us or third parties in current or future clinical trials;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that our current and future product candidates are safe and effective for their proposed indications;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the diseases or disorders we elect to pursue with our product candidates, and the willingness of those patient populations to use and adhere to our product candidates if approved in the future;</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programs, future product candidates, platform, and technology;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candidates through applicable regulatory approval processes;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cash and the sufficiency of our existing cash, cash equivalents and short-term investments to fund our future operating expenses and capital expenditure requirements;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our obligations under our intellectual property licenses with third parties, including Janssen Pharmaceutical NV;</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future license agreements and collaborations;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rising interest rates and inflation;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our key personnel and additional qualified personnel;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short-term investments; and</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 and elsewhere in our most recent Annual Report on Form 10-K and our subsequent Quarterly Reports on Form 10-Q, and the section of any accompanying prospectus supplement entitled “Risk Factors”, as well as in other filings made with the SEC subsequent to the date hereof that are incorporated by reference herein.</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80"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Part I, Item 1A “Risk Factors” and elsewhere in our most recent Annual Report on Form 10-K and our subsequent Quarterly Reports on Form 10-Q, and the section of any accompanying prospectus supplement entitled “Risk Factors”, as well as in other filings made with the SEC subsequent to the date hereof that are incorporated by reference herein.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dedicated to the discovery and development of small molecule precision medicines for patients with neurological or psychiatric disorders. Our foundational science has elucidated the complexities of neuronal receptor biology and enables us to map and target certain neuronal receptor complexes. Neuronal receptors are complex assemblies of proteins, comprising receptor principal subunits and their receptor associated proteins (“RAPs”), the latter of which play crucial roles in regulating receptor expression and function. We believe that our deep expertise in RAP biology provides an opportunity for us to interrogate previously inaccessible targets and develop neurological and psychiatric drugs that are specific for receptor variants and neuroanatomical regions associated with certain diseases. Most neuroactive drugs lack this specificity, often resulting in undesired and intolerable side effects. Leveraging our expertise, we are developing a portfolio of precision product candidates that we believe has the potential to transform the standard of care of many neurological and psychiatric disorders.</w:t>
      </w:r>
    </w:p>
    <w:p>
      <w:pPr>
        <w:spacing w:after="0" w:line="192" w:lineRule="exact"/>
        <w:rPr>
          <w:sz w:val="20"/>
          <w:szCs w:val="20"/>
          <w:color w:val="auto"/>
        </w:rPr>
      </w:pPr>
    </w:p>
    <w:p>
      <w:pPr>
        <w:jc w:val="both"/>
        <w:ind w:left="120" w:firstLine="440"/>
        <w:spacing w:after="0" w:line="260" w:lineRule="auto"/>
        <w:rPr>
          <w:sz w:val="20"/>
          <w:szCs w:val="20"/>
          <w:color w:val="auto"/>
        </w:rPr>
      </w:pPr>
      <w:r>
        <w:rPr>
          <w:rFonts w:ascii="Times New Roman" w:cs="Times New Roman" w:eastAsia="Times New Roman" w:hAnsi="Times New Roman"/>
          <w:sz w:val="18"/>
          <w:szCs w:val="18"/>
          <w:color w:val="auto"/>
        </w:rPr>
        <w:t>Our founders have made pioneering discoveries related to the function of RAPs in the brain. Their findings form the basis of our RAP technology platform, which enables a differentiated approach to generate precision small molecule product candidates with the potential to overcome many limitations of conventional neurology drug discovery. RAP-219, our most advanced product candidate, is an AMPA receptor (“AMPAR”) negative allosteric modulator (“NAM”). RAP-219 is designed to achieve neuroanatomical specificity through its selective targeting of a RAP known as TARP</w:t>
      </w:r>
      <w:r>
        <w:rPr>
          <w:rFonts w:ascii="Arial" w:cs="Arial" w:eastAsia="Arial" w:hAnsi="Arial"/>
          <w:sz w:val="18"/>
          <w:szCs w:val="18"/>
          <w:b w:val="1"/>
          <w:bCs w:val="1"/>
          <w:color w:val="auto"/>
        </w:rPr>
        <w:t>g</w:t>
      </w:r>
      <w:r>
        <w:rPr>
          <w:rFonts w:ascii="Times New Roman" w:cs="Times New Roman" w:eastAsia="Times New Roman" w:hAnsi="Times New Roman"/>
          <w:sz w:val="18"/>
          <w:szCs w:val="18"/>
          <w:color w:val="auto"/>
        </w:rPr>
        <w:t>8, which is associated with the neuronal AMPARs. Whereas AMPARs are distributed widely in the central nervous system (“CNS”), TARP</w:t>
      </w:r>
      <w:r>
        <w:rPr>
          <w:rFonts w:ascii="Arial" w:cs="Arial" w:eastAsia="Arial" w:hAnsi="Arial"/>
          <w:sz w:val="18"/>
          <w:szCs w:val="18"/>
          <w:b w:val="1"/>
          <w:bCs w:val="1"/>
          <w:color w:val="auto"/>
        </w:rPr>
        <w:t>g</w:t>
      </w:r>
      <w:r>
        <w:rPr>
          <w:rFonts w:ascii="Times New Roman" w:cs="Times New Roman" w:eastAsia="Times New Roman" w:hAnsi="Times New Roman"/>
          <w:sz w:val="18"/>
          <w:szCs w:val="18"/>
          <w:color w:val="auto"/>
        </w:rPr>
        <w:t>8 is expressed only in discrete regions, including the neocortex and mesial temporal lobe, where focal onset seizures (“FOS”) often originate. By contrast, TARP</w:t>
      </w:r>
      <w:r>
        <w:rPr>
          <w:rFonts w:ascii="Arial" w:cs="Arial" w:eastAsia="Arial" w:hAnsi="Arial"/>
          <w:sz w:val="18"/>
          <w:szCs w:val="18"/>
          <w:b w:val="1"/>
          <w:bCs w:val="1"/>
          <w:color w:val="auto"/>
        </w:rPr>
        <w:t>g</w:t>
      </w:r>
      <w:r>
        <w:rPr>
          <w:rFonts w:ascii="Times New Roman" w:cs="Times New Roman" w:eastAsia="Times New Roman" w:hAnsi="Times New Roman"/>
          <w:sz w:val="18"/>
          <w:szCs w:val="18"/>
          <w:color w:val="auto"/>
        </w:rPr>
        <w:t>8 has low expression in the hindbrain, where drug effects are often associated with adverse events. As such, we believe RAP-219 has the potential for a differentiated profile as compared to traditional neuroscience medications. Due to the role of AMPA biology in various neurological disorders and our precision approach of selectively targeting TARP</w:t>
      </w:r>
      <w:r>
        <w:rPr>
          <w:rFonts w:ascii="Arial" w:cs="Arial" w:eastAsia="Arial" w:hAnsi="Arial"/>
          <w:sz w:val="18"/>
          <w:szCs w:val="18"/>
          <w:b w:val="1"/>
          <w:bCs w:val="1"/>
          <w:color w:val="auto"/>
        </w:rPr>
        <w:t>g</w:t>
      </w:r>
      <w:r>
        <w:rPr>
          <w:rFonts w:ascii="Times New Roman" w:cs="Times New Roman" w:eastAsia="Times New Roman" w:hAnsi="Times New Roman"/>
          <w:sz w:val="18"/>
          <w:szCs w:val="18"/>
          <w:color w:val="auto"/>
        </w:rPr>
        <w:t>8, we believe RAP-219 has pipeline-in-a-product potential and we are evaluating it as a potentially transformational treatment for patients with FOS, primary generalized tonic-clonic seizures (“PGTCS”), and bipolar mania.</w:t>
      </w:r>
    </w:p>
    <w:p>
      <w:pPr>
        <w:spacing w:after="0" w:line="18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Several Phase 1 trials in RAP-219 have been conducted in healthy adult volunteers, including a single ascending dose (“SAD”) trial; a multiple ascending dose (“MAD”) trial; a second MAD trial (“MAD-2”); and a positron emission tomography (“PET”) trial, which utilized a companion PET radiotracer to confirm brain target receptor occupancy (“RO”) and brain region specificity across a range of dosing and exposure levels.</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September 2025, we announced positive topline results from our Phase 2a proof-of-concept trial of RAP-219 in adult patients with drug-resistant FOS. The trial met its primary and secondary endpoints. The trial demonstrated a statistically significant reduction in long episodes—an objective electrographic biomarker for clinical seizure reduction—compared with baseline over the 8-week treatment period. In the trial, RAP-219 also demonstrated a statistically significant and clinically meaningful reduction in clinical seizures compared with baseline. RAP-219 was generally well tolerated. In December 2025, we presented post-hoc analysis from the Phase 2a proof-of-concept trial showing treatment with RAP-219 had consistent effects in the first and second four-week segments of the treatment period. This demonstrates that there was a rapid onset of efficacy, and a consistent reduction in long episodes, and a consistent, clinically meaningful reduction in clinical seizures throughout the 8-week treatment period. We expect to present 8-week follow-up results in the second quarter of 2026. In late 2025, we initiated an open-label long term safety trial to allow patients enrolled in our Phase 2a proof-of-concept FOS trial to resume taking RAP-219. Data from the open-label trial are expected in the second half of 2026. In December 2025, we received U.S. Food and Drug Administration (“FDA”) feedback from an end-of-phase 2 meeting supporting advancement into two Phase 3 trials of RAP-219 in patients with drug-resistant FOS and expect to initiate the Phase 3 program in FOS in the second quarter of 2026.</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also expanding our epilepsy portfolio into PGTCS, the most common type of generalized seizure and an important next step in addressing unmet need in patients with seizure disorders. With proof-of-concept established in FOS, we plan to initiate a Phase 3 trial in PGTCS in the first half of 2027.</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believe RAP-219 also has therapeutic potential in bipolar disorder. Our Phase 2 proof-of-concept trial in bipolar mania is currently enrolling patients, with topline results expected in the first half of 2027.</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also previously submitted an Investigational New Drug (“IND”) application to the FDA for initiation of a Phase 2 proof-of-concept trial in RAP-219 for the treatment of diabetic peripheral neuropathic pain (“DPNP”), which was placed on clinical hold by the FDA in the fourth quarter of 2024. Following further interactions with the FDA, the FDA removed its clinical hold on the DPNP IND in December 2025. We are deferring further investment in the RAP-219 DPNP program at this time to prioritize our a6ß4 program, which we believe has significant potential in chronic pain and migraine, as described below.</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Additionally, we continue to develop a long-acting injectable (“LAI”) formulation of RAP-219. We believe an LAI formulation has the potential to improve patient adherence and expand the potential clinical utility across all of the RAP-219 indications. We have initiated IND-enabling activities to support a Phase 1 clinical study in healthy volunteers, with initial pharmacokinetics (“PK”) results expected in 2027.</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also have two advanced discovery-stage nicotinic acetylcholine receptor (“nAChR”) programs stemming from our RAP technology platform. nAChRs have been clinically validated in patient-reported neuropathic pain and our first advanced discovery-stage nAChR program comprises agonists of the </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6ß4 nAChR. </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6ß4 nAChRs are selectively expressed in sensory neurons, and the </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6 subunit has human genetic validation in chronic pain. We have initiated IND-enabling activities for our </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6ß4 nAChR agonist development candidate, RAP-641, a genetically validated precision target that we are pursuing as a potential novel non-opiate, non-CNS approach for chronic pain and migraine. The second advanced discovery-stage nAChR program comprises modulators of the </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9</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10 nAChR. Third-party preclinical genetic data suggests that this nAChR could be an attractive target in treating hearing and vestibular disorders. We continue to leverage our RAP technology platform to discover additional product candidates that we believe have the potential to provide transformative benefits for large patient populations with neurological or psychiatric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5157470</wp:posOffset>
            </wp:positionH>
            <wp:positionV relativeFrom="paragraph">
              <wp:posOffset>-361315</wp:posOffset>
            </wp:positionV>
            <wp:extent cx="457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in February 2022 under the name Precision Neuroscience NewCo, Inc., and changed our name to Rapport Therapeutics, Inc. in October 2022. Our principal executive offices are located at 99 High Street, Suite 2100, Boston, MA 02110, and our telephone number is (857) 321-8020. We have one subsidiary, Rapport Therapeutics Securities Corporation, formed in December 2022 under the laws of the Commonwealth of Massachusetts. Our website address is </w:t>
      </w:r>
      <w:r>
        <w:rPr>
          <w:rFonts w:ascii="Times New Roman" w:cs="Times New Roman" w:eastAsia="Times New Roman" w:hAnsi="Times New Roman"/>
          <w:sz w:val="18"/>
          <w:szCs w:val="18"/>
          <w:i w:val="1"/>
          <w:iCs w:val="1"/>
          <w:color w:val="auto"/>
        </w:rPr>
        <w:t>www.rapportrx.com</w:t>
      </w:r>
      <w:r>
        <w:rPr>
          <w:rFonts w:ascii="Times New Roman" w:cs="Times New Roman" w:eastAsia="Times New Roman" w:hAnsi="Times New Roman"/>
          <w:sz w:val="18"/>
          <w:szCs w:val="18"/>
          <w:color w:val="auto"/>
        </w:rPr>
        <w:t>. The information contained in, or that can be accessed through, our website, does not constitute a part of this prospectus, and is not incorporated by reference in this prospectus or in any other filings we make with the SEC. We have included our website address in this prospectus solely as an inactive textual reference. Our common stock trades on The Nasdaq Global Market under the symbol “RAPP.”</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the Sarbanes-Oxley Act of 2002; and</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initial public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9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We may continue to be a smaller reporting company after this offering if either (i) the market value of our shares held by non-affiliates is less than $250 million as of the last business day of the most recently completed second fiscal quarter or (ii) our annual revenue was less than $100 million during the most recently completed fiscal year and the market value of our shares held by nonaffiliates is less than $700 million as of the last business day of the most recently completed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general corporate purposes. General corporate purposes may include, without limitation, research and development and clinical development costs to support the advancement of our current or future product candidates and the expansion of our research and development programs; working capital; capital expenditures; and other general corporate purposes. We may temporarily invest the net proceeds in a variety of capital preservation instruments, including short-term, investment-grade, interest-bearing instruments and U.S. government securities,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THAT MAY BE OFFERED</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our bylaws, in each case, as amended and supplemented, which are filed as exhibits to the registration statement of which this prospectus forms a part, for the provisions that are important to you. We refer in this section to our third amended and restated certificate of incorporation as our certificate of incorporation, and we refer to our amended and restated by-laws as our bylaws.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500,000,000 shares of common stock, par value $0.001 per share, and 10,000,000 shares of preferred stock, par value $0.001 per share, all of which shares of preferred stock are undesignated. The following description of our capital stock and provisions of our certificate of incorporation and bylaws are summaries and are qualified by reference to our certificate of incorporation and our bylaws, in each case, as amended and supplemented.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6, 2026, we had 47,799,985 shares of common stock outstanding.</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Only our common stock is registered under Section 12 of the Securities Exchange Act of 1934, as amended (the “Exchange Act”). 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validly issued, fully paid and non-assessable. The rights, preferences, and privileges of holders of our common stock are subject to the rights of the stockholders of any series of preferred stock that we may designate in the future. Our certificate of incorporation and bylaws do not restrict the ability of a holder of our common stock to transfer his, her or its shares of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6, 2026, no shares of our preferred stock were issued and outstanding.</w:t>
      </w:r>
    </w:p>
    <w:p>
      <w:pPr>
        <w:spacing w:after="0" w:line="225"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the Company or other corporate action. We have no present plan to issue any shares of preferred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holders of shares of our common stock are entitled to certain rights with respect to registration of such shares under the Securities Act of 1933, as amended (the “Securities Act”). These shares are referred to as registrable securities. The holders of these registrable securities possess registration rights pursuant to the terms of our third amended and restated investors’ rights agreement, dated August 7, 2023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all registration expenses, other than underwriting discounts, selling commissions and stock transfer taxes of the shares registered pursuant to the demand, piggyback and Form S-3 registrations described below, which will expire no later than four years after our initial public offering.</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holders of our common stock are entitled to certain demand registration rights. Under the terms of the investors’ rights agreement, beginning 180 days after the completion of our initial public offering, the holders of at least 25% of these shares may request that we register all or a portion of their shares. We are not required to effect more than two registration statements which are declared or ordered effective. Such request for registration must cover shares with an anticipated aggregate offering price of at least $5 million. Subject to certain exceptions, we are not required to effect the filing of a registration statement during the period starting with the date of the filing of, and ending on a date 60 days following the effective date of, the registration statement for such offering.</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investors’ rights agreement, in the event that we propose to register any of our securities under the Securities Act, either for our own account or for the account of other security holders, the holders of our common stock will be entitled to certain piggyback registration rights allowing the holder to include their shares in such registration, subject to certain marketing and other limitations.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Certain holders of our common stock are entitled to certain Form S-3 registration rights. Under the terms of the investors’ rights agreement, holders of at least 10% of shares of our common stock can make a request that we register their shares on Form S-3 if we are qualified to file a registration statement on Form S-3 and if the reasonably anticipated aggregate net proceeds of the shares offered would equal or exceed $1 million. We will not be required to effect more than two registrations on Form S-3 within any twelve-month period. The right to have such shares registered on Form S-3 is further subject to other specified conditions and limitations.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demand registration rights and short-form registration rights granted under the investors’ rights agreement will terminate upon the earliest of</w:t>
      </w:r>
    </w:p>
    <w:p>
      <w:pPr>
        <w:spacing w:after="0" w:line="27" w:lineRule="exact"/>
        <w:rPr>
          <w:sz w:val="20"/>
          <w:szCs w:val="20"/>
          <w:color w:val="auto"/>
        </w:rPr>
      </w:pPr>
    </w:p>
    <w:p>
      <w:pPr>
        <w:jc w:val="both"/>
        <w:ind w:left="120" w:right="20" w:hanging="4"/>
        <w:spacing w:after="0" w:line="255" w:lineRule="auto"/>
        <w:tabs>
          <w:tab w:leader="none" w:pos="3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certain liquidation events, (ii) with respect to each stockholder, such date on which all registrable shares held by such stockholder may immediately be sold during any three-month period pursuant to Rule 144 of the Securities Act or another similar exemption and (iii) the fifth anniversary of the completion of our initial public offering.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Ordinarily, other than underwriting discounts and commissions, we are generally required to pay all expenses incurred by us related to any registration effected pursuant to the exercise of these registration rights. These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expenses may include all registration and filing fees, printing expenses, fees and disbursements of our counsel, reasonable fees and disbursements of a counsel for the selling security holders and blue-sky fees and expenses.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all stockholder actions are required to be taken by a vote of the stockholders at an annual or special meeting, and that stockholders may not take any action by written consent in lieu of a meeting. This limitation may lengthen the amount of time required to take stockholder actions and would prevent the amendment of our bylaws or removal of directors by our stockholders without holding a meeting of stockholders.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Meetings of Stockholders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 and Bylaws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amendment of our certificate of incorporation must first be approved by a majority of our board of directors, and if required by law or our certificate of incorporation, must thereafter be approved by a majority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080" w:right="2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involving the interested stockholder of 10% or more of the assets of the corporation;</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shall be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certificate of incorporation or bylaws (including the interpretation, validity or enforceability thereof) or as to which the DGCL confers jurisdiction on the Court of Chancery of the State of Delaware, or (iv) any action asserting a claim governed by the internal affairs doctrine.</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our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Additionally, our bylaws provide that any person or entity holding, owning or otherwise acquiring any interest in any of our securities shall be deemed to have notice of and consented to these provisions.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“RAPP.”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150 Royall Street, Canton, Massachusetts 02021.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indentures:</w:t>
      </w:r>
    </w:p>
    <w:p>
      <w:pPr>
        <w:spacing w:after="0" w:line="131"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131" w:lineRule="exact"/>
        <w:rPr>
          <w:sz w:val="20"/>
          <w:szCs w:val="20"/>
          <w:color w:val="auto"/>
        </w:rPr>
      </w:pPr>
    </w:p>
    <w:p>
      <w:pPr>
        <w:ind w:left="5540" w:right="4720" w:hanging="4992"/>
        <w:spacing w:after="0" w:line="367" w:lineRule="auto"/>
        <w:tabs>
          <w:tab w:leader="none" w:pos="109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debt securities and whether they are senior or subordinated; 15</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 of that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of the series is payable;</w:t>
      </w:r>
    </w:p>
    <w:p>
      <w:pPr>
        <w:spacing w:after="0" w:line="130"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another security of ours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the series shall bear interest or the manner of calculation of such rate or rates, if any;</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debt securities of the series may be redeemed, converted or exchanged, in whole or in part;</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or purchase debt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debt securities of the series shall be redeemed or purchased, in whole or in part, pursuant to such obligation;</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 including the form of the Certificate of Authentication for such series;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one thousand U.S. dollars ($1,000) or any integral multiple of $1,000 thereof, the denominations in which the debt securities of the series shall be issuable;</w:t>
      </w:r>
    </w:p>
    <w:p>
      <w:pPr>
        <w:spacing w:after="0" w:line="67"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debt security or global debt securities; the terms and conditions, if any, upon which such global debt security or global debt securities may be exchanged in whole or in part for other individual debt securities; and the depositary for such global debt security or global debt securities;</w:t>
      </w:r>
    </w:p>
    <w:p>
      <w:pPr>
        <w:spacing w:after="0" w:line="81"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convertible into or exchangeable for common stock or other securities of ours or any other person and, if so,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and the applicable conversion or exchange period;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 to those set forth in the indenture;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covenants to those set forth in the indenture;</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debt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81"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debt securities is to be payable, at our election or at the election of any holder thereof, in a coin or currency other than that in which such debt securities are stated to be payable, then the period or periods within which, and the terms and conditions upon which, such election may be made;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debt securities than those set forth in the indenture;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insofar as it applies to such series).</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67" w:lineRule="exact"/>
        <w:rPr>
          <w:sz w:val="20"/>
          <w:szCs w:val="20"/>
          <w:color w:val="auto"/>
        </w:rPr>
      </w:pPr>
    </w:p>
    <w:p>
      <w:pPr>
        <w:jc w:val="both"/>
        <w:ind w:left="1080" w:right="20" w:hanging="532"/>
        <w:spacing w:after="0" w:line="254"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and interest on, all of the debt securities and (b) to duly perform and observe all of the covenants and conditions contained in the applicable indenture; and in the event the debt securities are convertible into or exchangeable for common stock or other securities of ours, such successor entity will, by such supplemental indenture, make provision so that the holders of debt securities of that series shall thereafter be entitled to receive upon conversion or exchange of such debt securities the number of securities or property to which a holder of the number of common stock or other securities of ours deliverable upon conversion or exchange of those debt securities would have been entitled had such conversion or exchange occurred immediately prior to such consolidation, merger, sale, conveyance, transfer or other disposition; and</w:t>
      </w:r>
    </w:p>
    <w:p>
      <w:pPr>
        <w:spacing w:after="0" w:line="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67" w:lineRule="exact"/>
        <w:rPr>
          <w:sz w:val="20"/>
          <w:szCs w:val="20"/>
          <w:color w:val="auto"/>
        </w:rPr>
      </w:pPr>
    </w:p>
    <w:p>
      <w:pPr>
        <w:ind w:left="1080" w:right="2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90 days unless such date has been extended or deferred;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on, any debt security of such series when due and payable unless such date has been extended or deferred;</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90 days after written notice described below;</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us;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the fourth bullet point above) occurs and is continuing with respect to debt securities of any series outstanding, then the applicable trustee or the holders of 25% or more in principal amount of the debt securities of that series will have the right to declare the principal amount of, and accrued interest on, all the debt securities of that series to be due and payable. If an event of default described in the fourth bullet point above occurs, the principal amount of, and accrued interest on, all the debt securities of that series will automatically become and will be immediately due and payable without any declaration or other act on the part of the trustee or the holders of the debt securities.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7" w:lineRule="exact"/>
        <w:rPr>
          <w:sz w:val="20"/>
          <w:szCs w:val="20"/>
          <w:color w:val="auto"/>
        </w:rPr>
      </w:pPr>
    </w:p>
    <w:p>
      <w:pPr>
        <w:ind w:left="1080" w:right="2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interest and, to the extent permitted by law, interest on overdue installment of interest, plus applicable fees, expenses, disbursements and advances of the applicable trustee; and</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have been cured or waived.</w:t>
      </w:r>
    </w:p>
    <w:p>
      <w:pPr>
        <w:spacing w:after="0" w:line="16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and interest on, such debt securities at the respective due dates thereof.</w:t>
      </w:r>
    </w:p>
    <w:p>
      <w:pPr>
        <w:spacing w:after="0" w:line="18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93"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indentures may be amended with the consent of the holders of a majority in aggregate principal amount of the outstanding debt securities of all series affected by such amendment (including consents obtained in connection with a tender offer or exchange for the debt securities of such series).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and the applicable trustee may make modifications and amendments of an indenture without the consent of any holder of debt securities for any of the following purposes:</w:t>
      </w:r>
    </w:p>
    <w:p>
      <w:pPr>
        <w:spacing w:after="0" w:line="67"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applicable indenture or in the Securities of any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covenant described above under “—Merger, Consolidation or Sale of Assets”;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5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applicable indenture conferred upon us;</w:t>
      </w:r>
    </w:p>
    <w:p>
      <w:pPr>
        <w:spacing w:after="0" w:line="88"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applicable indenture;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notes under the applicable indenture in any material respect;</w:t>
      </w:r>
    </w:p>
    <w:p>
      <w:pPr>
        <w:spacing w:after="0" w:line="130"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in the applicable indenture, to establish the form of any certifications required to be furnished pursuant to the terms of the applicable indenture or any series of debt securities under the applicable indenture,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applicable indenture by a successor trustee or to appoint a separate trustee with respect to any series;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or any successor in connection with the qualification of the indenture under the Trust Indenture Act of 1939, as amended (the “Trust Indenture Act”); or</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applicable indenture to this “Description of Debt Securities” or any other similarly titled section in any prospectus supplement or other offering document relating to a series of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Payment by us of the principal of, premium, if any, and interest on any series of subordinated debt securities issued under the subordinated indenture will be subordinated to the extent set forth in an indenture supplemental to the subordinated indenture relating to such series.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67" w:lineRule="exact"/>
        <w:rPr>
          <w:sz w:val="20"/>
          <w:szCs w:val="20"/>
          <w:color w:val="auto"/>
        </w:rPr>
      </w:pPr>
    </w:p>
    <w:p>
      <w:pPr>
        <w:jc w:val="both"/>
        <w:ind w:left="1080" w:hanging="532"/>
        <w:spacing w:after="0" w:line="25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or governmental obligations in an amount sufficient to pay the entire indebtedness on such debt securities in respect of principal and any premium, and interest to the date of such deposit if such debt securities have become due and payable or, if they have not, to the stated maturity or redemption date; and</w:t>
      </w:r>
    </w:p>
    <w:p>
      <w:pPr>
        <w:spacing w:after="0" w:line="9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provide that, upon our irrevocable deposit with the applicable trustee, in trust, of an amount, in such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2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80" w:right="2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Therefore, holders of units issued under unit agreements will not have the protections of the Trust Indenture Act with respect to their units.</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1080" w:right="20" w:hanging="532"/>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jc w:val="both"/>
        <w:ind w:left="1080" w:hanging="532"/>
        <w:spacing w:after="0" w:line="25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that is not for U.S. federal income tax purposes a partnership (or other pass-through entity) or any of the following:</w:t>
      </w:r>
    </w:p>
    <w:p>
      <w:pPr>
        <w:spacing w:after="0" w:line="85"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the administration of the trust and one or more U.S. persons has authority to control all substantial decisions of the trust or (2) the trust has a valid election in effect under applicable U.S. Treasury Regulations to be treated as a U.S. person.</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discussion is based on current provisions of the U.S. Internal Revenue Code of 1986, as amended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discussion does not address all aspects of U.S. federal income taxation that may be relevant to a particular non-U.S. holder in light of that non-U.S. holder’s individual circumstances nor does it address any aspects of U.S. state, local or non-U.S. taxes, the alternative minimum tax, the Medicare contribution tax on net investment income, the rules regarding qualified small business stock within the meaning of Section 1202 of the Code, or any other aspect of any U.S. federal tax other than income taxes. This discussion also does not consider any specific facts or circumstances that may apply to a non-U.S. holder and does not address the special tax rules applicable to particular non-U.S. holders, such as:</w:t>
      </w:r>
    </w:p>
    <w:p>
      <w:pPr>
        <w:spacing w:after="0" w:line="89" w:lineRule="exact"/>
        <w:rPr>
          <w:sz w:val="20"/>
          <w:szCs w:val="20"/>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and “real estate investment trusts”;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or entities wholly owned by a “qualified foreign pension fund”;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partners and investors therein);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hedge, conversion transaction, synthetic security or other integrated investment;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distributions on our common stock and we do not anticipate paying cash distributions on our common stock for the foreseeable future. Distributions, if any, on our common stock will generally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entitled “Backup Withholding and Information Reporting” and “Withholding and Information Reporting Requirements-FATCA.”</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 in the following two paragraphs in this section, dividends paid to a non-U.S. holder generally will be subject to withholding of U.S. federal income tax at a 30 percent rate or a reduced rate specified by an applicable income tax treaty between the United States and such holder’s country of residence.</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percent withholding tax if the non-U.S. holder satisfies applicable certification requirements. However, such U.S. effectively connected income, net of specified deductions and credits, is taxed at the same U.S. federal income tax rates applicable to United States persons (as defined in the Code). Any U.S. effectively connected income received by a non-U.S. holder that is a corporation may also, under certain circumstances, be subject to an additional “branch profits tax” at a 30 percent rate or a reduced rate specified by an applicable income tax treaty between the United States and such holder’s country of residence.</w:t>
      </w:r>
    </w:p>
    <w:p>
      <w:pPr>
        <w:spacing w:after="0" w:line="18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other applicable or successor form) to the applicable withholding agent and satisfy applicable certification and other requirements. Any documentation provided to an applicable withholding agent may need to be updated in certain circumstances.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an appropriate claim with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Sale or Other Taxable Disposition of Our Common Stock</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“Withholding and Information Reporting Requirements-FATCA,” a non-U.S. holder generally will not be subject to any 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or withholding tax on any gain realized upon such holder’s sale or other taxable disposition of shares of our common stock unless:</w:t>
      </w:r>
    </w:p>
    <w:p>
      <w:pPr>
        <w:spacing w:after="0" w:line="131" w:lineRule="exact"/>
        <w:rPr>
          <w:sz w:val="20"/>
          <w:szCs w:val="20"/>
          <w:color w:val="auto"/>
        </w:rPr>
      </w:pPr>
    </w:p>
    <w:p>
      <w:pPr>
        <w:jc w:val="both"/>
        <w:ind w:left="1080" w:hanging="532"/>
        <w:spacing w:after="0" w:line="258"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U.S. trade or business and, if an applicable income tax treaty so provides, is attributable to a permanent establishment or a fixed base maintained by such non-U.S. holder in the United States, in which case the non-U.S. holder generally will be taxed on a net income basis at the U.S. federal income tax rates applicable to United States persons (as defined in the Code) and, if the non-U.S. holder is a foreign corporation, the branch profits tax described above in “Distributions on Our Common Stock” also may apply;</w:t>
      </w:r>
    </w:p>
    <w:p>
      <w:pPr>
        <w:spacing w:after="0" w:line="88" w:lineRule="exact"/>
        <w:rPr>
          <w:rFonts w:ascii="Times New Roman" w:cs="Times New Roman" w:eastAsia="Times New Roman" w:hAnsi="Times New Roman"/>
          <w:sz w:val="18"/>
          <w:szCs w:val="18"/>
          <w:color w:val="auto"/>
        </w:rPr>
      </w:pPr>
    </w:p>
    <w:p>
      <w:pPr>
        <w:jc w:val="both"/>
        <w:ind w:left="1080" w:hanging="532"/>
        <w:spacing w:after="0" w:line="25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 30 percent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2" w:lineRule="exact"/>
        <w:rPr>
          <w:rFonts w:ascii="Times New Roman" w:cs="Times New Roman" w:eastAsia="Times New Roman" w:hAnsi="Times New Roman"/>
          <w:sz w:val="18"/>
          <w:szCs w:val="18"/>
          <w:color w:val="auto"/>
        </w:rPr>
      </w:pPr>
    </w:p>
    <w:p>
      <w:pPr>
        <w:jc w:val="both"/>
        <w:ind w:left="1080" w:hanging="532"/>
        <w:spacing w:after="0" w:line="253"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sale or other taxable disposition (or the non-U.S. holder’s holding period, if shorter) a “U.S. real property holding corporation,” as described below, unless our common stock is regularly traded on an established securities market and the non-U.S. holder holds no more than 5 percent of our outstanding common stock, directly, indirectly, or constructively, during the shorter of the 5-year period ending on the date of the disposition or the period that the non-U.S. holder held our common stock. Generally, a corporation is a U.S. real property holding corporation if the fair market value of its U.S. real property interests, as defined in the Code and applicable Treasury regulations, equals or exceeds 50 percent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(or the applicable paying agent) must report annually to the IRS and to each non-U.S. holder the gross amount of the distributions on our common stock paid to such holder and the tax withheld, if any, with respect to such distributions. A non-U.S. holder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may be treated in a manner similar to dispositions effected through a U.S. office of a broker.</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the application of the information reporting and backup withholding rules to them. Copies of information returns may be made available to the tax authorities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and Information Reporting Requirements - FATCA</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Foreign Account Tax Compliance Act (“FATCA”) generally imposes a U.S. federal withholding tax at a rate of 30 percent on payments of dividends on, or, subject to the discussion of certain proposed U.S. Treasury regulations below,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However, the U.S. Treasury released proposed regulations which, if finalized in their present form, would eliminate the federal withholding tax of 30 percent applicable to the gross proceeds of a sale or other disposition of our common stock. In the preamble to such proposed regulations, the U.S. Treasury stated that taxpayers (including withholding agents) may generally rely on the proposed regulations until final regulations are issued.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percent withholding tax under FATCA.</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and any accompanying prospectus supplement, if required, in any of the following ways: (i) to or through underwriters or dealers, (ii) directly to purchasers, including our affiliates, (iii) through agents, (iv) in an “at the market offering,” within the meaning of Rule 415(a)(4) of the Securities Act or (v) through a combination of any of these methods or any other method permitted by law. The securities may be distributed at a fixed price or prices, which may be changed, market prices prevailing at the time of sale, prices related to the prevailing market prices, or negotiated prices, either:</w:t>
      </w:r>
    </w:p>
    <w:p>
      <w:pPr>
        <w:spacing w:after="0" w:line="89" w:lineRule="exact"/>
        <w:rPr>
          <w:sz w:val="20"/>
          <w:szCs w:val="20"/>
          <w:color w:val="auto"/>
        </w:rPr>
      </w:pPr>
    </w:p>
    <w:p>
      <w:pPr>
        <w:ind w:left="1080" w:right="2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The Nasdaq Global Market or any other securities exchange or quotation or trading service on which such securities may be listed, quoted or traded at the time of sale; and/or</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otherwise than on The Nasdaq Global Market or such other securities exchanges or quotation or trading services.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93" w:lineRule="exact"/>
        <w:rPr>
          <w:sz w:val="20"/>
          <w:szCs w:val="20"/>
          <w:color w:val="auto"/>
        </w:rPr>
      </w:pPr>
    </w:p>
    <w:p>
      <w:pPr>
        <w:ind w:left="1080" w:right="2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(“FINRA”).</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anticipated date of delivery of offered securities will be set forth in the applicable prospectus supplement relating to each offer.</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in respect of which this prospectus is being delivered will be passed upon by Goodwin Procter LLP, Boston, Massachusetts. Any underwriters will also be advised about the validity of the securities and other legal matters by their own counsel, which will be named in the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on our website at </w:t>
      </w:r>
      <w:r>
        <w:rPr>
          <w:rFonts w:ascii="Times New Roman" w:cs="Times New Roman" w:eastAsia="Times New Roman" w:hAnsi="Times New Roman"/>
          <w:sz w:val="18"/>
          <w:szCs w:val="18"/>
          <w:i w:val="1"/>
          <w:iCs w:val="1"/>
          <w:color w:val="auto"/>
        </w:rPr>
        <w:t>www.rapportrx.com</w:t>
      </w:r>
      <w:r>
        <w:rPr>
          <w:rFonts w:ascii="Times New Roman" w:cs="Times New Roman" w:eastAsia="Times New Roman" w:hAnsi="Times New Roman"/>
          <w:sz w:val="18"/>
          <w:szCs w:val="18"/>
          <w:color w:val="auto"/>
        </w:rPr>
        <w:t>. Information contained in, or that can be accessed through, our website is not a part of this prospectus and is not incorporated by reference in this prospectus.</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Rapport Therapeutics, Inc., 99 High Street, Suite 2100, Boston, MA 02110.</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94" w:lineRule="exact"/>
        <w:rPr>
          <w:sz w:val="20"/>
          <w:szCs w:val="20"/>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6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10, 2026;</w:t>
      </w:r>
    </w:p>
    <w:p>
      <w:pPr>
        <w:spacing w:after="0" w:line="130"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5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2024 from </w:t>
      </w:r>
      <w:hyperlink r:id="rId114">
        <w:r>
          <w:rPr>
            <w:rFonts w:ascii="Times New Roman" w:cs="Times New Roman" w:eastAsia="Times New Roman" w:hAnsi="Times New Roman"/>
            <w:sz w:val="18"/>
            <w:szCs w:val="18"/>
            <w:color w:val="auto"/>
          </w:rPr>
          <w:t xml:space="preserve">our definitive proxy statement on Schedule 14A (other than information furnished rather than filed), which was filed with the SEC on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color w:val="0000EE"/>
          </w:rPr>
          <w:t>24, 2025</w:t>
        </w:r>
        <w:r>
          <w:rPr>
            <w:rFonts w:ascii="Times New Roman" w:cs="Times New Roman" w:eastAsia="Times New Roman" w:hAnsi="Times New Roman"/>
            <w:sz w:val="18"/>
            <w:szCs w:val="18"/>
            <w:color w:val="000000"/>
          </w:rPr>
          <w:t>;</w:t>
        </w:r>
      </w:hyperlink>
    </w:p>
    <w:p>
      <w:pPr>
        <w:spacing w:after="0" w:line="81" w:lineRule="exact"/>
        <w:rPr>
          <w:rFonts w:ascii="Times New Roman" w:cs="Times New Roman" w:eastAsia="Times New Roman" w:hAnsi="Times New Roman"/>
          <w:sz w:val="18"/>
          <w:szCs w:val="18"/>
          <w:color w:val="0000EE"/>
        </w:rPr>
      </w:pPr>
    </w:p>
    <w:p>
      <w:pPr>
        <w:ind w:left="1080" w:right="2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115">
        <w:r>
          <w:rPr>
            <w:rFonts w:ascii="Times New Roman" w:cs="Times New Roman" w:eastAsia="Times New Roman" w:hAnsi="Times New Roman"/>
            <w:sz w:val="18"/>
            <w:szCs w:val="18"/>
            <w:u w:val="single" w:color="auto"/>
            <w:color w:val="0000EE"/>
          </w:rPr>
          <w:t>January 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16">
        <w:r>
          <w:rPr>
            <w:rFonts w:ascii="Times New Roman" w:cs="Times New Roman" w:eastAsia="Times New Roman" w:hAnsi="Times New Roman"/>
            <w:sz w:val="18"/>
            <w:szCs w:val="18"/>
            <w:u w:val="single" w:color="auto"/>
            <w:color w:val="0000EE"/>
          </w:rPr>
          <w:t>January 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(excluding information furnished pursuant to Item 7.01, as applicable); and</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56"/>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description of our common stock contained in our Registration Statement on Form 8-A (File No. 001-42121) as filed with the SEC on </w:t>
      </w:r>
      <w:hyperlink r:id="rId70">
        <w:r>
          <w:rPr>
            <w:rFonts w:ascii="Times New Roman" w:cs="Times New Roman" w:eastAsia="Times New Roman" w:hAnsi="Times New Roman"/>
            <w:sz w:val="18"/>
            <w:szCs w:val="18"/>
            <w:u w:val="single" w:color="auto"/>
            <w:color w:val="0000EE"/>
          </w:rPr>
          <w:t>June 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any amendments or reports filed for the purpose of updating such description, including Exhibit 4.3 to our Annual</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Report on Form 10-K for the year ended December 31, 2024, as filed with the SEC on </w:t>
      </w:r>
      <w:hyperlink r:id="rId71">
        <w:r>
          <w:rPr>
            <w:rFonts w:ascii="Times New Roman" w:cs="Times New Roman" w:eastAsia="Times New Roman" w:hAnsi="Times New Roman"/>
            <w:sz w:val="18"/>
            <w:szCs w:val="18"/>
            <w:u w:val="single" w:color="auto"/>
            <w:color w:val="0000EE"/>
          </w:rPr>
          <w:t>March 11, 2025</w:t>
        </w:r>
      </w:hyperlink>
      <w:r>
        <w:rPr>
          <w:rFonts w:ascii="Times New Roman" w:cs="Times New Roman" w:eastAsia="Times New Roman" w:hAnsi="Times New Roman"/>
          <w:sz w:val="18"/>
          <w:szCs w:val="18"/>
          <w:color w:val="000000"/>
        </w:rPr>
        <w: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690880</wp:posOffset>
            </wp:positionH>
            <wp:positionV relativeFrom="paragraph">
              <wp:posOffset>-878840</wp:posOffset>
            </wp:positionV>
            <wp:extent cx="4286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 High Street, Suite 2100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(857) 321-8020</w:t>
      </w:r>
    </w:p>
    <w:p>
      <w:pPr>
        <w:spacing w:after="0" w:line="205" w:lineRule="exact"/>
        <w:rPr>
          <w:rFonts w:ascii="Times New Roman" w:cs="Times New Roman" w:eastAsia="Times New Roman" w:hAnsi="Times New Roman"/>
          <w:sz w:val="18"/>
          <w:szCs w:val="18"/>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these documents,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on our website at </w:t>
      </w:r>
      <w:r>
        <w:rPr>
          <w:rFonts w:ascii="Times New Roman" w:cs="Times New Roman" w:eastAsia="Times New Roman" w:hAnsi="Times New Roman"/>
          <w:sz w:val="18"/>
          <w:szCs w:val="18"/>
          <w:i w:val="1"/>
          <w:iCs w:val="1"/>
          <w:color w:val="auto"/>
        </w:rPr>
        <w:t>www.rapportrx.com</w:t>
      </w:r>
      <w:r>
        <w:rPr>
          <w:rFonts w:ascii="Times New Roman" w:cs="Times New Roman" w:eastAsia="Times New Roman" w:hAnsi="Times New Roman"/>
          <w:sz w:val="18"/>
          <w:szCs w:val="18"/>
          <w:color w:val="auto"/>
        </w:rPr>
        <w:t>. Information contained in or accessible through our website does not constitute a part of this prospectus and is not incorporated by reference in this prospectus. We have included our website solely as an inactive textual reference.</w:t>
      </w:r>
    </w:p>
    <w:p>
      <w:pPr>
        <w:spacing w:after="0" w:line="175" w:lineRule="exact"/>
        <w:rPr>
          <w:rFonts w:ascii="Times New Roman" w:cs="Times New Roman" w:eastAsia="Times New Roman" w:hAnsi="Times New Roman"/>
          <w:sz w:val="18"/>
          <w:szCs w:val="18"/>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176" w:lineRule="exact"/>
        <w:rPr>
          <w:rFonts w:ascii="Times New Roman" w:cs="Times New Roman" w:eastAsia="Times New Roman" w:hAnsi="Times New Roman"/>
          <w:sz w:val="18"/>
          <w:szCs w:val="18"/>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we filed with the SEC. We have incorporated exhibits into this registration statement. You should read the exhibits carefully for provisions that may be important to you.</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32"/>
          <w:szCs w:val="32"/>
          <w:i w:val="1"/>
          <w:i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344805</wp:posOffset>
            </wp:positionV>
            <wp:extent cx="1988820" cy="548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19888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32"/>
          <w:szCs w:val="32"/>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25"/>
          <w:szCs w:val="25"/>
          <w:i w:val="1"/>
          <w:i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i w:val="1"/>
          <w:iCs w:val="1"/>
          <w:color w:val="auto"/>
        </w:rPr>
        <w:t>Morgan Stanley</w:t>
      </w:r>
    </w:p>
    <w:p>
      <w:pPr>
        <w:spacing w:after="0" w:line="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i w:val="1"/>
          <w:iCs w:val="1"/>
          <w:color w:val="auto"/>
        </w:rPr>
        <w:t>Leerink Partners</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i w:val="1"/>
          <w:iCs w:val="1"/>
          <w:color w:val="auto"/>
        </w:rPr>
        <w:t>Evercore ISI</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i w:val="1"/>
          <w:iCs w:val="1"/>
          <w:color w:val="auto"/>
        </w:rPr>
        <w:t>BTIG</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i w:val="1"/>
          <w:iCs w:val="1"/>
          <w:color w:val="auto"/>
        </w:rPr>
        <w:t>Citizens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i w:val="1"/>
          <w:iCs w:val="1"/>
          <w:color w:val="auto"/>
        </w:rPr>
        <w:t>            , 2026</w:t>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lowerRoman"/>
      <w:start w:val="4"/>
    </w:lvl>
  </w:abstractNum>
  <w:abstractNum w:abstractNumId="10">
    <w:nsid w:val="3006C83E"/>
    <w:multiLevelType w:val="hybridMultilevel"/>
    <w:lvl w:ilvl="0">
      <w:lvlJc w:val="left"/>
      <w:lvlText w:val=" "/>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2"/>
    </w:lvl>
    <w:lvl w:ilvl="1">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lowerRoman"/>
      <w:start w:val="1"/>
    </w:lvl>
  </w:abstractNum>
  <w:abstractNum w:abstractNumId="18">
    <w:nsid w:val="7724C67E"/>
    <w:multiLevelType w:val="hybridMultilevel"/>
    <w:lvl w:ilvl="0">
      <w:lvlJc w:val="left"/>
      <w:lvlText w:val="(%1)"/>
      <w:numFmt w:val="lowerRoman"/>
      <w:start w:val="7"/>
    </w:lvl>
  </w:abstractNum>
  <w:abstractNum w:abstractNumId="19">
    <w:nsid w:val="5C482A97"/>
    <w:multiLevelType w:val="hybridMultilevel"/>
    <w:lvl w:ilvl="0">
      <w:lvlJc w:val="left"/>
      <w:lvlText w:val="(%1)"/>
      <w:numFmt w:val="lowerRoman"/>
      <w:start w:val="1"/>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lowerRoman"/>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lowerRoman"/>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jpe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jpeg"/><Relationship Id="rId65" Type="http://schemas.openxmlformats.org/officeDocument/2006/relationships/hyperlink" Target="http://www.sec.gov/ix?doc=/Archives/edgar/data/2012593/000119312526099360/rapp-20251231.htm" TargetMode="External"/><Relationship Id="rId66" Type="http://schemas.openxmlformats.org/officeDocument/2006/relationships/hyperlink" Target="http://www.sec.gov/ix?doc=/Archives/edgar/data/2012593/000119312526171828/d35380ddef14a.htm" TargetMode="External"/><Relationship Id="rId67" Type="http://schemas.openxmlformats.org/officeDocument/2006/relationships/hyperlink" Target="http://www.sec.gov/ix?doc=/Archives/edgar/data/0002012593/000119312526210355/rapp-20260331.htm" TargetMode="External"/><Relationship Id="rId68" Type="http://schemas.openxmlformats.org/officeDocument/2006/relationships/hyperlink" Target="http://www.sec.gov/ix?doc=/Archives/edgar/data/0002012593/000119312526333862/rapp-20260630.htm" TargetMode="External"/><Relationship Id="rId69" Type="http://schemas.openxmlformats.org/officeDocument/2006/relationships/hyperlink" Target="http://www.sec.gov/ix?doc=/Archives/edgar/data/2012593/000119312526425647/d185134d8k.htm" TargetMode="External"/><Relationship Id="rId70" Type="http://schemas.openxmlformats.org/officeDocument/2006/relationships/hyperlink" Target="http://www.sec.gov/Archives/edgar/data/2012593/000119312524154251/d836272d8a12b.htm" TargetMode="External"/><Relationship Id="rId71" Type="http://schemas.openxmlformats.org/officeDocument/2006/relationships/hyperlink" Target="http://www.sec.gov/Archives/edgar/data/2012593/000095017025036828/rapp-ex4_3.htm" TargetMode="External"/><Relationship Id="rId114" Type="http://schemas.openxmlformats.org/officeDocument/2006/relationships/hyperlink" Target="http://www.sec.gov/ix?doc=/Archives/edgar/data/0002012593/000119312525092133/d940377ddef14a.htm" TargetMode="External"/><Relationship Id="rId115" Type="http://schemas.openxmlformats.org/officeDocument/2006/relationships/hyperlink" Target="http://www.sec.gov/ix?doc=/Archives/edgar/data/0002012593/000119312526005446/rapp-20260107.htm" TargetMode="External"/><Relationship Id="rId116" Type="http://schemas.openxmlformats.org/officeDocument/2006/relationships/hyperlink" Target="http://www.sec.gov/ix?doc=/Archives/edgar/data/0002012593/000119312526005499/rapp-20260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2026-10-27T15:58:08Z</dcterms:created>
  <dcterms:modified xsi:type="dcterms:W3CDTF">2026-10-27T15:58:08Z</dcterms:modified>
</cp:coreProperties>
</file>