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pp-20260630.htm"/>
      <w:bookmarkStart w:id="1" w:name="ksrapp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18"/>
        </w:rPr>
        <w:t>_____________________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18"/>
        </w:rPr>
        <w:t>_____________________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001-42121</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Rapport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88-0724208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99 High Street, Suite 2100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(857) 321-8020</w:t>
      </w:r>
    </w:p>
    <w:p>
      <w:pPr>
        <w:pStyle w:val="TextBody"/>
        <w:bidi w:val="0"/>
        <w:spacing w:before="10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pBdr>
          <w:bottom w:val="single" w:sz="4" w:space="1" w:color="000000"/>
        </w:pBdr>
        <w:bidi w:val="0"/>
        <w:spacing w:before="40" w:after="283"/>
        <w:jc w:val="center"/>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RAPP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Global Market</w:t>
            </w:r>
          </w:p>
        </w:tc>
      </w:tr>
    </w:tbl>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both"/>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8"/>
        </w:rPr>
        <w:t>As of August 3, 2026, the registrant had 47,978,286</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operations_and_comprehensive_los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referred_stock_and_stockholders_deficit">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notes_condensed_consolidated_financial">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3_defaults_upon_senior_securitie">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forward-looking statements can be identified by terms such as “may,” “will,” “should,” “would,” “expect,” “plan,” “anticipate,” “could,” “intend,” “target,” “project,” “believe,” “estimate,” “predict,” “potential,” or “continue” or the negative of these terms or other similar expressions. Forward-looking statements contained in this Quarterly Report may include, but are not limited to, statements about: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identify, develop, and commercialize current and future product candidates based on our RAP technology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initiation, timing, progress, and results of our research and development programs, preclinical studies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translation of endpoints in our current and planned clinical trials to planned and future registrational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replicate positive results from earlier preclinical studies or clinical trials conducted by us or third parties in current or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demonstrate that our current and future product candidates are safe and effective for their proposed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number of patients with the diseases or disorders we elect to pursue with our product candidates, and the willingness of those patient populations to use and adhere to our product candidates if approved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implementation of our business model, and strategic plans for our business, programs, future product candidates, platform, and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advance any product candidates through applicable regulatory approval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obtain additional cash and the sufficiency of our existing cash, cash equivalents and short-term investments to fund our future operating expenses and capital expenditure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accuracy of our estimates regarding expenses, future revenue, capital requirements, and needs for additional financing;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our ability to comply with our obligations under our intellectual property licenses with third parties, including Janssen Pharmaceutical NV;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maintain, expand and protect our intellectual property portfolio;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developments relating to our competitors and our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existing regulations and regulatory developments in the United States and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identify and enter into future license agreements and collaborations;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general economic, industry, and market conditions, including rising interest rates and inflation;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our ability to attract, hire, and retain our key personnel and additional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achieve any milestones in connection with our license agreement with Tenacia Biotechnology (Hong Kong) Co., Ltd.;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anticipated use of our existing cash, cash equivalents and short-term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the documents that we reference in this Quarterly Report and the other documents that we file with the Securities and Exchange Commission (“SEC”) with the understanding that our actual future results, levels of activity, performance and events and circumstances may be materially different from what we expect.</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which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additional funding in order to finance operations. If we are unable to raise capital when needed, or on acceptable terms, we could be forced to delay, reduce or eliminate our product development programs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highly dependent on the success of our product candidates, particularly RAP-219 for focal onset seizures. If we are unable to successfully complete clinical development, obtain regulatory approval for or commercialize one or more of our product candidates, or if we experience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development of pharmaceutical products involves a lengthy and expensive process and is highly uncertain.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Food and Drug Administration, European Medicines Agency, Medicines and Healthcare products Regulatory Agency and other comparable regulatory authorities are lengthy, time-consuming and inherently unpredictable, and if we are ultimately unable to obtain regulatory approval for our product candidates,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a third party having accurately generated, collected, interpreted and reported data from certain preclinical studies and clinical trials that were previously conducted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clinical trials fail to replicate positive results from earlier preclinical studies or clinical trials conducted by us or third parties, we may be unable to successfully develop, obtain regulatory approval for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undesirable side effects or have other properties that could delay or prevent their regulatory approval, limit the commercial profile of an approved label, or result in significant negative consequences following regulatory approval, if obtained.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achieve our projected development and commercialization goals in the timeframes we announce and expect, the development and commercialization of our product candidates may be delayed, and our business and results of operations may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on the treatment of disorders of the nervous system, a field that faces certain challenges in drug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in-licensed intellectual property. If we fail to comply with our obligations under our intellectual property licenses with third parties, we could lose license rights that are important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licensors are unable to obtain and maintain patent protection for our product candidates, or if the scope of the patent protection obtained is not sufficiently broad, our competitors could develop and commercialize products similar or identical to our product candidates and our ability to successfully commercialize our product candidates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in the section titled “Risk Factors” and the other information set forth in this Quarterly Report, as well as in other documents that we file with the SEC. The risks summarized above or described in full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jc w:val="left"/>
        <w:rPr>
          <w:rFonts w:ascii="Times New Roman" w:hAnsi="Times New Roman"/>
          <w:sz w:val="20"/>
        </w:rPr>
      </w:pPr>
      <w:bookmarkStart w:id="3" w:name="item_1_financial_statements"/>
      <w:bookmarkEnd w:id="3"/>
      <w:r>
        <w:rPr>
          <w:rFonts w:ascii="Times New Roman" w:hAnsi="Times New Roman"/>
          <w:b/>
          <w:color w:val="000000"/>
          <w:sz w:val="20"/>
        </w:rPr>
        <w:t>Item 1. Financial</w:t>
      </w:r>
      <w:r>
        <w:rPr>
          <w:rFonts w:ascii="Times New Roman" w:hAnsi="Times New Roman"/>
          <w:color w:val="000000"/>
          <w:sz w:val="20"/>
        </w:rPr>
        <w:t xml:space="preserve"> </w:t>
      </w:r>
      <w:r>
        <w:rPr>
          <w:rFonts w:ascii="Times New Roman" w:hAnsi="Times New Roman"/>
          <w:b/>
          <w:color w:val="000000"/>
          <w:sz w:val="20"/>
        </w:rPr>
        <w:t>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Rapport Therapeutics, Inc. </w:t>
      </w:r>
    </w:p>
    <w:p>
      <w:pPr>
        <w:pStyle w:val="TextBody"/>
        <w:bidi w:val="0"/>
        <w:jc w:val="center"/>
        <w:rPr>
          <w:rFonts w:ascii="Times New Roman" w:hAnsi="Times New Roman"/>
          <w:color w:val="000000"/>
          <w:sz w:val="20"/>
        </w:rPr>
      </w:pPr>
      <w:bookmarkStart w:id="4" w:name="balance_sheets"/>
      <w:bookmarkEnd w:id="4"/>
      <w:r>
        <w:rPr>
          <w:rFonts w:ascii="Times New Roman" w:hAnsi="Times New Roman"/>
          <w:color w:val="000000"/>
          <w:sz w:val="20"/>
        </w:rPr>
        <w:t xml:space="preserve">Condensed Consolidated Balance Sheets </w:t>
      </w:r>
    </w:p>
    <w:p>
      <w:pPr>
        <w:pStyle w:val="TextBody"/>
        <w:bidi w:val="0"/>
        <w:jc w:val="center"/>
        <w:rPr>
          <w:rFonts w:ascii="Times New Roman" w:hAnsi="Times New Roman"/>
          <w:sz w:val="20"/>
        </w:rPr>
      </w:pPr>
      <w:r>
        <w:rPr>
          <w:rFonts w:ascii="Times New Roman" w:hAnsi="Times New Roman"/>
          <w:i/>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4"/>
        <w:gridCol w:w="211"/>
        <w:gridCol w:w="841"/>
        <w:gridCol w:w="166"/>
        <w:gridCol w:w="146"/>
        <w:gridCol w:w="213"/>
        <w:gridCol w:w="851"/>
        <w:gridCol w:w="613"/>
      </w:tblGrid>
      <w:tr>
        <w:trPr/>
        <w:tc>
          <w:tcPr>
            <w:tcW w:w="7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437,894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498,561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512,431</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Undesignated preferred stock, $0.001 par value; 10,000,000 shares authorized at June 30, 2026 and December 31, 2025, respectively; zero shares issued and outstanding at June 30, 2026 and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500,000,000 shares authorized at June 30, 2026 and December 31, 2025; 47,955,079 shares and 47,772,567 shares issued and outstanding as of June 30,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719,287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(235,228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484,653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512,431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xml:space="preserve">Rapport Therapeutics, Inc. </w:t>
      </w:r>
    </w:p>
    <w:p>
      <w:pPr>
        <w:pStyle w:val="TextBody"/>
        <w:bidi w:val="0"/>
        <w:jc w:val="center"/>
        <w:rPr>
          <w:rFonts w:ascii="Times New Roman" w:hAnsi="Times New Roman"/>
          <w:color w:val="000000"/>
          <w:sz w:val="20"/>
        </w:rPr>
      </w:pPr>
      <w:bookmarkStart w:id="5" w:name="operations_and_comprehensive_loss"/>
      <w:bookmarkEnd w:id="5"/>
      <w:r>
        <w:rPr>
          <w:rFonts w:ascii="Times New Roman" w:hAnsi="Times New Roman"/>
          <w:color w:val="000000"/>
          <w:sz w:val="20"/>
        </w:rPr>
        <w:t xml:space="preserve">Condensed Consolidated Statements of Operations and Comprehensive Loss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47,473,174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47,355,550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35,356,098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(losses) gains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xml:space="preserve">Rapport Therapeutics, Inc. </w:t>
      </w:r>
    </w:p>
    <w:p>
      <w:pPr>
        <w:pStyle w:val="TextBody"/>
        <w:bidi w:val="0"/>
        <w:jc w:val="center"/>
        <w:rPr>
          <w:rFonts w:ascii="Times New Roman" w:hAnsi="Times New Roman"/>
          <w:color w:val="000000"/>
          <w:sz w:val="20"/>
        </w:rPr>
      </w:pPr>
      <w:bookmarkStart w:id="6" w:name="preferred_stock_and_stockholders_deficit"/>
      <w:bookmarkEnd w:id="6"/>
      <w:r>
        <w:rPr>
          <w:rFonts w:ascii="Times New Roman" w:hAnsi="Times New Roman"/>
          <w:color w:val="000000"/>
          <w:sz w:val="20"/>
        </w:rPr>
        <w:t>Condensed Consolidated Statement of Stockholders’ Equity</w:t>
      </w:r>
    </w:p>
    <w:p>
      <w:pPr>
        <w:pStyle w:val="TextBody"/>
        <w:bidi w:val="0"/>
        <w:jc w:val="center"/>
        <w:rPr>
          <w:rFonts w:ascii="Times New Roman" w:hAnsi="Times New Roman"/>
          <w:sz w:val="20"/>
        </w:rPr>
      </w:pPr>
      <w:r>
        <w:rPr>
          <w:rFonts w:ascii="Times New Roman" w:hAnsi="Times New Roman"/>
          <w:i/>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000"/>
        <w:gridCol w:w="146"/>
        <w:gridCol w:w="146"/>
        <w:gridCol w:w="146"/>
        <w:gridCol w:w="916"/>
        <w:gridCol w:w="166"/>
        <w:gridCol w:w="146"/>
        <w:gridCol w:w="249"/>
        <w:gridCol w:w="442"/>
        <w:gridCol w:w="146"/>
        <w:gridCol w:w="146"/>
        <w:gridCol w:w="196"/>
        <w:gridCol w:w="691"/>
        <w:gridCol w:w="166"/>
        <w:gridCol w:w="146"/>
        <w:gridCol w:w="310"/>
        <w:gridCol w:w="906"/>
        <w:gridCol w:w="166"/>
        <w:gridCol w:w="146"/>
        <w:gridCol w:w="217"/>
        <w:gridCol w:w="834"/>
        <w:gridCol w:w="166"/>
        <w:gridCol w:w="146"/>
        <w:gridCol w:w="276"/>
        <w:gridCol w:w="977"/>
        <w:gridCol w:w="213"/>
      </w:tblGrid>
      <w:tr>
        <w:trPr/>
        <w:tc>
          <w:tcPr>
            <w:tcW w:w="2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992" w:type="dxa"/>
            <w:gridSpan w:val="2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47,772,567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484,653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unvested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(loss) on investments,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47,807,453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471,512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(loss) on investments,</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47,955,079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422,926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36,580,202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305,427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unvested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(loss) on investments,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36,497,434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285,836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(loss) on investments,</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36,497,677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263,512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xml:space="preserve">Rapport Therapeutics, Inc. </w:t>
      </w:r>
    </w:p>
    <w:p>
      <w:pPr>
        <w:pStyle w:val="TextBody"/>
        <w:bidi w:val="0"/>
        <w:jc w:val="center"/>
        <w:rPr>
          <w:rFonts w:ascii="Times New Roman" w:hAnsi="Times New Roman"/>
          <w:color w:val="000000"/>
          <w:sz w:val="20"/>
        </w:rPr>
      </w:pPr>
      <w:bookmarkStart w:id="7" w:name="statements_of_cash_flows"/>
      <w:bookmarkEnd w:id="7"/>
      <w:r>
        <w:rPr>
          <w:rFonts w:ascii="Times New Roman" w:hAnsi="Times New Roman"/>
          <w:color w:val="000000"/>
          <w:sz w:val="20"/>
        </w:rPr>
        <w:t xml:space="preserve">Condensed Consolidated Statements of Cash Flows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998" w:type="dxa"/>
        <w:jc w:val="left"/>
        <w:tblInd w:w="0" w:type="dxa"/>
        <w:tblLayout w:type="fixed"/>
        <w:tblCellMar>
          <w:top w:w="28" w:type="dxa"/>
          <w:left w:w="28" w:type="dxa"/>
          <w:bottom w:w="28" w:type="dxa"/>
          <w:right w:w="28" w:type="dxa"/>
        </w:tblCellMar>
      </w:tblPr>
      <w:tblGrid>
        <w:gridCol w:w="7291"/>
        <w:gridCol w:w="211"/>
        <w:gridCol w:w="781"/>
        <w:gridCol w:w="166"/>
        <w:gridCol w:w="146"/>
        <w:gridCol w:w="211"/>
        <w:gridCol w:w="781"/>
        <w:gridCol w:w="411"/>
      </w:tblGrid>
      <w:tr>
        <w:trPr/>
        <w:tc>
          <w:tcPr>
            <w:tcW w:w="7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loss on sale of 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(accretion) and amortization of investments in marketable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short-term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short-term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equipment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unvested restricted common stock</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cash equivalents, and restricted 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for noncash investing and financing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accounts payable and accrued expenses at period end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shown in the statement of cash flows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Rapport Therapeutics, Inc. </w:t>
      </w:r>
    </w:p>
    <w:p>
      <w:pPr>
        <w:pStyle w:val="TextBody"/>
        <w:bidi w:val="0"/>
        <w:jc w:val="center"/>
        <w:rPr>
          <w:rFonts w:ascii="Times New Roman" w:hAnsi="Times New Roman"/>
          <w:color w:val="000000"/>
          <w:sz w:val="20"/>
        </w:rPr>
      </w:pPr>
      <w:bookmarkStart w:id="8" w:name="notes_condensed_consolidated_financial"/>
      <w:bookmarkEnd w:id="8"/>
      <w:r>
        <w:rPr>
          <w:rFonts w:ascii="Times New Roman" w:hAnsi="Times New Roman"/>
          <w:color w:val="000000"/>
          <w:sz w:val="20"/>
        </w:rPr>
        <w:t>Notes to Condensed Consolidated Financial Statements</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rFonts w:ascii="Times New Roman" w:hAnsi="Times New Roman"/>
          <w:sz w:val="20"/>
        </w:rPr>
      </w:pPr>
      <w:r>
        <w:rPr>
          <w:rFonts w:ascii="Times New Roman" w:hAnsi="Times New Roman"/>
          <w:b/>
          <w:color w:val="000000"/>
          <w:sz w:val="20"/>
        </w:rPr>
        <w:t>1. Nature of the Business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Rapport Therapeutics, Inc., together with its consolidated subsidiary (the “Company”) is a clinical-stage biotechnology company dedicated to discovering and developing small molecule precision medicines for patients with neurological or psychiatric disorders. The Company was incorporated in the state of Delaware in February 2022 as Precision Neuroscience NewCo, Inc. In October 2022, the Company changed its name to Rapport Therapeutics, Inc. The Company is located in Boston, Massachusetts and San Diego, California.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subject to risks and uncertainties common to early stage companies in the biotechnology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product sales.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on the basis of continuity of operations, realization of assets and the satisfaction of liabilities and commitments in the ordinary course of business. The Company has incurred recurring losses since its inception, including net losses of $76.5 million and $50.8 million for the six months ended June 30, 2026 and 2025, respectively. As of June 30, 2026, the Company had an accumulated deficit of $311.7 million. The Company had cash, cash equivalents and short-term investments, excluding restricted cash, of $436.1 million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Company completed an underwritten follow-on public offering of its common stock which resulted in net proceeds of $269.4 million (the “September 2025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continue to generate operating losses for the foreseeable future. The Company expects that its cash, cash equivalents and short-term investments will be sufficient to fund its operating expenses and capital expenditure requirements through at least 12 months from the issuance of these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will need additional financing to support its continuing operations and pursue its growth strategy. Until such time as the Company can generate significant revenue from product sales, if ever, it expects to finance its operations through equity offerings, debt financings or other capital sources, including collaborations with other companies or other strategic transactions. The Company may not be able to obtain funding on acceptable terms, or at all. The terms of any financing may adversely affect the holdings or the rights of the Company’s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inability to raise capital as and when needed would have a negative impact on the Company’s financial condition and its ability to pursue its business strategy. The company will need to generate significant revenue to achieve profitability, and it may never do so.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Company is unable to obtain funding, it could be forced to delay, reduce or eliminate some or all of its research and development programs, which could adversely affect its business prospects, or it may be unable to continue operations. Although management continues to pursue these plans, there is no assurance that the Company will be successful in obtaining sufficient funding on terms acceptable to the Company to fund continuing operations,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by the Company in accordance with accounting principles generally accepted in the United States of America (“GAAP”) for interim financial reporting and as required by Regulation S-X, Rule 10-01. The accompanying unaudited condensed consolidated financial statements reflect the operations of the Company. Intercompany balances and transactions have been eliminated in consolidation.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interim financial statements have been prepared on the same basis as the audited annual financial statements and, in the opinion of management, reflect all adjustments, which include only normal recurring adjustments, necessary for a fair statement of the Company’s financial position as of June 30, 2026 and the results of operations for the three and six months ended June 30, 2026 and 2025. The condensed consolidated balance sheet as of December 31, 2025 was derived from audited annual financial statements but does not include all disclosures required by GAAP. The results of operations for the interim periods are not necessarily indicative of results to be expected for the year ending December 31, 2026, any other interim periods, or any future year or period.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Annual Report on Form 10-K that was filed with the SEC on March 10, 2026 except as detailed below regarding accounting for collaboration arrangements and revenue recognition.</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Company’s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periods. Significant estimates and assumptions reflected within these condensed consolidated financial statements include, but are not limited to, research and development expenses and accruals, and the valuation of the Company’s stock-based awards. The Company bases its estimates on known trends and other market-specific or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Concentrations of Credit Risk and of Significant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expose the Company to concentrations of credit risk consist primarily of cash, cash equivalents and short-term investments. The Company maintains its cash and cash equivalents at high-quality and accredited financial institutions in amounts that could exceed federally insured limits. Cash equivalents are invested in money market funds. However, the Company does not believe that it is subject to unusual credit risk beyond the normal credit risk associated with commercial banking relationships. The Company’s short-term investments consist of U.S. Treasury bills, government securities, and government agency securities and as a result, the Company believes represent minimal credit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dependent on third-party vendors for its product candidates. In particular, the Company relies, and expects to continue to rely, on a small number of vendors and collaborations with third parties to manufacture supplies and process its product candidates for its development programs. These programs could be adversely affected by a significant interruption in the manufacturing process.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as of June 30, 2026 and December 31, 2025 was restricted as cash collateral for the Company’s business credit card program.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short-term, highly liquid investments, with original maturities of three months or less, to be cash equivalents. As of June 30, 2026 and December 31, 2025, cash equivalents include $49.3 million and $47.9 million held in money market funds,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Short-Term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short-term investments consist of investments in debt securities, including U.S. Treasury bills, government securities, and government agency securities with remaining maturities beyond three months at the date of purchase that are available to be converted into cash to fund its current operations. As of June 30, 2026 and December 31, 2025, all of the Company’s debt securities were classified as available-for-sale and were carried at fair market value (see Note 3). The unrealized gains and losses on the Company’s available-for-sale debt securities are recorded in other comprehensive income (loss) in the condensed consolidated statements of operations and comprehensive loss. Realized gains and losses are included in other income in the consolidated statements of operations and comprehensive loss and are determined using the specific identification method with transactions recorded on a trade date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securities in an unrealized loss position are evaluated for impairment at least quarterly. For available-for-sale debt securities in an unrealized loss position, the Company first assesses whether or not it intends to sell, or it is more likely than not that it will be required to sell the security before recovery of its amortized cost basis. If either of the criteria regarding intent or requirement to sell is met, the investment security’s amortized cost basis is written down to fair value through net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available-for-sale debt securities that do not meet the aforementioned criteria, the Company evaluates whether the decline in fair value has resulted from credit losses or other factors. In conducting this assessment for debt securities in an unrealized loss position, management evaluates the extent to which fair value is less than amortized cost, any changes to the rating of the security by a rating agency, and adverse conditions specifically related to the security, among other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this assessment indicates that a credit loss exists, the present value of cash flows expected to be collected from the investment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unrealized loss that has not been recorded through an allowance for credit loss is recognized in other comprehensive income (loss). As of June 30, 2026 and December 31, 2025, there was no allowance for credit losses recorded on the Company’s condensed consolidated balance sheet.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interest income consists of interest earned from cash, cash equivalents, and short-term investments.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Offering Costs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convertible preferred stock or in stockholders’ equity (deficit) as a reduction of additional paid-in capital generated as a result of the offering. Should the in-process equity financing be abandoned, the deferred offering costs would be expensed immediately as a charge to operating expenses in the condensed consolidated statements of operations and comprehensive loss. In connection with the 2026 Registration Statement (as defined below), there were $0.4 million of deferred offering costs recorded.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Company recorded deferred offering costs of $0.4 million and $35 thousand, respectively, on its condensed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Collaboration Arrangements</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The Company analyzes its license agreements at contract inception to assess whether they are collaborative arrangements as defined by ASC No. 808, </w:t>
      </w:r>
      <w:r>
        <w:rPr>
          <w:rFonts w:ascii="Times New Roman" w:hAnsi="Times New Roman"/>
          <w:i/>
          <w:color w:val="000000"/>
          <w:sz w:val="20"/>
        </w:rPr>
        <w:t>Collaborative Arrangements</w:t>
      </w:r>
      <w:r>
        <w:rPr>
          <w:rFonts w:ascii="Times New Roman" w:hAnsi="Times New Roman"/>
          <w:color w:val="000000"/>
          <w:sz w:val="20"/>
        </w:rPr>
        <w:t xml:space="preserve"> (ASC 808). Such determination is made based on whether the arrangements involve a joint operating activity in which both parties are active participants and exposed to significant risks and rewards that are dependent on the commercial success of the activity. To the extent an arrangement is within the scope of ASC 808, the Company evaluates whether any aspect of the arrangement between the Company and its partner is subject to other accounting literature. Transactions in a collaborative arrangement associated with vendor-customer exchanges between the parties are accounted for in accordance with ASC No. 606, </w:t>
      </w:r>
      <w:r>
        <w:rPr>
          <w:rFonts w:ascii="Times New Roman" w:hAnsi="Times New Roman"/>
          <w:i/>
          <w:color w:val="000000"/>
          <w:sz w:val="20"/>
        </w:rPr>
        <w:t xml:space="preserve">Revenue from Contracts with Customers </w:t>
      </w:r>
      <w:r>
        <w:rPr>
          <w:rFonts w:ascii="Times New Roman" w:hAnsi="Times New Roman"/>
          <w:color w:val="000000"/>
          <w:sz w:val="20"/>
        </w:rPr>
        <w:t>(ASC 606). Any aspect of a collaborative arrangement that is within the scope of other literature is accounted for pursuant to the applicable guidance. Transactions between collaborative partners that are outside the scope of other guidance are accounted for based on an analogy to authoritative accounting literature, or a reasonable, rational and consistently applied accounting policy election if there is no appropriate analogy. The Company considers the nature of the arrangement, nature of its business operations and contractual terms of the arrangement in determining the treatment of transactions not addressed within other accounting literature. Payments or reimbursements from collaborators related to shared research and development costs are recorded as a reduction to research and development expense, as such amounts represent cost</w:t>
        <w:noBreakHyphen/>
        <w:t>sharing in the context of a collaborative arrangement rather than consideration for goods or services provided to a customer.</w:t>
      </w:r>
    </w:p>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Revenue recognized to-date has been generated exclusively from the Company’s license arrangement with Tenacia Biotechnology (Hong Kong) Co., Ltd. (“Tenacia”) pursuant to which it licensed the rights to certain named compounds for exploitation in specified territories (the “Tenacia License Agreement”). Through June 30, 2026, the Company has no products approved for commercial use and has not generated any revenue from product sales. Accordingly, the Company’s revenue has been presented as collaboration revenue within the accompanying condensed consolidated statement of operations and comprehensive loss.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For transactions and contracts in which the counterparty is a customer, the Company recognizes revenue in accordance with ASC 606. Under ASC 606, the Company recognizes revenue when its customer obtains control of the promised goods and/or services in an amount that reflects the consideration it expects to receive in exchange for those goods and/or services. To determine the appropriate amount of revenue to be recognized for agreements and elements of contracts determined to be within the scope of ASC 606, the Company performs the following steps: (i) Identify the contract(s) with the customer, (ii) Identify the promised goods and/or services in the contract and determine which promised goods and/or services represent performance obligations, (iii) Measure the transaction price, (iv) Allocate the transaction price to the performance obligations in the contract and (v) Recognize revenue when (or as) each performance obligation is satisfied.</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Pursuant to the guidance in ASC 606, the Company accounts for a contract or elements of a contract with a customer that is within the scope of ASC 606, when all of the following criteria are met: (i) The arrangement has been approved by the parties and the parties are committed to perform their respective obligations, (ii) Each party’s rights regarding the goods and/or services to be transferred can be identified, (iii) The payment terms for the goods and/or services to be transferred can be identified, (iv) The arrangement has commercial substance and (v) Collection of substantially all of the consideration to which the Company will be entitled in exchange for the goods and/or services that will be transferred to the customer is probable.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 assesses the goods and/or services promised within a contract or elements of a contract that contains multiple promises to evaluate which promises are distinct. Promises are considered to be distinct and therefore, accounted for as separate performance obligations, provided that: (i) The customer can benefit from the good or service either on its own or together with other resources that are readily available to the customer and (ii) The promise to transfer the good or service to the customer is separately identifiable from the other promises in the contract or elements of a contract. The Company determines that a customer can benefit from a good or service if it could be used, consumed, sold or otherwise held in a way that generates economic benefits. Factors that are considered in determining whether or not two or more promises are not separately identifiable include, but are not limited to, the following: (i) The Company provides a significant service of integrating goods and/or services with other goods and/or services promised, (ii) One or more of the goods and/or services significantly modifies or customizes, or are significantly modified or customized by, one or more of the other goods and/or services promised and (iii) The goods and/or services are highly interdependent or highly interrelated. In assessing whether promised goods and/or services are distinct from the other promises, the Company considers factors such as the stage of development of the underlying intellectual property, the capabilities of the collaborative partner and the availability of the associated expertise in the marketplace. The Company also considers whether the customer can benefit from a promise for its intended purpose without the receipt of the remaining promises and whether the value of a promise is dependent on the unsatisfied promises. Individual goods or services (or bundles of goods and/or services) that meet both criteria for being distinct are accounted for as separate performance obligations. Promises that are not distinct at contract inception are combined into a single performance obligation. Significant judgments made in accounting for contracts with customers primarily relate to the identification of performance obligations in the arrangement.</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Company considers a customer’s right to elect to obtain additional goods and/or services at such customer’s discretion to be an option if it is not presently obligated to provide the goods and/or services and it is not entitled to compensation in exchange for the associated goods and/or services. Options to acquire additional goods and/or services are evaluated to determine if the option provides a material right to the customer that it would not have received without entering into the contract. If so, the option is accounted for as a separate performance obligation. If not, the option is considered a marketing offer which would be accounted for as a separate contract upon the customer’s exercise. Situations in which a customer has an ability to acquire additional goods and/or services for free or at significantly discounted rates would be considered to provide the customer with a material right. Options to purchase goods and/or services at prices that reflect the standalone selling prices of the associated goods and/or services are accounted for as marketing offers.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The Company measures the transaction price in reference to the amount of consideration to which it expects to be entitled in exchange for transferring the promised goods and/or services to the customer. Accordingly, the transaction price at inception is comprised entirely of a fixed fee due a specified number of days from contract execution. With respect to royalties, including milestone payments triggered upon the first commercial sale of a licensed product or based upon the achievement of a certain level of product sales, wherein the license is deemed to be the sole or predominant item to which the payments relate, the Company recognizes revenue upon the later of: (i) When the related sales occur or (ii) When the performance obligation to which some or all of the payment has been allocated has been satisfied (or partially satisfied). Amounts to be received with respect to customer options will be included in the transaction price for the associated contract upon exercise.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Company allocates the transaction price to each performance obligation identified in the contract on a relative standalone selling price basis. The Company’s contract with Tenacia is comprised of a single performance obligation. Therefore, the transaction price has been allocated in its entirety to the sole performance obligation identified in the arrangement. Option exercise fees are allocated to the goods and/or services underlying the associated option.</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Revenue is recognized based on the amount of the transaction price that is allocated to each respective performance obligation when or as the performance obligation is satisfied by transferring a promised good and/or service to the customer. For performance obligations that are satisfied at a point in time, the Company recognizes revenue when control of the goods and/or services are transferred to the customer. For performance obligations that are satisfied over time, the Company recognizes revenue by measuring the progress toward complete satisfaction of the performance obligation using a single method of measuring progress which depicts the performance in transferring control of the associated goods and/or services to the customer. With respect to promises related to licenses to intellectual property that are determined to be distinct from the other performance obligations identified in the arrangement, the Company recognizes revenue from amounts allocated to the license when the license is transferred to the licensee and the licensee is able to use and benefit from the license.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Company receives payments from its licensee based on billing schedules established in the contract. Upfront payments are recorded as contract liabilities within deferred revenue until the Company performs its obligations under the associated agreement. No portion of any upfront payments remains deferred as of June 30, 2026. Amounts payable to the Company are recorded as accounts receivable when the Company’s right to the consideration is unconditional.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only has one class of shares outstanding, and basic net loss per common share is computed by dividing the net loss by the weighted average number of shares of common stock outstanding for the period. Diluted net loss per common share is computed by dividing net loss by the weighted average number of shares of common stock outstanding for the period, including potential dilutive common shares assuming the dilutive effect of outstanding stock awards. For periods in which the Company reports a net loss, diluted net loss per common share is the same as basic net loss per common share, since dilutive common shares are not assumed to have been issued if their effect is anti-dilutive. </w:t>
      </w:r>
    </w:p>
    <w:p>
      <w:pPr>
        <w:pStyle w:val="TextBody"/>
        <w:bidi w:val="0"/>
        <w:spacing w:before="360" w:after="283"/>
        <w:jc w:val="left"/>
        <w:rPr>
          <w:rFonts w:ascii="Times New Roman" w:hAnsi="Times New Roman"/>
          <w:sz w:val="20"/>
        </w:rPr>
      </w:pPr>
      <w:r>
        <w:rPr>
          <w:rFonts w:ascii="Times New Roman" w:hAnsi="Times New Roman"/>
          <w:b/>
          <w:i/>
          <w:color w:val="000000"/>
          <w:sz w:val="20"/>
        </w:rPr>
        <w:t>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includes net loss as well as other changes in stockholders’ equity (deficit) that result from transactions and economic events other than those with stockholders. As per the statements of operations and comprehensive loss for the three and six months ended June 30, 2026, comprehensive loss includes unrealized loss on short-term investments. For the three and six months ended June 30, 2025, comprehensive loss was partially offset by unrealized gains on short-term investments.</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 - Reporting Comprehensive Income - Expense Disaggregation Disclosures (Subtopic 220-40): Disaggregation of Income Statement Expenses, which requires disclosures about specific types of expenses included in the expense captions presented on the face of the income statement as well as disclosures about selling expenses. The requirements of the ASU are effective for annual periods beginning after December 15, 2026, and for interim periods beginning after December 15, 2027, with early adoption permitted. The requirements will be applied prospectively with the option for retrospective application. The Company is currently in the process of evaluating the effects of this pronouncement on its related disclosures. </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(in thousands): </w:t>
      </w:r>
    </w:p>
    <w:p>
      <w:pPr>
        <w:pStyle w:val="TextBody"/>
        <w:bidi w:val="0"/>
        <w:spacing w:before="120" w:after="283"/>
        <w:jc w:val="left"/>
        <w:rPr/>
      </w:pPr>
      <w:r>
        <w:rPr/>
        <w:t> </w:t>
      </w:r>
    </w:p>
    <w:tbl>
      <w:tblPr>
        <w:tblW w:w="7934" w:type="dxa"/>
        <w:jc w:val="left"/>
        <w:tblInd w:w="0" w:type="dxa"/>
        <w:tblLayout w:type="fixed"/>
        <w:tblCellMar>
          <w:top w:w="28" w:type="dxa"/>
          <w:left w:w="28" w:type="dxa"/>
          <w:bottom w:w="28" w:type="dxa"/>
          <w:right w:w="28" w:type="dxa"/>
        </w:tblCellMar>
      </w:tblPr>
      <w:tblGrid>
        <w:gridCol w:w="2966"/>
        <w:gridCol w:w="211"/>
        <w:gridCol w:w="676"/>
        <w:gridCol w:w="146"/>
        <w:gridCol w:w="146"/>
        <w:gridCol w:w="211"/>
        <w:gridCol w:w="781"/>
        <w:gridCol w:w="146"/>
        <w:gridCol w:w="146"/>
        <w:gridCol w:w="239"/>
        <w:gridCol w:w="391"/>
        <w:gridCol w:w="146"/>
        <w:gridCol w:w="146"/>
        <w:gridCol w:w="211"/>
        <w:gridCol w:w="781"/>
        <w:gridCol w:w="591"/>
      </w:tblGrid>
      <w:tr>
        <w:trPr/>
        <w:tc>
          <w:tcPr>
            <w:tcW w:w="2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934" w:type="dxa"/>
        <w:jc w:val="left"/>
        <w:tblInd w:w="0" w:type="dxa"/>
        <w:tblLayout w:type="fixed"/>
        <w:tblCellMar>
          <w:top w:w="28" w:type="dxa"/>
          <w:left w:w="28" w:type="dxa"/>
          <w:bottom w:w="28" w:type="dxa"/>
          <w:right w:w="28" w:type="dxa"/>
        </w:tblCellMar>
      </w:tblPr>
      <w:tblGrid>
        <w:gridCol w:w="2966"/>
        <w:gridCol w:w="211"/>
        <w:gridCol w:w="676"/>
        <w:gridCol w:w="146"/>
        <w:gridCol w:w="146"/>
        <w:gridCol w:w="211"/>
        <w:gridCol w:w="781"/>
        <w:gridCol w:w="146"/>
        <w:gridCol w:w="146"/>
        <w:gridCol w:w="239"/>
        <w:gridCol w:w="391"/>
        <w:gridCol w:w="146"/>
        <w:gridCol w:w="146"/>
        <w:gridCol w:w="211"/>
        <w:gridCol w:w="781"/>
        <w:gridCol w:w="591"/>
      </w:tblGrid>
      <w:tr>
        <w:trPr/>
        <w:tc>
          <w:tcPr>
            <w:tcW w:w="2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Money market funds are highly liquid and actively traded marketable securities that generally transact at a stable $1.00 net asset value representing its estimated fair value. There were no transfers between Level 1, Level 2 and Level 3 during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its marketable securities as short-term because they are available to be converted into cash to fund current operations. The fair value of the Company’s U.S. Treasury bills, government securities, and government agency securities are classified as Level 2 because they are valued using observable inputs to quoted market prices, benchmark yields, reported trades, broker/dealer quotes or alternative pricing sources with reasonable levels of price transparency.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underlying securities held in the money market funds held by the Company are all government backed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Short-term investments consisted of the following (in thousands): </w:t>
      </w:r>
    </w:p>
    <w:p>
      <w:pPr>
        <w:pStyle w:val="TextBody"/>
        <w:bidi w:val="0"/>
        <w:jc w:val="left"/>
        <w:rPr/>
      </w:pPr>
      <w:r>
        <w:rPr/>
        <w:t> </w:t>
      </w:r>
    </w:p>
    <w:tbl>
      <w:tblPr>
        <w:tblW w:w="7809" w:type="dxa"/>
        <w:jc w:val="left"/>
        <w:tblInd w:w="0" w:type="dxa"/>
        <w:tblLayout w:type="fixed"/>
        <w:tblCellMar>
          <w:top w:w="28" w:type="dxa"/>
          <w:left w:w="28" w:type="dxa"/>
          <w:bottom w:w="28" w:type="dxa"/>
          <w:right w:w="28" w:type="dxa"/>
        </w:tblCellMar>
      </w:tblPr>
      <w:tblGrid>
        <w:gridCol w:w="2766"/>
        <w:gridCol w:w="211"/>
        <w:gridCol w:w="781"/>
        <w:gridCol w:w="146"/>
        <w:gridCol w:w="146"/>
        <w:gridCol w:w="335"/>
        <w:gridCol w:w="551"/>
        <w:gridCol w:w="146"/>
        <w:gridCol w:w="146"/>
        <w:gridCol w:w="222"/>
        <w:gridCol w:w="664"/>
        <w:gridCol w:w="166"/>
        <w:gridCol w:w="146"/>
        <w:gridCol w:w="211"/>
        <w:gridCol w:w="781"/>
        <w:gridCol w:w="391"/>
      </w:tblGrid>
      <w:tr>
        <w:trPr/>
        <w:tc>
          <w:tcPr>
            <w:tcW w:w="2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789" w:type="dxa"/>
        <w:jc w:val="left"/>
        <w:tblInd w:w="0" w:type="dxa"/>
        <w:tblLayout w:type="fixed"/>
        <w:tblCellMar>
          <w:top w:w="28" w:type="dxa"/>
          <w:left w:w="28" w:type="dxa"/>
          <w:bottom w:w="28" w:type="dxa"/>
          <w:right w:w="28" w:type="dxa"/>
        </w:tblCellMar>
      </w:tblPr>
      <w:tblGrid>
        <w:gridCol w:w="2766"/>
        <w:gridCol w:w="211"/>
        <w:gridCol w:w="781"/>
        <w:gridCol w:w="146"/>
        <w:gridCol w:w="146"/>
        <w:gridCol w:w="295"/>
        <w:gridCol w:w="591"/>
        <w:gridCol w:w="146"/>
        <w:gridCol w:w="146"/>
        <w:gridCol w:w="335"/>
        <w:gridCol w:w="551"/>
        <w:gridCol w:w="146"/>
        <w:gridCol w:w="146"/>
        <w:gridCol w:w="211"/>
        <w:gridCol w:w="781"/>
        <w:gridCol w:w="391"/>
      </w:tblGrid>
      <w:tr>
        <w:trPr/>
        <w:tc>
          <w:tcPr>
            <w:tcW w:w="2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contractual maturities of the Company’s short-term investments in available-for-sale debt securities held were as follows (in thousands): </w:t>
      </w:r>
    </w:p>
    <w:p>
      <w:pPr>
        <w:pStyle w:val="TextBody"/>
        <w:bidi w:val="0"/>
        <w:jc w:val="left"/>
        <w:rPr/>
      </w:pPr>
      <w:r>
        <w:rPr/>
        <w:t> </w:t>
      </w:r>
    </w:p>
    <w:tbl>
      <w:tblPr>
        <w:tblW w:w="5241" w:type="dxa"/>
        <w:jc w:val="left"/>
        <w:tblInd w:w="0" w:type="dxa"/>
        <w:tblLayout w:type="fixed"/>
        <w:tblCellMar>
          <w:top w:w="28" w:type="dxa"/>
          <w:left w:w="28" w:type="dxa"/>
          <w:bottom w:w="28" w:type="dxa"/>
          <w:right w:w="28" w:type="dxa"/>
        </w:tblCellMar>
      </w:tblPr>
      <w:tblGrid>
        <w:gridCol w:w="2671"/>
        <w:gridCol w:w="211"/>
        <w:gridCol w:w="781"/>
        <w:gridCol w:w="146"/>
        <w:gridCol w:w="146"/>
        <w:gridCol w:w="233"/>
        <w:gridCol w:w="862"/>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between one and two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all investments in an unrealized loss position were in this position for less than 12 months. The Company evaluated its securities for potential other-than-temporary impairment and considered the decline in market value to be primarily attributable to current economic and market conditions. Additionally, the Company does not intend to sell the securities in an unrealized loss position and does not expect it will be required to sell the securities before recovery of the unamortized cost basis. Given the Company’s intent and ability to hold such securities until recovery, and the lack of a significant change in credit risk for these investments, the Company does not consider these investments to be impaired as of June 30, 2026. The Company did not recognize any credit losses during the three and six months ended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5879" w:type="dxa"/>
        <w:jc w:val="left"/>
        <w:tblInd w:w="0" w:type="dxa"/>
        <w:tblLayout w:type="fixed"/>
        <w:tblCellMar>
          <w:top w:w="28" w:type="dxa"/>
          <w:left w:w="28" w:type="dxa"/>
          <w:bottom w:w="28" w:type="dxa"/>
          <w:right w:w="28" w:type="dxa"/>
        </w:tblCellMar>
      </w:tblPr>
      <w:tblGrid>
        <w:gridCol w:w="2731"/>
        <w:gridCol w:w="282"/>
        <w:gridCol w:w="843"/>
        <w:gridCol w:w="166"/>
        <w:gridCol w:w="146"/>
        <w:gridCol w:w="376"/>
        <w:gridCol w:w="1124"/>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of property and equipment for the six months ended June 30, 2026 and 2025 was $0.4 million and $0.5 million,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5.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left"/>
        <w:rPr/>
      </w:pPr>
      <w:r>
        <w:rPr/>
        <w:t> </w:t>
      </w:r>
    </w:p>
    <w:tbl>
      <w:tblPr>
        <w:tblW w:w="5419" w:type="dxa"/>
        <w:jc w:val="left"/>
        <w:tblInd w:w="0" w:type="dxa"/>
        <w:tblLayout w:type="fixed"/>
        <w:tblCellMar>
          <w:top w:w="28" w:type="dxa"/>
          <w:left w:w="28" w:type="dxa"/>
          <w:bottom w:w="28" w:type="dxa"/>
          <w:right w:w="28" w:type="dxa"/>
        </w:tblCellMar>
      </w:tblPr>
      <w:tblGrid>
        <w:gridCol w:w="2311"/>
        <w:gridCol w:w="267"/>
        <w:gridCol w:w="858"/>
        <w:gridCol w:w="146"/>
        <w:gridCol w:w="146"/>
        <w:gridCol w:w="357"/>
        <w:gridCol w:w="114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30, 2024, the Company’s stockholders approved the third amended and restated certificate of incorporation, which was filed upon the closing of the IPO on June 10, 2024, and which, among other things, created 10,000,000 undesignated shares of authorized preferred stock, $0.001 par value per share.</w:t>
      </w:r>
    </w:p>
    <w:p>
      <w:pPr>
        <w:pStyle w:val="TextBody"/>
        <w:bidi w:val="0"/>
        <w:spacing w:before="360" w:after="283"/>
        <w:jc w:val="left"/>
        <w:rPr>
          <w:rFonts w:ascii="Times New Roman" w:hAnsi="Times New Roman"/>
          <w:sz w:val="20"/>
        </w:rPr>
      </w:pPr>
      <w:r>
        <w:rPr>
          <w:rFonts w:ascii="Times New Roman" w:hAnsi="Times New Roman"/>
          <w:b/>
          <w:color w:val="000000"/>
          <w:sz w:val="20"/>
        </w:rPr>
        <w:t>7.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share of common stock entitles the holder to one vote on all matters submitted to the stockholders for a vote. The holders of common stock are entitled to receive dividends, if any, as declared by the Company’s board of directors, subject to the preferential dividend rights of convertible preferred stock. To-date, no dividends have been declared or paid.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Company filed a shelf registration statement on Form S-3 (the “2025 Registration Statement”) with the U.S. Securities and Exchange Commission (the “SEC”) with an offering amount of up to $400.0 million in common stock, preferred stock, debt securities, warrants and/or units. Concurrent with the filing of the 2025 Registration Statement, the Company entered into a common stock sales agreement (the “Sales Agreement”), dated July 1, 2025, by and between the Company and Leerink Partners LLC and Cantor Fitzgerald &amp; Co., acting as sales agents, which established an at-the-market offering program pursuant to which the Company may offer and sell shares of its common stock from time to time (the “ATM Program”). In connection with the ATM Program, the Company also filed a prospectus with the Registration Statement for the offer and sale of up to $150.0 million of shares of common stock from time to time through the sales agents (the “July 2025 ATM Prospectus”). In September 2025, the Company terminated the July 2025 ATM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Company completed an underwritten public offering of 11,057,692 shares of common stock (inclusive of 1,442,307 shares of common stock sold pursuant to the underwriters’ full exercise of their option to purchase additional shares) at a public offering price of $26.00 per share (the “September 2025 Offering”) pursuant to an effective shelf registration statement (File No. 333-288444) and a related prospectus supplement filed with the SEC. The net proceeds from the September 2025 Offering were approximately $269.4 million, after deducting underwriter discounts, commissions, and other offering costs of $18.1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ATM Program, the Company filed a prospectus supplement with the SEC in January 2026, for the offer and sale of up to $110.0 million of shares of common stock from time to time through the sales agents, to be issued pursuant to the Sales Agreement (the “January 2026 ATM Prospectus”).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March 2026, the Company filed an automatic shelf registration statement on Form S-3ASR (the “2026 Registration Statement”), containing (i) a base prospectus, which covers the offering, issuance and sale from time to time in one or more offerings of an indeterminate amount of common stock, preferred stock, debt securities, warrants and/or units; and (ii) a sales agreement prospectus for the offering and issuance and sale of up to a maximum aggregate offering price of $150.0 million of common stock, to be issued pursuant to the Sales Agreement. The 2025 Registration Statement was terminated automatically upon the filing of the 2026 Registration Statement. To date, the Company has not sold any shares pursuant to the Sales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2026, the Company had reserved 11,032,109 shares of common stock, of which 2,321,377 shares were reserved for issuance under the 2022 Plan, 8,020,687 shares under the 2024 Stock Option and Grant Plan (the “2024 Plan”) and 690,045 shares under the 2024 Employee Stock Purchase Plan (the “2024 ESPP”) (see Note 8).</w:t>
      </w:r>
    </w:p>
    <w:p>
      <w:pPr>
        <w:pStyle w:val="TextBody"/>
        <w:bidi w:val="0"/>
        <w:spacing w:before="12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2022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2022 Plan provides for the Company to grant incentive stock options (“ISO”) or non-qualified stock options, unrestricted stock awards, restricted stock awards and restricted stock units (collectively, the “Awards”) to the employees, directors, and consultants of the Company. The 2022 Plan is administered by the board of directors, or at the discretion of the board of directors, by a committee of the board of directors. The exercise prices, vesting and other restrictions are determined at the discretion of the board of directors, or its committee if so delegated.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remaining shares reserved for issuance under the 2022 Plan ceased to be available for issuance at the time that the 2024 Plan became effective. There will be no further awards granted under the 2022 Plan, but all outstanding awards under the 2022 Plan will continue to be governed by their existing terms.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to the effectiveness of the 2024 Plan, the shares of common stock underlying any awards under the 2022 Plan that are forfeited, canceled, reacquired by the Company prior to vesting, satisfied without the issuance of stock or otherwise terminated (other than by exercise) and shares withheld upon exercise of an option or settlement of an award to cover the exercise price or tax withholding will be added to the shares of common stock available for issuance under the 2024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the Company’s board of directors adopted, and its stockholders approved, the 2024 Plan, which became effective in June 2024. The 2024 Plan allows the Company to make equity-based and cash-based incentive awards to its officers, employees, directors, and consultants. The 2024 plan provides for the grant of incentive stock options, non-qualified stock options, stock appreciation rights, restricted stock awards, restricted stock units and other stock-based awards. In addition, the number of shares reserved and available for issuance under the 2024 Plan will automatically increase on each January 1, by five percent of the outstanding number of shares of common stock on the immediately preceding December 31 or such lesser number of shares as determined by the compensation committee. On January 1, 2026, the annual increase resulted in an additional 2,388,628 shares being added to the 2024 Plan. As of June 30, 2026, there have been 131,455 stock-based awards cancelled under the 2022 Plan from which the underlying shares were added to the shares reserved under the 2024 Plan. As of June 30, 2026, the Company had 2,246,865 shares remaining available for future grants.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shares of common stock underlying any awards under the 2024 Plan and the 2022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2024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Company’s board of directors adopted, and its stockholders approved, the 2024 ESPP, which became effective in June 2024. The 2024 ESPP initially reserved and authorized the issuance of up to a total of 324,243 shares of the Company’s common stock to participating employees. The 2024 ESPP provides that the number of shares reserved and available for issuance will automatically increase on each January 1 thereafter through January 1, 2034, by the lesser of (i) 648,486 shares of common stock, (ii) one percent of the outstanding number of shares of common stock on the immediately preceding December 31, or (iii) such lesser number of shares of common stock as determined by the administrator of the 2024 ESPP. On January 1, 2026, the administrator determined that no additional shares would be reserved and authorized pursuant to the 2024 ESPP. The number of shares reserved under the 2024 ESPP is subject to adjustment in the event of a stock split, stock dividend or other change in our capitalization. As of June 30, 2026, the Company had 690,045 shares reserved for the 2024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were issued during the six months ended June 30, 2026 relating to the 2024 ESPP.</w:t>
      </w:r>
    </w:p>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granted stock options with service-based vesting conditions. Stock options generally vest over four years and have a maximum term of ten years. The Company typically grants stock options to employees and non-employees at exercise prices deemed by the Board to be equal to the fair value of the common stock at the time of grant. The following table summarizes the Company’s stock option activity for the six months ended June 30, 2026: </w:t>
      </w:r>
    </w:p>
    <w:p>
      <w:pPr>
        <w:pStyle w:val="TextBody"/>
        <w:bidi w:val="0"/>
        <w:jc w:val="left"/>
        <w:rPr/>
      </w:pPr>
      <w:r>
        <w:rPr/>
        <w:t> </w:t>
      </w:r>
    </w:p>
    <w:tbl>
      <w:tblPr>
        <w:tblW w:w="9762" w:type="dxa"/>
        <w:jc w:val="left"/>
        <w:tblInd w:w="0" w:type="dxa"/>
        <w:tblLayout w:type="fixed"/>
        <w:tblCellMar>
          <w:top w:w="28" w:type="dxa"/>
          <w:left w:w="28" w:type="dxa"/>
          <w:bottom w:w="28" w:type="dxa"/>
          <w:right w:w="28" w:type="dxa"/>
        </w:tblCellMar>
      </w:tblPr>
      <w:tblGrid>
        <w:gridCol w:w="4426"/>
        <w:gridCol w:w="146"/>
        <w:gridCol w:w="931"/>
        <w:gridCol w:w="166"/>
        <w:gridCol w:w="146"/>
        <w:gridCol w:w="230"/>
        <w:gridCol w:w="626"/>
        <w:gridCol w:w="146"/>
        <w:gridCol w:w="146"/>
        <w:gridCol w:w="236"/>
        <w:gridCol w:w="755"/>
        <w:gridCol w:w="146"/>
        <w:gridCol w:w="146"/>
        <w:gridCol w:w="239"/>
        <w:gridCol w:w="886"/>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6,287,477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grant-date fair value of stock options granted during the six months ended June 30, 2026 and 2025 was $20.06 and $10.92 per share, respectively. As of June 30, 2026, there was $70.0 million of total unrecognized compensation cost related to unvested stock options, which is expected to be recognized over a remaining weighted average period of 2.6 years.</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Awards (“RSA”)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awarded RSAs both under the 2022 Plan as well as outside of the 2022 Plan. To date, the Company has not awarded any RSAs under the 2024 Plan.</w:t>
      </w:r>
    </w:p>
    <w:p>
      <w:pPr>
        <w:pStyle w:val="TextBody"/>
        <w:bidi w:val="0"/>
        <w:spacing w:before="240" w:after="283"/>
        <w:jc w:val="left"/>
        <w:rPr>
          <w:rFonts w:ascii="Times New Roman" w:hAnsi="Times New Roman"/>
          <w:sz w:val="20"/>
        </w:rPr>
      </w:pPr>
      <w:r>
        <w:rPr>
          <w:rFonts w:ascii="Times New Roman" w:hAnsi="Times New Roman"/>
          <w:i/>
          <w:color w:val="000000"/>
          <w:sz w:val="20"/>
        </w:rPr>
        <w:t>Service-Based RSAs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the RSAs have service-based vesting conditions and vest over a period from immediately to four years. Compensation expense is recognized on a straight-line basis over the requisite service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Company’s service-based RSA grant activity for the six months ended June 30, 2026: </w:t>
      </w:r>
    </w:p>
    <w:p>
      <w:pPr>
        <w:pStyle w:val="TextBody"/>
        <w:bidi w:val="0"/>
        <w:jc w:val="left"/>
        <w:rPr/>
      </w:pPr>
      <w:r>
        <w:rPr/>
        <w:t> </w:t>
      </w:r>
    </w:p>
    <w:tbl>
      <w:tblPr>
        <w:tblW w:w="6206" w:type="dxa"/>
        <w:jc w:val="left"/>
        <w:tblInd w:w="0" w:type="dxa"/>
        <w:tblLayout w:type="fixed"/>
        <w:tblCellMar>
          <w:top w:w="28" w:type="dxa"/>
          <w:left w:w="28" w:type="dxa"/>
          <w:bottom w:w="28" w:type="dxa"/>
          <w:right w:w="28" w:type="dxa"/>
        </w:tblCellMar>
      </w:tblPr>
      <w:tblGrid>
        <w:gridCol w:w="3241"/>
        <w:gridCol w:w="146"/>
        <w:gridCol w:w="841"/>
        <w:gridCol w:w="166"/>
        <w:gridCol w:w="146"/>
        <w:gridCol w:w="396"/>
        <w:gridCol w:w="879"/>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fair value of service-based RSAs that vested during the six months ended June 30, 2026 and 2025, was $5.5 million and $3.2 million, respectively. As of June 30, 2026, there was $0.8 million of total unrecognized compensation cost related to unvested service-based RSAs, which is expected to be recognized over a remaining weighted average period of 0.8 years. </w:t>
      </w:r>
    </w:p>
    <w:p>
      <w:pPr>
        <w:pStyle w:val="TextBody"/>
        <w:bidi w:val="0"/>
        <w:spacing w:before="240" w:after="283"/>
        <w:jc w:val="left"/>
        <w:rPr>
          <w:rFonts w:ascii="Times New Roman" w:hAnsi="Times New Roman"/>
          <w:sz w:val="20"/>
        </w:rPr>
      </w:pPr>
      <w:r>
        <w:rPr>
          <w:rFonts w:ascii="Times New Roman" w:hAnsi="Times New Roman"/>
          <w:i/>
          <w:color w:val="000000"/>
          <w:sz w:val="20"/>
        </w:rPr>
        <w:t>Performance-Based RSAs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also granted performance-based RSAs to certain employees and directors with a vesting commencement date contingent upon the subsequent closing of the Company’s Series A convertible preferred stock financing. The Company has determined that it has met all the conditions to establish the grant date for these performance-based RSAs at the original issuance date. Therefore, these awards are deemed to contain an implied performance condition. The vesting of the performance-based RSAs is also subject to grantees’ continued service until the 4th anniversary date of the closing of a subsequent financing.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Share-based compensation expense associated with the performance-based RSAs is recognized if the performance condition is considered probable of achievement. In February 2023, the existing Series A convertible preferred stock investors waived the second and third tranche milestones and the Company closed on the sale of its second and third tranches of Series A convertible preferred stock. As a result, the performance condition was deemed to be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Company’s performance-based RSA grant activity for the six months ended June 30, 2026: </w:t>
      </w:r>
    </w:p>
    <w:p>
      <w:pPr>
        <w:pStyle w:val="TextBody"/>
        <w:bidi w:val="0"/>
        <w:jc w:val="left"/>
        <w:rPr/>
      </w:pPr>
      <w:r>
        <w:rPr/>
        <w:t> </w:t>
      </w:r>
    </w:p>
    <w:tbl>
      <w:tblPr>
        <w:tblW w:w="6146" w:type="dxa"/>
        <w:jc w:val="left"/>
        <w:tblInd w:w="0" w:type="dxa"/>
        <w:tblLayout w:type="fixed"/>
        <w:tblCellMar>
          <w:top w:w="28" w:type="dxa"/>
          <w:left w:w="28" w:type="dxa"/>
          <w:bottom w:w="28" w:type="dxa"/>
          <w:right w:w="28" w:type="dxa"/>
        </w:tblCellMar>
      </w:tblPr>
      <w:tblGrid>
        <w:gridCol w:w="3241"/>
        <w:gridCol w:w="146"/>
        <w:gridCol w:w="781"/>
        <w:gridCol w:w="166"/>
        <w:gridCol w:w="146"/>
        <w:gridCol w:w="396"/>
        <w:gridCol w:w="879"/>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fair value of performance-based RSAs that vested during the six months ended June 30, 2026 and 2025 was $2.7 million and $1.1 million, respectively. As of June 30, 2026, there was $37 thousand of total unrecognized compensation cost related to unvested performance-based restricted common stock, which is expected to be recognized over a remaining weighted average period of 0.4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Units (“RSUs”)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RSU represents a right to receive one share of the Company’s Common Stock when it becomes vested. The RSUs vest in two equal tranches over a two year period starting on the grant date subject to the satisfaction of a service relationship with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restricted stock unit activity for the six months ended June 30, 2026 and provides information for unvested shares as of June 30, 2026.</w:t>
      </w:r>
    </w:p>
    <w:p>
      <w:pPr>
        <w:pStyle w:val="TextBody"/>
        <w:bidi w:val="0"/>
        <w:spacing w:before="240" w:after="283"/>
        <w:jc w:val="left"/>
        <w:rPr/>
      </w:pPr>
      <w:r>
        <w:rPr/>
        <w:t> </w:t>
      </w:r>
    </w:p>
    <w:tbl>
      <w:tblPr>
        <w:tblW w:w="6041" w:type="dxa"/>
        <w:jc w:val="left"/>
        <w:tblInd w:w="0" w:type="dxa"/>
        <w:tblLayout w:type="fixed"/>
        <w:tblCellMar>
          <w:top w:w="28" w:type="dxa"/>
          <w:left w:w="28" w:type="dxa"/>
          <w:bottom w:w="28" w:type="dxa"/>
          <w:right w:w="28" w:type="dxa"/>
        </w:tblCellMar>
      </w:tblPr>
      <w:tblGrid>
        <w:gridCol w:w="3241"/>
        <w:gridCol w:w="146"/>
        <w:gridCol w:w="676"/>
        <w:gridCol w:w="166"/>
        <w:gridCol w:w="146"/>
        <w:gridCol w:w="342"/>
        <w:gridCol w:w="933"/>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was $0.3 million of total unrecognized compensation cost related to unvested RSUs, which is expected to be recognized over a remaining weighted average period of 1.2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Restricted Stock Units (“PSUs”)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2024, the Company granted 95,500 performance-based restricted stock units (“PSUs”) to certain employees. Each PSU represents a right to receive one share of the Company’s Common Stock when it becomes vested.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PSUs vest in two equal tranches over two performance periods starting on the grant date and ending, respectively, on December 31, 2025, and December 31, 2026, subject to the satisfaction of both service and performance conditions specifically defined for each performance period and each PSU award. The performance conditions are related to the achievement of certain program milestones in the Company’s drug discovery and development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2025, the Compensation Committee confirmed the achievement of certain performance milestones for the first tranche of the PSUs related to the achievement of certain drug discovery and development milestones in 2025, with 34,750 PSU shares vesting on December 31, 2025, and also confirmed there were certain milestones for the first tranche that were not achieved, resulting in the forfeiture of 13,000 PSU awards. In connection with the December 31, 2025 PSU vesting tranche, the Company recognized $0.9 million compensation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did not recognize any additional compensation expense for the PSUs, as no additional performance conditions were considered probable of being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PSUs granted in the six months ended June 30, 2026 and 2025. As of both June 30, 2026 and December 31, 2025, the unrecognized compensation expenses associated with the PSUs were $1.0 million, with 47,750 shares unvested as of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stock-based compensation expense for stock options of $6.8 million and $3.8 million in the three months ended June 30, 2026 and 2025, respectively, and $13.4 million and $7.2 million in the six months ended June 30, 2026 and 2025, respectively. The Company recorded stock-based compensation expense for RSAs of $0.4 million and $0.5 million in the three months ended June 30, 2026 and 2025, respectively, and $0.7 million and $1.2 million in the six months ended June 30,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below summarizes the classification of the Company’s stock-based compensation expense related to stock options and RSAs in the condensed consolidated statements of operations and comprehensive loss (in thousands): </w:t>
      </w:r>
    </w:p>
    <w:p>
      <w:pPr>
        <w:pStyle w:val="TextBody"/>
        <w:bidi w:val="0"/>
        <w:jc w:val="left"/>
        <w:rPr/>
      </w:pPr>
      <w:r>
        <w:rPr/>
        <w:t> </w:t>
      </w:r>
    </w:p>
    <w:tbl>
      <w:tblPr>
        <w:tblW w:w="7402" w:type="dxa"/>
        <w:jc w:val="left"/>
        <w:tblInd w:w="0" w:type="dxa"/>
        <w:tblLayout w:type="fixed"/>
        <w:tblCellMar>
          <w:top w:w="28" w:type="dxa"/>
          <w:left w:w="28" w:type="dxa"/>
          <w:bottom w:w="28" w:type="dxa"/>
          <w:right w:w="28" w:type="dxa"/>
        </w:tblCellMar>
      </w:tblPr>
      <w:tblGrid>
        <w:gridCol w:w="2956"/>
        <w:gridCol w:w="146"/>
        <w:gridCol w:w="211"/>
        <w:gridCol w:w="571"/>
        <w:gridCol w:w="146"/>
        <w:gridCol w:w="146"/>
        <w:gridCol w:w="211"/>
        <w:gridCol w:w="571"/>
        <w:gridCol w:w="146"/>
        <w:gridCol w:w="146"/>
        <w:gridCol w:w="211"/>
        <w:gridCol w:w="676"/>
        <w:gridCol w:w="146"/>
        <w:gridCol w:w="146"/>
        <w:gridCol w:w="211"/>
        <w:gridCol w:w="571"/>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Leases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Lease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2023, the Company entered into a lease in Boston, Massachusetts commencing August 31, 2023 with an initial term of 40 months. The monthly lease payments are $66 thousand for the first 12 months, with 2% escalation each year. In conjunction with the lease, the Company paid a security deposit of $0.1 million that is recorded on the Company’s condensed consolidated balance sheet in prepaid expenses and other current assets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2024, the Company entered into a lease in San Diego, California to lease a total of 20,626 square feet for laboratory and office space. The lease commenced January 11, 2025 with an initial term of 60 months with no option to extend for an additional term. The lease provides for annual base rent for the premises of approximately $1.9 million for the first year of the lease. Thereafter, the annual base rent will increase at an adjustment rate of 3.0% each year until the end of the term. The Company is also obligated to pay the landlord certain fees, taxes, and operating expenses, subject to certain exclusions.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Company entered into a sublease for a new corporate headquarters space in Boston, Massachusetts for 15,275 square feet of office space. The lease commenced June 1, 2025 with a lease term of 6.5 years with no option to extend for an additional term. The lease provides for annual base rent for the premise of approximately $0.8 million for the first year of the lease. Thereafter, the annual base rent will increase at an adjustment of 2.0% each year until the end of the term. The Company is also obligated to pay the landlord certain fees, taxes, and operating expenses, subject to certain exclusions. In conjunction with the lease commencement, the Company paid a security deposit of $0.4 million that is recorded on the Company’s condensed consolidated balance sheet in other assets as of June 30, 2026.</w:t>
      </w:r>
    </w:p>
    <w:p>
      <w:pPr>
        <w:pStyle w:val="TextBody"/>
        <w:bidi w:val="0"/>
        <w:spacing w:before="360" w:after="283"/>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scopes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June 30, 2026 and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June 30, 2026 and December 31, 2025, the Company was not a party to any material legal proceedings or claims. </w:t>
      </w:r>
    </w:p>
    <w:p>
      <w:pPr>
        <w:pStyle w:val="TextBody"/>
        <w:bidi w:val="0"/>
        <w:spacing w:before="360" w:after="283"/>
        <w:jc w:val="left"/>
        <w:rPr>
          <w:rFonts w:ascii="Times New Roman" w:hAnsi="Times New Roman"/>
          <w:sz w:val="20"/>
        </w:rPr>
      </w:pPr>
      <w:r>
        <w:rPr>
          <w:rFonts w:ascii="Times New Roman" w:hAnsi="Times New Roman"/>
          <w:b/>
          <w:i/>
          <w:color w:val="000000"/>
          <w:sz w:val="20"/>
        </w:rPr>
        <w:t>NeuroPace Master Services Agreement and Statement of Work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2023, the Company entered into a master services agreement (the “NeuroPace Agreement”) with NeuroPace Inc. (“NeuroPace”), the manufacturer and distributor of the RNS system. Pursuant to the NeuroPace Agreement and in accordance with statement of work agreements entered into from time to time, NeuroPace provides the Company with certain services with respect to data from the RNS systems used in the Company’s clinical trials of RAP-219 in drug-resistant focal onset seizures (“FOS”). The NeuroPace Agreement also grants the Company a royalty-free, worldwide, exclusive, non-transferable license to all data collected by the RNS systems in its RAP-219 clinical trials in drug-resistant FOS and the outcomes of algorithms that are applied to such data, as well as the ability to publish the outcomes of algorithms, subject to certain conditions. The consideration the Company will pay to NeuroPace for such services is set out in each statement of work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Concurrently with the execution of the NeuroPace Agreement, the parties also entered into an initial statement of work, as amended in March 2024, and a second statement of work, as amended in February 2026, (collectively, the “NeuroPace SOWs”) under the NeuroPace Agreement, pursuant to which NeuroPace agreed to provide services related to the RAP-219 Phase 2a clinical trial and open-label long term safety trial in RAP-219 for FOS, including, among other things, clinical trial readiness support, identification of potential patients satisfying the enrollment criteria and RNS system data reporting and data analysis. Pursuant to the payment schedule set out in the NeuroPace SOWs, the Company will pay NeuroPace an aggregate of up to $5.8 million over a period of approximately four years in connection with NeuroPace’s provision of services and achievement of certain patient enrollment and deliverable milestones. As of June 30, 2026, the Company had incurred cumulative expenses of $4.7 million on both NeuroPace SOWs.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License and Collaboration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Tenacia License Agreement</w:t>
      </w:r>
    </w:p>
    <w:p>
      <w:pPr>
        <w:pStyle w:val="TextBody"/>
        <w:bidi w:val="0"/>
        <w:spacing w:before="240" w:after="200"/>
        <w:jc w:val="left"/>
        <w:rPr>
          <w:rFonts w:ascii="Times New Roman" w:hAnsi="Times New Roman"/>
          <w:b/>
          <w:i/>
          <w:color w:val="000000"/>
          <w:sz w:val="20"/>
        </w:rPr>
      </w:pPr>
      <w:r>
        <w:rPr>
          <w:rFonts w:ascii="Times New Roman" w:hAnsi="Times New Roman"/>
          <w:b/>
          <w:i/>
          <w:color w:val="000000"/>
          <w:sz w:val="20"/>
        </w:rPr>
        <w:t>Agreement Summary</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On March 6, 2026, the Company entered into the Tenacia License Agreement. The arrangement provides Tenacia with the exclusive rights to develop and commercialize the Company’s product candidate, RAP-219, in mainland China, Hong Kong, Macau and Taiwan (each, a “Market” and collectively, the “Tenacia Territory”). The Company retains exclusive rights to RAP-219 outside the Tenacia Territory.</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Under the terms of the Tenacia License Agreement, the Company granted to Tenacia a license to use certain intellectual property for the development and commercialization of RAP-219 and products containing RAP-219 across indications, including FOS and bipolar mania. The license conveyed by the Company also provides Tenacia with the ability to use the covered intellectual property on a non-exclusive basis for manufacturing and supply purposes.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Pursuant to the terms of the Tenacia License Agreement, Tenacia is responsible for conducting all development and commercialization activities with respect to the Tenacia Territory, with the exception of the associated manufacturing. The Tenacia License Agreement requires Tenacia to participate in the Company’s planned global clinical trials for RAP-219 and products containing RAP-219 for the FOS and bipolar mania indications, including long-acting injectable formulations, by conducting the part of the global clinical trials in the Tenacia Territory. Tenacia will cover development costs for the Territory and share the corresponding global trial costs at the percentage specified in the Agreement. In connection with the Tenacia License Agreement, the Company entered into a clinical supply agreement with Tenacia in June 2026. Pursuant to that supply agreement, the Company will provide manufacturing and supply for clinical and commercial purposes at agreed upon pricing until such time when Tenacia takes over manufacturing responsibilities.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Under the terms of the Tenacia License Agreement, the Company received a $20.0 million non-refundable upfront payment. Additionally, to the extent Tenacia commercializes any licensed products containing RAP-219, the Company is eligible to receive up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to $308.0 million in contingent sales-based milestone payments and tiered royalty payments ranging from the mid-single digits to the mid-teens based on a percentage of net sales, subject to certain customary reductions and offsets.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Unless earlier terminated, the Tenacia License Agreement will expire on a Market-by-Market basis at the end of the applicable royalty term. The Tenacia License Agreement contains customary termination rights, including for uncured material breach, insolvency and certain other specified circumstances. Any expiration or termination of the Tenacia License Agreement does not affect the rights and obligations of the parties that accrued prior to the expiration or termination date.</w:t>
      </w:r>
    </w:p>
    <w:p>
      <w:pPr>
        <w:pStyle w:val="TextBody"/>
        <w:bidi w:val="0"/>
        <w:spacing w:before="40" w:after="200"/>
        <w:jc w:val="left"/>
        <w:rPr>
          <w:rFonts w:ascii="Times New Roman" w:hAnsi="Times New Roman"/>
          <w:b/>
          <w:i/>
          <w:color w:val="000000"/>
          <w:sz w:val="20"/>
        </w:rPr>
      </w:pPr>
      <w:r>
        <w:rPr>
          <w:rFonts w:ascii="Times New Roman" w:hAnsi="Times New Roman"/>
          <w:b/>
          <w:i/>
          <w:color w:val="000000"/>
          <w:sz w:val="20"/>
        </w:rPr>
        <w:t>Accounting Analysis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Company determined that the Tenacia License Agreement is a collaborative arrangement as defined by ASC 808 because it involves a joint operating activity comprised of the development of RAP-219 and products containing RAP-219 wherein both parties are: (i) Active participants via participation in the global clinical trials for their respective territory and (ii) Exposed to significant risks and rewards dependent on the commercial success of the development efforts since recovery of costs incurred is contingent upon receipt of regulatory approval. The Company further determined that the contract is partially within the scope of ASC 606 since it contains transactions in which Tenacia is a customer for a good or service that is a distinct unit of account. More specifically, the Company concluded that the Tenacia License Agreement is composed of the following components: (i) License granted to Tenacia to exploit RAP-219 and products containing RAP-219, including manufacturing rights and (ii) Parties’ participation in the global development of RAP-219 and products containing RAP-219. For each of these components, the Company determined the following: (i) Unit of account associated with license granted to Tenacia is within the scope of ASC 606 since the transaction is in the context of a vendor-customer exchange and (ii) Parties’ conduct of development activities related to the global clinical trials is outside the scope of ASC 606 since the parties are operating in the capacity of collaborative partners.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Company’s obligations under the Tenacia License Agreement comprise a single promise related to the exclusive license that was granted to Tenacia to use certain intellectual property in the development and commercialization of RAP-219 and products containing RAP-219, including manufacturing rights. Accordingly, the Company determined that the Tenacia License Agreement has only one performance obligation consisting of the sole promise in the contract. As it relates to Tenacia’s option to purchase clinical and commercial supply from the Company, the Tenacia License Agreement does not obligate Tenacia to purchase any minimum amount or quantities. As such, the Company concluded that the provision of manufacturing activities related to clinical and commercial supply represents customer options. Such options do not give rise to any performance obligations because the applicable terms, including the anticipated pricing, do not incorporate a material right. Instead, the options were determined to be marketing offers as their pricing is indicative of the standalone selling prices of the underlying goods and/or services. Therefore, the manufacturing activities were excluded as a performance obligation at the outset of the Tenacia License Agreement. Any purchases will be accounted for as a separate arrangement. The Company entered into a clinical supply agreement with Tenacia in June 2026. The Company will recognize revenue under the clinical supply agreement upon transfer of control to Tenacia. No other customer options had been exercised as of June 30, 2026.</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Company’s license arrangement with Tenacia provides for the payment of the following: (i) Non-refundable upfront fee, (ii) First commercial sale milestones, (iii) Sales-based milestones and (iv) Royalties on net sales of licensed products. The Company measured the transaction price solely in reference to the $20.0 million upfront payment. None of the variable consideration payable under the arrangement is included in the transaction price. All potential milestone and royalty payments are subject to the royalty recognition constraint whereby such amounts will be recognized as revenue upon the later of: (i) When the related sales occur or (ii) When the performance obligation to which some or all of the payment has been allocated has been satisfied (or partially satisfied) because the exclusive license is deemed to be the sole or predominant item to which the payments relate. Because the payments wholly relate to the exclusive license which was conveyed at inception of the arrangement, the Company will recognize revenue associated with the milestones and royalties from the sales of licensed products when the respective triggering event or related sales occur, as applicable. Through June 30, 2026, no milestones have been achieved and no royalties have been earned.</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Company allocated the transaction price of $20.0 million to the sole identified performance obligation in its entirety. Amounts allocated to the performance obligation comprised entirely of the exclusive license promise are recognized as revenue at a point in time since the underlying license represents functional intellectual property. Control of the license which granted the right to use the Company’s intellectual property was transferred to Tenacia simultaneously with contract effectiveness on March 6, 2026 consistent with when the intellectual property was made available for Tenacia’s use and benefit. As a result, the Company has recognized $20.0 million of collaboration revenue during the six months ended June 30, 2026 upon satisfaction of the associated performance obligation.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Conversely, the global development activities under the Tenacia License Agreement do not represent a transaction with a customer. Accordingly, payments received by the Company resulting from reimbursements for Tenacia’s share of development costs will be accounted for as a reduction to the associated expense in the period the costs are incurred in the condensed consolidated statement of operations and comprehensive loss. As of June 30, 2026, the Company recorded $0.3 million in accounts receivable on the condensed consolidated balance sheet for reimbursable costs incurred under the Tenacia License Agreement. During the three and six months ended June 30, 2026, the Company recognized $0.2 million and $0.3 million, respectively, as a reduction of research and development expense.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As of June 30, 2026, the Company did not have any deferred revenue related to the Tenacia License Agreement. The Company incurred approximately $2.0 million of incremental costs for financial advisory fees to obtain the arrangement with Tenacia. Such amount was expensed in full during the six months ended June 30, 2026 consistent with the timing of the transfer of associated performance obligation. Amount is classified as selling, general and administrative expense in the accompanying condensed consolidated statement of operations and comprehensive loss for the six months ended June 30, 2026. No contract assets related to costs to obtain a contract with a customer or costs to fulfill a contract with a customer are capitalized at June 30, 2026.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 Segment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The Company is currently developing medicines for patients with neurological or psychiatric disorders in the United States. The Company does not have any revenue generating products, and revenue will not be generated from any other current or future product candidates until regulatory approval is obtained and products are commercialized.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For three and six months ended June 30, 2026 and 2025, the Company had identified one operating and reportable segment. The Company defines its operating segments based on internally reported financial information that is regularly reviewed by the Chief Operating Decision Maker (“CODM”) to analyze financial performance, make decisions, and allocate resources. The Company’s Chief Executive Officer is the CODM.</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The CODM reviews the segment’s profit or loss based on net (loss) income reported on the condensed consolidated statement of operations and comprehensive (loss) income and considers forecast-to-actuals variances on a quarterly basis for expenses that are deemed significant. Further, the CODM reviews the segment’s assets based on total assets reported on the condensed consolidated balance sheet. In addition, the CODM is regularly provided information on total cash, which is inclusive of cash, cash equivalents and short-term investments, as a measure of segment assets. As of June 30, 2026, the Company’s cash, cash equivalents and short-term investments excluding restricted cash, were $436.1 million. All long-lived assets are held in the United States.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The Company’s CODM views specific categories within research and development expenses and selling, general and administrative expenses as significant given the direct correlation between cash burn and profitability as a pre-revenue company. The following table reconciles reported revenues to net (loss) income under the significant expense principle for the three and six months ended June 30, 2026 and 2025 (in thousands): </w:t>
      </w:r>
    </w:p>
    <w:p>
      <w:pPr>
        <w:pStyle w:val="TextBody"/>
        <w:bidi w:val="0"/>
        <w:jc w:val="left"/>
        <w:rPr/>
      </w:pPr>
      <w:r>
        <w:rPr/>
        <w:t> </w:t>
      </w:r>
    </w:p>
    <w:tbl>
      <w:tblPr>
        <w:tblW w:w="9812" w:type="dxa"/>
        <w:jc w:val="left"/>
        <w:tblInd w:w="0" w:type="dxa"/>
        <w:tblLayout w:type="fixed"/>
        <w:tblCellMar>
          <w:top w:w="28" w:type="dxa"/>
          <w:left w:w="28" w:type="dxa"/>
          <w:bottom w:w="28" w:type="dxa"/>
          <w:right w:w="28" w:type="dxa"/>
        </w:tblCellMar>
      </w:tblPr>
      <w:tblGrid>
        <w:gridCol w:w="4551"/>
        <w:gridCol w:w="146"/>
        <w:gridCol w:w="211"/>
        <w:gridCol w:w="736"/>
        <w:gridCol w:w="166"/>
        <w:gridCol w:w="146"/>
        <w:gridCol w:w="211"/>
        <w:gridCol w:w="736"/>
        <w:gridCol w:w="166"/>
        <w:gridCol w:w="146"/>
        <w:gridCol w:w="211"/>
        <w:gridCol w:w="736"/>
        <w:gridCol w:w="166"/>
        <w:gridCol w:w="146"/>
        <w:gridCol w:w="211"/>
        <w:gridCol w:w="736"/>
        <w:gridCol w:w="391"/>
      </w:tblGrid>
      <w:tr>
        <w:trPr/>
        <w:tc>
          <w:tcPr>
            <w:tcW w:w="4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RAP-219 program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programs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R&amp;D personnel-related costs (including stock-based</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G&amp;A personnel-related costs (including stock-based</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and consulting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(56,604</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(50,795</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Accordingly, the Company consists of a single operating and reportable segment and the condensed consolidated financial statements and notes thereto are presented as a single reportable segment.</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common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47,473,174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47,355,550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35,356,098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this calculation, the Company excluded the following potential common shares, presented based on amounts outstanding at each period end, from the computation of diluted net loss per share available to common shareholders for the periods indicated because including them would have had an anti-dilutive effect: </w:t>
      </w:r>
    </w:p>
    <w:p>
      <w:pPr>
        <w:pStyle w:val="TextBody"/>
        <w:bidi w:val="0"/>
        <w:jc w:val="left"/>
        <w:rPr/>
      </w:pPr>
      <w:r>
        <w:rPr/>
        <w:t> </w:t>
      </w:r>
    </w:p>
    <w:tbl>
      <w:tblPr>
        <w:tblW w:w="6820" w:type="dxa"/>
        <w:jc w:val="left"/>
        <w:tblInd w:w="0" w:type="dxa"/>
        <w:tblLayout w:type="fixed"/>
        <w:tblCellMar>
          <w:top w:w="28" w:type="dxa"/>
          <w:left w:w="28" w:type="dxa"/>
          <w:bottom w:w="28" w:type="dxa"/>
          <w:right w:w="28" w:type="dxa"/>
        </w:tblCellMar>
      </w:tblPr>
      <w:tblGrid>
        <w:gridCol w:w="4621"/>
        <w:gridCol w:w="146"/>
        <w:gridCol w:w="931"/>
        <w:gridCol w:w="146"/>
        <w:gridCol w:w="976"/>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6,118,379</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95,500</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stock—service 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670,440</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stock—performance based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304,253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mda"/>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You should read the following discussion and analysis of our financial condition and results of operations in conjunction with our condensed consolidated financial statements and related notes and other financial information included elsewhere in this Quarterly Report on Form 10-Q (this </w:t>
      </w:r>
      <w:r>
        <w:rPr>
          <w:rFonts w:ascii="Times New Roman" w:hAnsi="Times New Roman"/>
          <w:color w:val="000000"/>
          <w:sz w:val="20"/>
        </w:rPr>
        <w:t>“</w:t>
      </w:r>
      <w:r>
        <w:rPr>
          <w:rFonts w:ascii="Times New Roman" w:hAnsi="Times New Roman"/>
          <w:i/>
          <w:color w:val="000000"/>
          <w:sz w:val="20"/>
        </w:rPr>
        <w:t>Quarterly Report</w:t>
      </w:r>
      <w:r>
        <w:rPr>
          <w:rFonts w:ascii="Times New Roman" w:hAnsi="Times New Roman"/>
          <w:color w:val="000000"/>
          <w:sz w:val="20"/>
        </w:rPr>
        <w:t>”</w:t>
      </w:r>
      <w:r>
        <w:rPr>
          <w:rFonts w:ascii="Times New Roman" w:hAnsi="Times New Roman"/>
          <w:i/>
          <w:color w:val="000000"/>
          <w:sz w:val="20"/>
        </w:rPr>
        <w:t>) and with our audited financial statements and the notes thereto for the year ended December 31, 2025 included in our Annual Report on Form 10-K for the year ended December 31, 2025 (our “Annual Report”). This discussion and analysis and other parts of this Quarterly Report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w:t>
      </w:r>
      <w:r>
        <w:rPr>
          <w:rFonts w:ascii="Times New Roman" w:hAnsi="Times New Roman"/>
          <w:color w:val="000000"/>
          <w:sz w:val="20"/>
        </w:rPr>
        <w:t xml:space="preserve">Risk Factors” </w:t>
      </w:r>
      <w:r>
        <w:rPr>
          <w:rFonts w:ascii="Times New Roman" w:hAnsi="Times New Roman"/>
          <w:i/>
          <w:color w:val="000000"/>
          <w:sz w:val="20"/>
        </w:rPr>
        <w:t>and elsewhere in this Quarterly Report. You should carefully read the “Risk Factors” section of this Quarterly Report to gain an understanding of the important factors that could cause actual results to differ materially from our forward-looking statements. Please also see “Special Note Regarding Forward-Looking Statements.” Our historical results are not necessarily indicative of the results that may be expected for any period in the future.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dedicated to the discovery and development of small molecule precision medicines for patients with neurological or psychiatric disorders. Our foundational science has elucidated complexities of neuronal receptor biology and enables us to map and target certain neuronal receptor complexes. Neuronal receptors are complex assemblies of proteins, comprising receptor principal subunits and their receptor associated proteins (“RAPs”), the latter of which play crucial roles in regulating receptor expression and function. We believe that our deep expertise in RAP biology provides an opportunity for us to interrogate previously inaccessible targets and develop neurological and psychiatric drugs that are specific for receptor variants and neuroanatomical regions associated with certain diseases. Most neuroactive drugs lack this specificity, often resulting in undesired and intolerable side effects. Leveraging our expertise, we are developing a portfolio of precision product candidates that we believe has the potential to transform the standard of care of many neurological and psychiatric disorders.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founders have made pioneering discoveries related to the function of RAPs in the brain. Their findings form the basis of our RAP technology platform, which enables a differentiated approach to generate precision small molecule product candidates with the potential to overcome many limitations of conventional neurology drug discovery. RAP-219, our most advanced product candidate, is an AMPA receptor (“AMPAR”) negative allosteric modulator (“NAM”). RAP-219 is designed to achieve neuroanatomical specificity through its selective targeting of a RAP known as TARPγ8, which is associated with the neuronal AMPARs. Whereas AMPARs are distributed widely in the central nervous system (“CNS”), TARPγ8 is expressed only in discrete regions, including the neocortex and mesial temporal lobe, where focal onset seizures (“FOS”) often originate. By contrast, TARPγ8 has minimal expression in the hindbrain, where drug effects are often associated with adverse events. As such, we believe RAP-219 has the potential for a differentiated profile as compared to traditional neuroscience medications. Due to the role of AMPA biology in various neurological disorders and our precision approach of selectively targeting TARPγ8, we believe RAP-219 has pipeline-in-a-product potential and we are evaluating it as a potentially transformational treatment for patients with FOS, primary generalized tonic-clonic seizures (“PGTCS”), and bipolar mania.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Several Phase 1 trials in RAP-219 have been conducted in healthy adult volunteers, including a single ascending dose (“SAD”) trial; a multiple ascending dose (“MAD”) trial; a second MAD trial (“MAD-2”), to assess alternative dosing regimens that may accelerate time to reach therapeutic exposure; a positron emission tomography (“PET”) trial, which utilized a companion PET radiotracer to confirm brain target receptor occupancy (“RO”) and brain region specificity across a range of dosing and exposure levels.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2025, we announced positive topline results from our Phase 2a proof-of-concept trial of RAP-219 in adult patients with drug-resistant FOS. The trial met its primary and secondary endpoints. The trial demonstrated a statistically significant reduction in long episodes (“LEs”) – an objective electrographic biomarker for clinical seizure reduction – compared with baseline over the 8-week treatment period. In the trial, RAP-219 also demonstrated a statistically significant and clinically meaningful reduction in clinical seizures compared with baseline. RAP-219 was generally well tolerated. In December 2025, we presented post-hoc analysis from the Phase 2a proof-of-concept trial showing treatment with RAP-219 had consistent effects in the first (weeks 1-4) and second (weeks 5-9) four-week segments of the treatment period. This demonstrates that there was a rapid onset of efficacy, and a consistent reduction in LEs, and a consistent, clinically meaningful reduction in clinical seizures throughout the 8-week treatment period. Following 8-weeks of RAP-219 treatment in the Phase 2a trial, patients entered an 8-week follow-up period to assess the durability effect on LEs and clinical seizures. In April 2026, we presented results from the 8-week follow-up period. Based on pharmacokinetic (“PK”) data collected across the Company’s Phase 1 and Phase 2 trials and further supported by population PK modeling, RAP-219 is now estimated to have a 22-day half-life, compared to the prior reported estimate of 14 days. Due to the long half-life, plasma concentrations of RAP-219 remained within the receptor occupancy therapeutic levels over the 8-week follow-up period, resulting in sustained biomarker and clinical responses consistent with the 8-week treatment period. In the first four weeks of follow-up (weeks 9-12), RAP-219 showed even greater reductions in LEs and clinical seizures than were observed during the 8-week treatment period. Clinically meaningful improvements over baseline continued through the second four weeks of follow-up (weeks 13-16).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late 2025, we initiated an open-label long term safety trial to allow patients enrolled in our Phase 2a proof-of-concept trial in drug-resistant FOS to resume taking RAP-219. Data from the open-label trial is expected in the fourth quarter of 2026. In December 2025, we received U.S. Food and Drug Administration (“FDA”) feedback from an end-of-Phase 2 meeting supporting advancement into two Phase 3 trials of RAP-219 in patients with drug-resistant FOS. We initiated the Phase 3 program in the second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expanding our epilepsy portfolio into PGTCS, the most common type of generalized seizure and an important next step in addressing unmet need in patients with seizure disorders. With proof-of-concept established in FOS, we plan to initiate a Phase 3 trial in PGTCS in the first half of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RAP-219 also has therapeutic potential in bipolar disorder. Our Phase 2 proof-of-concept trial in bipolar mania is progressing well and topline results are expected in October 2026. Additionally, we have modified the trial's statistical analysis plan and increased target enrollment, enabling the trial to potentially be considered as confirmatory evidence of effectiveness. Following completion of the Phase 2 trial, and subject to the results, we plan to engage with the FDA in an end-of-Phase 2 meeting to align on the design of a potential Phase 3 program to support a New Drug Application for the treatment of bipolar mania.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previously submitted an Investigational New Drug (“IND”) application to the FDA for initiation of a Phase 2 proof-of-concept trial in RAP-219 for the treatment of diabetic peripheral neuropathic pain (“DPNP”), which was placed on clinical hold by the FDA in the fourth quarter of 2024. Following further interactions with the FDA, the FDA removed its clinical hold on the DPNP IND in December 2025. We are deferring further investment in the RAP-219 DPNP program at this time to prioritize our α6ß4 program, which we believe has significant potential in chronic pain and migraine, as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continue to develop a long-acting injectable (“LAI”) formulation of RAP-219. We believe an LAI formulation has the potential to improve patient adherence and expand the potential clinical utility across all of the RAP-219 indications. IND-enabling activities are underway and initial Phase 1 PK data is expected in 2027.</w:t>
      </w:r>
    </w:p>
    <w:p>
      <w:pPr>
        <w:pStyle w:val="TextBody"/>
        <w:bidi w:val="0"/>
        <w:spacing w:before="240" w:after="180"/>
        <w:jc w:val="left"/>
        <w:rPr>
          <w:rFonts w:ascii="Times New Roman" w:hAnsi="Times New Roman"/>
          <w:color w:val="000000"/>
          <w:sz w:val="20"/>
        </w:rPr>
      </w:pPr>
      <w:r>
        <w:rPr>
          <w:rFonts w:ascii="Times New Roman" w:hAnsi="Times New Roman"/>
          <w:color w:val="000000"/>
          <w:sz w:val="20"/>
        </w:rPr>
        <w:t>We also have two advanced discovery-stage nicotinic acetylcholine receptor (“nAChR”) programs stemming from our RAP technology platform. nAChRs have been clinically validated in patient-reported neuropathic pain and our first advanced discovery-stage nAChR program comprises agonists of the α6ß4 nAChR. α6ß4 nAChRs are selectively expressed in sensory neurons, and the α6 subunit has human genetic validation in chronic pain. We have initiated IND-enabling activities for our α6ß4 nAChR agonist development candidate, RAP-641, directed at a genetically validated precision target that we are pursuing as a potential novel non-opiate, non-CNS approach for chronic pain and migraine. The second advanced discovery-stage nAChR program comprises modulators of the α9α10 nAChR. Third-party preclinical genetic data suggest that this nAChR could be an attractive target in treating hearing and vestibular disorders. We continue to leverage our RAP technology platform to discover additional product candidates that we believe have the potential to provide transformative benefits for large patient populations with neurological or psychiatric diseases.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in each year since our inception. Our ability to generate product revenue sufficient to achieve profitability will depend heavily on the successful development and eventual commercialization of any product candidates we may develop. Our net losses were $56.6 million and $26.7 million for the three months ended June 30, 2026 and 2025, respectively, and $76.5 million and $50.8 million for the six months ended June 30, 2026 and 2025, respectively. As of June 30, 2026, we had an accumulated deficit of $311.7 million. We expect our expenses and operating losses will increase substantially as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conduct our ongoing clinical trials of RAP-219, including advancement into late-stage global clinical trials, as well as initiate and complete additional clinical trials of future product candidates or current product candidates in new indications or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ongoing preclinical studies and ongoing and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utilize third parties to manufacture our potential future product candidates and related raw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early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research programs and program candidates to expand our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research and development, clinical, commercial, and operational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enforce, defend and protect our intellectual property portfolio and provide reimbursement of third-party expenses related to our patent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any potential future product candidates for which we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establish a sales, marketing and distribution infrastructure to commercialize any therapies for which we may obtain regulatory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incur costs associated with being a public company, including audit, legal, regulatory, and tax-related services associated with maintaining compliance with an exchange listing and Securities Exchange Commission (“SEC”) requirements, director and officer insurance premiums and investor relations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have several preclinical and clinical development, regulatory, and commercial milestone payment obligations under our licensing arrangements. Our net losses may fluctuate significantly from quarter-to-quarter and year-to-year, depending on the timing of our preclinical studies, clinical trials and our expenditures on other research and development activities. </w:t>
      </w:r>
    </w:p>
    <w:p>
      <w:pPr>
        <w:pStyle w:val="TextBody"/>
        <w:bidi w:val="0"/>
        <w:spacing w:before="240" w:after="283"/>
        <w:jc w:val="left"/>
        <w:rPr>
          <w:rFonts w:ascii="Times New Roman" w:hAnsi="Times New Roman"/>
          <w:sz w:val="20"/>
        </w:rPr>
      </w:pPr>
      <w:r>
        <w:rPr>
          <w:rFonts w:ascii="Times New Roman" w:hAnsi="Times New Roman"/>
          <w:color w:val="000000"/>
          <w:sz w:val="20"/>
        </w:rPr>
        <w:t>We do not expect to generate any revenue from product sales unless and until we successfully complete development and obtain regulatory approval for one or more of our potential future product candidates, which will not be for at least the next several years, if ever. If we obtain regulatory approval for any of our potential future product candidates, we expect to incur significant commercialization expenses related to product sales, marketing, manufacturing and distribution. Accordingly, until such time as we can generate significant revenue from sales of our potential future product candidates, if ever, we expect to finance our cash needs through equity offerings, debt financings or other capital sources, including potential collaborations, licenses and other similar arrangements. See the section titled “—</w:t>
      </w:r>
      <w:r>
        <w:rPr>
          <w:rFonts w:ascii="Times New Roman" w:hAnsi="Times New Roman"/>
          <w:i/>
          <w:color w:val="000000"/>
          <w:sz w:val="20"/>
        </w:rPr>
        <w:t>Liquidity and Capital Resources</w:t>
      </w:r>
      <w:r>
        <w:rPr>
          <w:rFonts w:ascii="Times New Roman" w:hAnsi="Times New Roman"/>
          <w:color w:val="000000"/>
          <w:sz w:val="20"/>
        </w:rPr>
        <w:t xml:space="preserve">” included elsewhere in this Quarterly Report.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 </w:t>
      </w:r>
    </w:p>
    <w:p>
      <w:pPr>
        <w:pStyle w:val="TextBody"/>
        <w:bidi w:val="0"/>
        <w:spacing w:before="240" w:after="283"/>
        <w:jc w:val="left"/>
        <w:rPr>
          <w:rFonts w:ascii="Times New Roman" w:hAnsi="Times New Roman"/>
          <w:sz w:val="20"/>
        </w:rPr>
      </w:pPr>
      <w:r>
        <w:rPr>
          <w:rFonts w:ascii="Times New Roman" w:hAnsi="Times New Roman"/>
          <w:color w:val="000000"/>
          <w:sz w:val="20"/>
        </w:rPr>
        <w:t>We believe that our existing cash, cash equivalents, and short-term investments will enable us to fund our operating expenses and capital expenditure requirements into the second half of 2029. See the sections titled “—</w:t>
      </w:r>
      <w:r>
        <w:rPr>
          <w:rFonts w:ascii="Times New Roman" w:hAnsi="Times New Roman"/>
          <w:i/>
          <w:color w:val="000000"/>
          <w:sz w:val="20"/>
        </w:rPr>
        <w:t>Liquidity and Capital Resources” and “Risk Factors—Risks Related to Our Limited Operating History, Financial Condition and Need for Additional Capital</w:t>
      </w:r>
      <w:r>
        <w:rPr>
          <w:rFonts w:ascii="Times New Roman" w:hAnsi="Times New Roman"/>
          <w:color w:val="000000"/>
          <w:sz w:val="20"/>
        </w:rPr>
        <w:t>” included elsewhere in this Quarterly Report.</w:t>
      </w:r>
    </w:p>
    <w:p>
      <w:pPr>
        <w:pStyle w:val="TextBody"/>
        <w:bidi w:val="0"/>
        <w:spacing w:before="360" w:after="283"/>
        <w:jc w:val="left"/>
        <w:rPr>
          <w:rFonts w:ascii="Times New Roman" w:hAnsi="Times New Roman"/>
          <w:sz w:val="20"/>
        </w:rPr>
      </w:pPr>
      <w:r>
        <w:rPr>
          <w:rFonts w:ascii="Times New Roman" w:hAnsi="Times New Roman"/>
          <w:b/>
          <w:color w:val="000000"/>
          <w:sz w:val="20"/>
        </w:rPr>
        <w:t>License and Collaboration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Option and License Agreement with Janssen Pharmaceutical NV</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we entered into an option and license agreement with Janssen Pharmaceutical NV, as amended on April 3, 2023, April 18, 2023, May 2, 2023, October 2, 2023, and April 9, 2024 (collectively, the “Janssen License”), under which we received an exclusive option to obtain from Janssen (a) a worldwide exclusive license for the research, development, and commercialization of transmembrane TARPγ8 AMPAR products for the diagnosis, treatment, prophylaxis or palliation of any disease or condition in humans or other animals (the “Field”) and (b) an assignment of certain patents related to TARPγ8, in each case of (a)-(b), subject to certain retained rights by Janssen. Pursuant to the Janssen License, we also received a worldwide, royalty-free, non-exclusive license (exclusive under certain joint patents) for the research, development, and commercialization of certain neuronal nicotinic acetylcholine (“nACh”) products in the Field.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made a non-refundable, non-creditable upfront payment of $1.0 million to Janssen after we entered into the Janssen License. In October 2022, we exercised the option and paid a non-refundable, non-creditable option fee of $4.0 million to Janssen. If we succeed in developing and commercializing TARPγ8 products, Janssen will be eligible to receive (i) up to $76.0 million in development milestone payments and up to $40.0 million sales milestone payments for the product containing the lead TARPγ8 development candidate, and (ii) up to $25.0 million in development milestone payments and up to $42.0 million sales milestone payments for other TARPγ8 products containing a non-lead TARPγ8 development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Janssen is also eligible to receive (a) royalties ranging from mid to high-single digit percentages on worldwide net sales of any products containing a TARPγ8 development candidate and (b) royalties ranging from low to mid-single digit percentages for other TARPγ8 products that do not contain a TARPγ8 development candidate, in each case of (a) and (b), subject to potential reductions following the expiration of valid claims and regulatory exclusivity covering such TARPγ8 products, the launch of certain generic products and the application of certain anti-stacking reductions for third party intellectual property payments, subject to a customary reduction floor. The royalties for any TARPγ8 product will expire on a country-by-country basis upon the latest to occur of (i) the expiration of all valid patent claims covering such product in such country, (ii) the expiration of all regulatory exclusivities in such country, and (iii) a specified number of years following the first commercial sale of such product in such country. The Janssen License provides us with certain other exclusive rights with respect to small molecules with activity against TARPγ8 and nACh.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the right to terminate the Janssen License for any or no reason upon providing prior written notice to Janssen upon ninety (90) days’ prior written notice to Janssen. Either party may terminate the license agreement in its entirety for the other party’s material breach if such party fails to cure the breach or upon certain insolvency events involving the other party. </w:t>
      </w:r>
    </w:p>
    <w:p>
      <w:pPr>
        <w:pStyle w:val="TextBody"/>
        <w:bidi w:val="0"/>
        <w:spacing w:before="360" w:after="283"/>
        <w:jc w:val="left"/>
        <w:rPr>
          <w:rFonts w:ascii="Times New Roman" w:hAnsi="Times New Roman"/>
          <w:sz w:val="20"/>
        </w:rPr>
      </w:pPr>
      <w:r>
        <w:rPr>
          <w:rFonts w:ascii="Times New Roman" w:hAnsi="Times New Roman"/>
          <w:i/>
          <w:color w:val="000000"/>
          <w:sz w:val="20"/>
        </w:rPr>
        <w:t>NeuroPace Master Services Agreement and Statements of Work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we entered into a master services agreement (the “NeuroPace Agreement”) with NeuroPace Inc. (“NeuroPace”), the manufacturer and distributor of the responsive neurostimulation (“RNS”) system. Pursuant to the NeuroPace Agreement and in accordance with statement of work agreements entered into from time to time, NeuroPace provides us with certain services with respect to data from the RNS systems used in our clinical trials. The NeuroPace Agreement also grants us a royalty-free, worldwide, exclusive, non-transferable license to all data collected by the RNS systems in our RAP-219 clinical trials in drug-resistant focal onset seizures and the outcomes of algorithms that are applied to such data, as well as the ability to publish the outcomes of algorithms, subject to certain conditions. The consideration we will pay to NeuroPace for such services is set out in each statement of work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Concurrently with the execution of the NeuroPace Agreement, the parties also entered into an initial statement of work, as amended in March 2024, and a second statement of work, as amended in February 2026 (collectively, the “NeuroPace SOWs”), under the NeuroPace Agreement, pursuant to which NeuroPace agreed to provide services related to our RAP-219 Phase 2a clinical trial and open-label long term safety trial in RAP-219 for FOS, including, among other things, clinical trial readiness support, identification of potential patients satisfying the enrollment criteria and RNS system data reporting and data analysis. Pursuant to the payment schedule set out in the NeuroPace SOWs, we will pay NeuroPace an aggregate of up to $5.8 million over a period of approximately four years in connection with NeuroPace’s provision of services and achievement of certain patient enrollment and deliverable milestones. As of June 30, 2026, we have incurred cumulative expenses of $4.7 million on both NeuroPace SOWs.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Tenacia Collaboration and License Agreement</w:t>
      </w:r>
    </w:p>
    <w:p>
      <w:pPr>
        <w:pStyle w:val="TextBody"/>
        <w:bidi w:val="0"/>
        <w:spacing w:before="240" w:after="200"/>
        <w:jc w:val="left"/>
        <w:rPr>
          <w:rFonts w:ascii="Times New Roman" w:hAnsi="Times New Roman"/>
          <w:sz w:val="20"/>
        </w:rPr>
      </w:pPr>
      <w:r>
        <w:rPr>
          <w:rFonts w:ascii="Times New Roman" w:hAnsi="Times New Roman"/>
          <w:color w:val="000000"/>
          <w:sz w:val="20"/>
        </w:rPr>
        <w:t>On March 6, 2026, we entered into a License Agreement (the “Tenacia License Agreement”) with Tenacia Biotechnology (Hong Kong) Co., Ltd. (“Tenacia”). The arrangement provides Tenacia with the exclusive rights to develop and commercialize our product candidate, RAP-219 in mainland China, Hong Kong, Macau and Taiwan (each, a “Market” and collectively, the “Tenacia Territory”). We retain exclusive rights to RAP-219 outside the Tenacia territory</w:t>
      </w:r>
      <w:r>
        <w:rPr>
          <w:rFonts w:ascii="Times New Roman" w:hAnsi="Times New Roman"/>
          <w:color w:val="000000"/>
          <w:sz w:val="24"/>
        </w:rPr>
        <w:t>.</w:t>
      </w:r>
    </w:p>
    <w:p>
      <w:pPr>
        <w:pStyle w:val="TextBody"/>
        <w:bidi w:val="0"/>
        <w:spacing w:before="40" w:after="200"/>
        <w:jc w:val="left"/>
        <w:rPr>
          <w:rFonts w:ascii="Times New Roman" w:hAnsi="Times New Roman"/>
          <w:sz w:val="20"/>
        </w:rPr>
      </w:pPr>
      <w:r>
        <w:rPr>
          <w:rFonts w:ascii="Times New Roman" w:hAnsi="Times New Roman"/>
          <w:color w:val="000000"/>
          <w:sz w:val="20"/>
        </w:rPr>
        <w:t xml:space="preserve">Under the terms of the Tenacia License Agreement, we granted to Tenacia an exclusive license to use certain intellectual property for the development and commercialization of RAP-219 and products containing RAP-219 across indications, including focal onset seizures (“FOS”) and bipolar mania. See Note 11 - </w:t>
      </w:r>
      <w:r>
        <w:rPr>
          <w:rFonts w:ascii="Times New Roman" w:hAnsi="Times New Roman"/>
          <w:i/>
          <w:color w:val="000000"/>
          <w:sz w:val="20"/>
        </w:rPr>
        <w:t>License and</w:t>
      </w:r>
      <w:r>
        <w:rPr>
          <w:rFonts w:ascii="Times New Roman" w:hAnsi="Times New Roman"/>
          <w:color w:val="000000"/>
          <w:sz w:val="20"/>
        </w:rPr>
        <w:t xml:space="preserve"> </w:t>
      </w:r>
      <w:r>
        <w:rPr>
          <w:rFonts w:ascii="Times New Roman" w:hAnsi="Times New Roman"/>
          <w:i/>
          <w:color w:val="000000"/>
          <w:sz w:val="20"/>
        </w:rPr>
        <w:t xml:space="preserve">Collaboration Agreement </w:t>
      </w:r>
      <w:r>
        <w:rPr>
          <w:rFonts w:ascii="Times New Roman" w:hAnsi="Times New Roman"/>
          <w:color w:val="000000"/>
          <w:sz w:val="20"/>
        </w:rPr>
        <w:t>for a description of the key terms of the Tenacia License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Under the terms of the Tenacia License Agreement, we received a $20.0 million non-refundable upfront payment. Additionally, to the extent Tenacia commercializes any licensed products containing RAP-219, we are eligible to receive up to $308.0 million in contingent sales-based milestone payments and tiered royalty payments ranging from the mid-single digits to the mid-teens based on a percentage of net sales, subject to customary reductions and offsets.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00"/>
        <w:jc w:val="left"/>
        <w:rPr>
          <w:rFonts w:ascii="Times New Roman" w:hAnsi="Times New Roman"/>
          <w:sz w:val="20"/>
        </w:rPr>
      </w:pPr>
      <w:r>
        <w:rPr>
          <w:rFonts w:ascii="Times New Roman" w:hAnsi="Times New Roman"/>
          <w:color w:val="000000"/>
          <w:sz w:val="20"/>
        </w:rPr>
        <w:t xml:space="preserve">We have not generated any revenue from the sale of products since inception and do not expect to generate any revenue from the sale of products for several years, if ever. As discussed above and in Note 11 - </w:t>
      </w:r>
      <w:r>
        <w:rPr>
          <w:rFonts w:ascii="Times New Roman" w:hAnsi="Times New Roman"/>
          <w:i/>
          <w:color w:val="000000"/>
          <w:sz w:val="20"/>
        </w:rPr>
        <w:t>License and Collaboration Agreement</w:t>
      </w:r>
      <w:r>
        <w:rPr>
          <w:rFonts w:ascii="Times New Roman" w:hAnsi="Times New Roman"/>
          <w:color w:val="000000"/>
          <w:sz w:val="20"/>
        </w:rPr>
        <w:t xml:space="preserve"> to our condensed consolidated financial statements, we entered into the Tenacia License Agreement in March 2026. We recognized $20.0 million of collaboration revenue from the Tenacia License Agreement during the six months ended June 30, 2026.</w:t>
      </w:r>
    </w:p>
    <w:p>
      <w:pPr>
        <w:pStyle w:val="TextBody"/>
        <w:bidi w:val="0"/>
        <w:spacing w:before="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in connection with the development and research of our clinical and pre-clinical potential future product candidates. Our research and development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costs, including salaries, bonuses, benefits, and stock-based compensation for employees engaged in manufacturing,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to acquire in-process research and development with no alternative future use acquired in an asset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expenses, including expenses incurred under arrangements with third parties, such as contract research organizations, contract manufacturing organizations, consultants and our clinical and scientific advisors;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developing and validating our outsourced manufacturing process for use in our preclinical studies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obtain licenses to intellectual property and related future payments should certain development milestones be achieved;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for laboratory supplies, research materials, and reagents;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facility costs, depreciation, and other expenses related to research and development activities, which include direct or allocated expenses for rent, maintenance of facilities, and utilities.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primary focus since inception has been the development of RAP-219. Our research and development costs consist primarily of personnel-related costs and external costs, such as fees paid to Contract Manufacturing Organizations (“CMOs”), Contract Research Organizations (“CROs”) and consultants in connection with our non-clinical studies, preclinical studies and clinical trials. We expense all research and development costs in the periods in which they are incurred. Because we are working on multiple research and development programs at one time, we track many of our external expenses on a program-by-program basis. We do not allocate personnel-related costs or other indirect costs to specific product development programs because these costs are deployed across multiple programs and, as such, are not separately classified.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RAP-219 through clinical development, pursue regulatory approval of RAP-219, continue to discover and develop additional product candidates and incur expenses associated with hiring additional personnel to support our research and development efforts, including the associated manufacturing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Upfront and milestone payments made are accrued for and expensed when the achievement of the milestone is probable up to the point of regulatory approval. Milestone payments made upon regulatory approval will be capitalized and amortized over the remaining useful life of the related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preclinical and 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and successful completion of preclinical studies, including toxicology studies, biodistribution studies and minimally efficacious dose studies in animals,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INDs or comparable foreign applications that allow commencement of our planned clinical trials or future clinical trials for any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and completion of clinical trials, including under the U.S. FDA’s current Good Clinical Practices (“GCPs”), current Good Laboratory Practices (“GLPs”), and any additional regulatory requirements from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positive results from our future clinical trials that support a finding of safety and effectiveness and an acceptable risk-benefit profile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arrangements through our own facilities or with third-party manufacturers for clinical supply and, where applicable, commercial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maintenance, defense and enforcement of patent, trademark, trade secret and other intellectual property protection or regulatory exclusivity for any product candidates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of a continued acceptable safety, tolerability and efficacy profile of any product candidates we may develop following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of our product candidates or potential future product candidate could mean a significant change in the costs and timing associated with the development of that product candidate or potential future product candidate. For example, if the FDA or another regulatory authority were to require us to conduct clinical trials beyond those that we anticipate would be required for the completion of clinical development of a product candidate or potential future product candidate, or if we experience significant delays in our clinical trials due to slower than expected patient enrollment or other reasons, we would be required to expend significant additional financial resources and time on the completion of clinical development. We may never obtain regulatory approval for any of our product candidates, and, even if we do, drug commercialization takes several years and millions of dollars in development costs.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personnel-related costs, including salaries, bonuses, benefits, and stock-based compensation charges for those individuals in executive, finance, human resources, facility operations, and other administrative functions. Other costs include legal fees relating to intellectual property and corporate matters, professional fees for auditing, accounting, tax and consulting services, office and information technology costs, insurance costs, and facilities, depreciation and other selling, general and administrative expenses, which include direct or allocated expenses for rent and maintenance of facilities and utilities.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selling, general and administrative expenses will increase for the foreseeable future to support development of product candidates and our continued research activities. These increases will likely include additional costs related to the hiring of additional personnel and fees paid to outside consultants, among other expenses. We also anticipate increased expenses related to audit, accounting, legal, regulatory, and tax-related services associated with maintaining compliance with The Nasdaq Global Market (“Nasdaq”) and SEC requirements, director and officer insurance premiums, and investor relations costs associated with operating as a public company.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from our cash, cash equivalents and short-term and long term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we recorded no income tax provision. As of June 30, 2026 and December 31, 2025, we recorded a full valuation allowance of our net deferred tax assets, as we believed it was more likely than not we would not be able to utilize our deferred tax assets prior to their expiration.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recorded any income tax benefits for the net losses we have incurred in each year or for our research and development tax credits, as we believe, based upon the weight of available evidence, that it is more likely than not that all of our net operating losses (“NOLs”), carryforwards and tax credits will be not realized. As of December 31, 2025, we had federal NOL carryforwards of approximately $46.1 million and state NOL carryforwards of approximately $15.1 million, respectively. Federal losses have an indefinite carryforward period, but can only offset 80% of federal taxable income in a given year. Losses for state purposes begin to expire in 2043. As of December 31, 2025, we also had federal and state tax research and development credit carryforwards of approximately $8.0 million and $3.2 million, respectively, to offset future tax liabilities, which begin to expire in 2042 and 2037, respectively. As of December 31, 2025, we had no unrecognized tax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new U.S tax legislation was signed into law (known as the “One Big Beautiful Bill Act” or “OBBBA”) which makes permanent many of the tax provisions enacted in 2017 as part of the Tax Cuts and Jobs Act that were set to expire at the end of 2025. The impacts of OBBBA are not expected to be material to the 2026 consolidated balance sheet or statements of operations and comprehensive loss.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w:t>
      </w:r>
    </w:p>
    <w:p>
      <w:pPr>
        <w:pStyle w:val="TextBody"/>
        <w:bidi w:val="0"/>
        <w:spacing w:before="120" w:after="283"/>
        <w:jc w:val="left"/>
        <w:rPr/>
      </w:pPr>
      <w:r>
        <w:rPr/>
        <w:t> </w:t>
      </w:r>
    </w:p>
    <w:tbl>
      <w:tblPr>
        <w:tblW w:w="7358" w:type="dxa"/>
        <w:jc w:val="left"/>
        <w:tblInd w:w="0" w:type="dxa"/>
        <w:tblLayout w:type="fixed"/>
        <w:tblCellMar>
          <w:top w:w="28" w:type="dxa"/>
          <w:left w:w="28" w:type="dxa"/>
          <w:bottom w:w="28" w:type="dxa"/>
          <w:right w:w="28" w:type="dxa"/>
        </w:tblCellMar>
      </w:tblPr>
      <w:tblGrid>
        <w:gridCol w:w="3156"/>
        <w:gridCol w:w="146"/>
        <w:gridCol w:w="211"/>
        <w:gridCol w:w="736"/>
        <w:gridCol w:w="166"/>
        <w:gridCol w:w="146"/>
        <w:gridCol w:w="211"/>
        <w:gridCol w:w="736"/>
        <w:gridCol w:w="166"/>
        <w:gridCol w:w="146"/>
        <w:gridCol w:w="211"/>
        <w:gridCol w:w="736"/>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pPr>
      <w:r>
        <w:rPr/>
        <w:t> </w:t>
      </w:r>
    </w:p>
    <w:tbl>
      <w:tblPr>
        <w:tblW w:w="7922" w:type="dxa"/>
        <w:jc w:val="left"/>
        <w:tblInd w:w="0" w:type="dxa"/>
        <w:tblLayout w:type="fixed"/>
        <w:tblCellMar>
          <w:top w:w="28" w:type="dxa"/>
          <w:left w:w="28" w:type="dxa"/>
          <w:bottom w:w="28" w:type="dxa"/>
          <w:right w:w="28" w:type="dxa"/>
        </w:tblCellMar>
      </w:tblPr>
      <w:tblGrid>
        <w:gridCol w:w="4086"/>
        <w:gridCol w:w="211"/>
        <w:gridCol w:w="676"/>
        <w:gridCol w:w="146"/>
        <w:gridCol w:w="146"/>
        <w:gridCol w:w="211"/>
        <w:gridCol w:w="676"/>
        <w:gridCol w:w="146"/>
        <w:gridCol w:w="146"/>
        <w:gridCol w:w="211"/>
        <w:gridCol w:w="676"/>
        <w:gridCol w:w="591"/>
      </w:tblGrid>
      <w:tr>
        <w:trPr/>
        <w:tc>
          <w:tcPr>
            <w:tcW w:w="4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program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RAP-219 program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programs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and unallocated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costs (including stock-based</w:t>
              <w:br/>
              <w:t>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were $51.4 million for the three months ended June 30, 2026, as compared to $22.7 million for the three months ended June 30, 2025. The increase of $28.7 million consisted of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$24.4 million increase in RAP-219 program costs, which consisted primarily of an increase of $22.3 million in clinical trial costs primarily driven by start-up costs for our Phase 3 trials in drug-resistant FOS, costs for our open-label long term safety trial for RAP-219 in FOS, costs for our Phase 2 proof-of-concept trial in bipolar mania, IND-enabling costs for our LAI program, a $1.7 million increase in contract manufacturing costs related to the production of clinical supply, a $0.3 million increase in RAP-219 consulting costs, and a $0.2 million increase in preclinical toxicology studies related to long-term toxicology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$4.0 million increase in personnel-related costs due to an increase in headcount, which consisted primarily of salaries, bonuses, and other compensation-related costs of $2.7 million and stock-based compensation of $1.3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$0.2 million increase in other costs, consisting of research and development facility costs and information technology costs related to increased headcount and continued expansion of our Boston and San Diego sites;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$0.1 million increase in preclinical program costs, which consisted primarily of a $0.3 million increase in toxicology and animal studies related to our discovery programs, offset by a $0.2 million decrease in laboratory supplies.</w:t>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tbl>
      <w:tblPr>
        <w:tblW w:w="8168" w:type="dxa"/>
        <w:jc w:val="left"/>
        <w:tblInd w:w="0" w:type="dxa"/>
        <w:tblLayout w:type="fixed"/>
        <w:tblCellMar>
          <w:top w:w="28" w:type="dxa"/>
          <w:left w:w="28" w:type="dxa"/>
          <w:bottom w:w="28" w:type="dxa"/>
          <w:right w:w="28" w:type="dxa"/>
        </w:tblCellMar>
      </w:tblPr>
      <w:tblGrid>
        <w:gridCol w:w="4681"/>
        <w:gridCol w:w="146"/>
        <w:gridCol w:w="211"/>
        <w:gridCol w:w="571"/>
        <w:gridCol w:w="146"/>
        <w:gridCol w:w="146"/>
        <w:gridCol w:w="211"/>
        <w:gridCol w:w="571"/>
        <w:gridCol w:w="146"/>
        <w:gridCol w:w="146"/>
        <w:gridCol w:w="211"/>
        <w:gridCol w:w="571"/>
        <w:gridCol w:w="4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general and administrative expenses were $9.4 million for the three months ended June 30, 2026, as compared to $6.8 million for the three months ended June 30, 2025. The increase of $2.6 million consisted of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$2.0 million increase in workforce expense due to an increase in headcount, consisting primarily of salaries, bonuses, and other compensation-related costs of $0.5 million and stock-based compensation of $1.5 million;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$0.5 million increase in professional and consulting costs primarily associated with increases of $0.3 million in consulting costs and $0.2 million in legal costs. </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Other Income</w:t>
      </w:r>
    </w:p>
    <w:tbl>
      <w:tblPr>
        <w:tblW w:w="4987" w:type="dxa"/>
        <w:jc w:val="left"/>
        <w:tblInd w:w="0" w:type="dxa"/>
        <w:tblLayout w:type="fixed"/>
        <w:tblCellMar>
          <w:top w:w="28" w:type="dxa"/>
          <w:left w:w="28" w:type="dxa"/>
          <w:bottom w:w="28" w:type="dxa"/>
          <w:right w:w="28" w:type="dxa"/>
        </w:tblCellMar>
      </w:tblPr>
      <w:tblGrid>
        <w:gridCol w:w="1666"/>
        <w:gridCol w:w="211"/>
        <w:gridCol w:w="571"/>
        <w:gridCol w:w="146"/>
        <w:gridCol w:w="146"/>
        <w:gridCol w:w="211"/>
        <w:gridCol w:w="571"/>
        <w:gridCol w:w="146"/>
        <w:gridCol w:w="146"/>
        <w:gridCol w:w="211"/>
        <w:gridCol w:w="571"/>
        <w:gridCol w:w="391"/>
      </w:tblGrid>
      <w:tr>
        <w:trPr/>
        <w:tc>
          <w:tcPr>
            <w:tcW w:w="1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was $4.2 million for the three months ended June 30, 2026, as compared to $2.8 million for the three months ended June 30, 2025. The $1.4 million increase was driven by increased interest income due to the increased cash, cash equivalent and short-term investments balances for most of the three months ended June 30, 2026 due to proceeds from the September 2025 Offering.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of the three months ended June 30, 2026 and 2025, we recorded an income tax provision of zero.</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w:t>
      </w:r>
    </w:p>
    <w:tbl>
      <w:tblPr>
        <w:tblW w:w="7403" w:type="dxa"/>
        <w:jc w:val="left"/>
        <w:tblInd w:w="0" w:type="dxa"/>
        <w:tblLayout w:type="fixed"/>
        <w:tblCellMar>
          <w:top w:w="28" w:type="dxa"/>
          <w:left w:w="28" w:type="dxa"/>
          <w:bottom w:w="28" w:type="dxa"/>
          <w:right w:w="28" w:type="dxa"/>
        </w:tblCellMar>
      </w:tblPr>
      <w:tblGrid>
        <w:gridCol w:w="3156"/>
        <w:gridCol w:w="146"/>
        <w:gridCol w:w="211"/>
        <w:gridCol w:w="781"/>
        <w:gridCol w:w="166"/>
        <w:gridCol w:w="146"/>
        <w:gridCol w:w="211"/>
        <w:gridCol w:w="736"/>
        <w:gridCol w:w="166"/>
        <w:gridCol w:w="146"/>
        <w:gridCol w:w="211"/>
        <w:gridCol w:w="736"/>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Collaboration Revenue</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Collaboration revenue was $20.0 million for the six months ended June 30, 2026 as a result of revenue recognized related to the non-refundable upfront fee received pursuant to the Tenacia License Agreement. Through June 30, 2026, no milestones have been achieved and no royalties have been earned.</w:t>
      </w:r>
    </w:p>
    <w:p>
      <w:pPr>
        <w:pStyle w:val="TextBody"/>
        <w:bidi w:val="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pPr>
      <w:r>
        <w:rPr/>
        <w:t> </w:t>
      </w:r>
    </w:p>
    <w:tbl>
      <w:tblPr>
        <w:tblW w:w="8068" w:type="dxa"/>
        <w:jc w:val="left"/>
        <w:tblInd w:w="0" w:type="dxa"/>
        <w:tblLayout w:type="fixed"/>
        <w:tblCellMar>
          <w:top w:w="28" w:type="dxa"/>
          <w:left w:w="28" w:type="dxa"/>
          <w:bottom w:w="28" w:type="dxa"/>
          <w:right w:w="28" w:type="dxa"/>
        </w:tblCellMar>
      </w:tblPr>
      <w:tblGrid>
        <w:gridCol w:w="4086"/>
        <w:gridCol w:w="146"/>
        <w:gridCol w:w="211"/>
        <w:gridCol w:w="676"/>
        <w:gridCol w:w="146"/>
        <w:gridCol w:w="146"/>
        <w:gridCol w:w="211"/>
        <w:gridCol w:w="676"/>
        <w:gridCol w:w="146"/>
        <w:gridCol w:w="146"/>
        <w:gridCol w:w="211"/>
        <w:gridCol w:w="676"/>
        <w:gridCol w:w="5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RAP-219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and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costs (including stock-based</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Research and development expenses were $84.1 million for the six months ended June 30, 2026, as compared to $42.3 million for the six months ended June 30, 2025. The increase of $41.9 million consisted of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$32.3 million increase in RAP-219 program costs, which consisted primarily of an increase of $29.1 million in clinical trial costs primarily driven by start-up costs for our Phase 3 trials in drug-resistant FOS, costs for our open-label long term safety trial for RAP-219 in FOS, costs for our Phase 2 proof-of-concept trial in bipolar mania, costs for IND-enabling activities for our LAI program, a $2.8 million increase in contract manufacturing costs related to the production of clinical supply, and a $0.3 million increase in consulting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$7.8 million increase in personnel-related costs due to an increase in headcount, which consisted primarily of salaries, bonuses, and other compensation-related costs of $5.1 million, and stock-based compensation of $2.8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$1.2 million increase in preclinical program costs, which consisted primarily of a $1.5 million increase in toxicology and animal studies related to our discovery programs, offset by a $0.2 million decrease in external chemistry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$0.6 million increase in other costs, consisting of research and development facility costs and information technology costs related to increased headcount and continued expansion of our Boston and San Diego sites.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8378" w:type="dxa"/>
        <w:jc w:val="left"/>
        <w:tblInd w:w="0" w:type="dxa"/>
        <w:tblLayout w:type="fixed"/>
        <w:tblCellMar>
          <w:top w:w="28" w:type="dxa"/>
          <w:left w:w="28" w:type="dxa"/>
          <w:bottom w:w="28" w:type="dxa"/>
          <w:right w:w="28" w:type="dxa"/>
        </w:tblCellMar>
      </w:tblPr>
      <w:tblGrid>
        <w:gridCol w:w="4681"/>
        <w:gridCol w:w="146"/>
        <w:gridCol w:w="211"/>
        <w:gridCol w:w="676"/>
        <w:gridCol w:w="146"/>
        <w:gridCol w:w="146"/>
        <w:gridCol w:w="211"/>
        <w:gridCol w:w="676"/>
        <w:gridCol w:w="146"/>
        <w:gridCol w:w="146"/>
        <w:gridCol w:w="211"/>
        <w:gridCol w:w="571"/>
        <w:gridCol w:w="4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general and administrative expenses were $20.9 million for the six months ended June 30, 2026, as compared to $14.4 million for the six months ended June 30, 2025. The increase of $6.5 million consisted of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$4.1 million increase in workforce expense due to an increase in headcount, consisting primarily of salaries, bonuses, and other compensation-related costs of $1.2 million and stock-based compensation of $3.0 million;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$2.6 million increase in professional and consulting costs primarily associated with increases of $2.4 million in consulting costs and $0.5 million in legal costs primarily due to the execution of the Tenacia License Agreement, offset by a $0.4 million decrease in accounting consulting costs.</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jc w:val="left"/>
        <w:rPr/>
      </w:pPr>
      <w:r>
        <w:rPr/>
        <w:t> </w:t>
      </w:r>
    </w:p>
    <w:tbl>
      <w:tblPr>
        <w:tblW w:w="5133" w:type="dxa"/>
        <w:jc w:val="left"/>
        <w:tblInd w:w="0" w:type="dxa"/>
        <w:tblLayout w:type="fixed"/>
        <w:tblCellMar>
          <w:top w:w="28" w:type="dxa"/>
          <w:left w:w="28" w:type="dxa"/>
          <w:bottom w:w="28" w:type="dxa"/>
          <w:right w:w="28" w:type="dxa"/>
        </w:tblCellMar>
      </w:tblPr>
      <w:tblGrid>
        <w:gridCol w:w="1666"/>
        <w:gridCol w:w="146"/>
        <w:gridCol w:w="211"/>
        <w:gridCol w:w="571"/>
        <w:gridCol w:w="146"/>
        <w:gridCol w:w="146"/>
        <w:gridCol w:w="211"/>
        <w:gridCol w:w="571"/>
        <w:gridCol w:w="146"/>
        <w:gridCol w:w="146"/>
        <w:gridCol w:w="211"/>
        <w:gridCol w:w="571"/>
        <w:gridCol w:w="3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was $8.5 million for the six months ended June 30, 2026, as compared to $5.8 million for the six months ended June 30, 2025. The $2.7 million increase in interest income was due to the increased cash, cash equivalent and short-term investments balances for most of the six months ended June 30, 2026 due to proceeds from the September 2025 Offering.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of the six months ended June 30, 2026 and 2025, we recorded an income tax provision of zero.</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in February 2022, our revenue has been generated from payments received pursuant to collaboration agreements and we have incurred significant operating losses and negative cash flows from operations. We expect to incur significant expenses and operating losses for the foreseeable future as we advance the clinical development of our product candidates and pipeline. Further, we expect to continue to incur additional costs associated with operating as a public company. Historically, we have funded our operations with proceeds from the sale of convertible notes, convertible preferred stock, and the issuance of common stock in our IPO, concurrent private placement, September 2025 Offering, and collaboration agreements. As of June 30, 2026, we had cash, cash equivalents and short-term investments of $436.1 million, excluding our restricted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previously entered into a common stock sales agreement (the “Sales Agreement”), dated July 1, 2025, by and between the Company and Leerink Partners LLC and Cantor Fitzgerald &amp; Co., acting as sales agents, which established an at-the-market offering program pursuant to which we may offer and sell shares of our common stock from time to time (the “ATM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we filed an automatic shelf registration statement on Form S-3ASR (the “2026 Registration Statement”), containing (i) a base prospectus, which covers the offering, issuance and sale from time to time in one or more offerings of an indeterminate amount of common stock, preferred stock, debt securities, warrants and/or units; and (ii) a sales agreement prospectus for the offering and issuance and sale of up to a maximum aggregate offering price of $150.0 million of common stock, to be issued pursuant to the Sales Agreement. As of June 30, 2026, we have not sold any shares pursuant to our ATM program. As market conditions permit, we may offer and sell securities under the 2026 Registration Statement, including through the ATM Program, in order to fund our operations or provide additional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existing cash, cash equivalents and marketable securities, we expect to receive research and development reimbursements and are eligible to earn development and commercial milestone payments and royalties under our license agreement with Tenacia. Our ability to earn these milestone payments and the timing of earning these payments is dependent upon the outcome of agreed upon research and development and commercialization activities and is uncertain at this time.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w:t>
      </w:r>
    </w:p>
    <w:p>
      <w:pPr>
        <w:pStyle w:val="TextBody"/>
        <w:bidi w:val="0"/>
        <w:jc w:val="left"/>
        <w:rPr/>
      </w:pPr>
      <w:r>
        <w:rPr/>
        <w:t> </w:t>
      </w:r>
    </w:p>
    <w:tbl>
      <w:tblPr>
        <w:tblW w:w="7674" w:type="dxa"/>
        <w:jc w:val="left"/>
        <w:tblInd w:w="0" w:type="dxa"/>
        <w:tblLayout w:type="fixed"/>
        <w:tblCellMar>
          <w:top w:w="28" w:type="dxa"/>
          <w:left w:w="28" w:type="dxa"/>
          <w:bottom w:w="28" w:type="dxa"/>
          <w:right w:w="28" w:type="dxa"/>
        </w:tblCellMar>
      </w:tblPr>
      <w:tblGrid>
        <w:gridCol w:w="4911"/>
        <w:gridCol w:w="146"/>
        <w:gridCol w:w="211"/>
        <w:gridCol w:w="736"/>
        <w:gridCol w:w="166"/>
        <w:gridCol w:w="146"/>
        <w:gridCol w:w="211"/>
        <w:gridCol w:w="736"/>
        <w:gridCol w:w="41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operating activities used $54.5 million of cash, resulting primarily from our net loss of $76.5 million, partially offset by $14.2 million of non-cash stock-based compensation expense, changes in operating assets and liabilities of $6.0 million, $0.4 million of non-cash depreciation expense, and $1.2 million of non-cash lease expense. The $6.0 million change in operating assets and liabilities is primarily driven by a $1.4 million decrease in operating lease liabilities, a decrease in other assets of $0.3 million due to the movement of an upfront long-term prepaid clinical trial payment from long-term to short term, and a decrease in accounts payable of $1.4 million due to timing of payments to vendors, partially offset by increases in accrued expenses of $11.1 million due to increased clinical trial costs, an increase in prepaid expenses and other current assets of $2.3 million, primarily due to recognition of advanced payments on contracts related to our clinical trials, and an increase to accounts receivable of $0.3 million for reimbursable costs related to the Tenacia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operating activities used $45.3 million of cash, resulting primarily from our net loss of $50.8 million, non-cash accretion of investments in marketable securities of $0.5 million, and changes in operating assets and liabilities of $3.8 million, partially offset by $8.4 million of non-cash stock-based compensation expense, $0.5 million of non-cash depreciation expense, and $0.9 million of non-cash lease expense. The $3.8 million change in operating assets and liabilities is primarily driven by an increase in prepaid expenses and other current assets of $5.1 million, primarily due to advanced payments on new contracts related to our clinical trials, a $0.1 million decrease in operating lease liabilities, partially offset by increases in accounts payable of $1.2 million and accrued expenses of $0.8 million due to timing of payments to vendors, and an increase in other assets of $0.5 million primarily due to the payment of the security deposit for our new corporate headquarters lease.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provided by investing activities was $63.5 million, primarily consisting of maturities of short-term investments of $123.5 million and sales of short-term investments of $10.1 million, partially offset by purchases of short-term investments of $70.0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provided by investing activities was $43.6 million, primarily consisting of maturities of short-term investments of $100.0 million, partially offset by purchases of short-term investments of $56.1 million and purchases of property and equipment of $0.3 million. </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$1.9 million, primarily consisting of proceeds from exercise of stock options of $2.4 million, offset by payment of deferred offering costs of $0.5 million in connection with the preparation and filing of the 2026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net cash used in financing activities was $0.1 million, primarily consisting of deferred offering costs in connection with the preparation and filing of the Registration Statement and the ATM Program.</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short-term investments of $436.1 million, excluding our restricted cash. As of the issuance date of the condensed consolidated financial statements for the six months ended June 30, 2026, we expect that our cash, cash equivalents and short-term investments will be sufficient to fund our operating expenses and capital expenditure requirements through at least 12 months from the issuance of the condensed consolidated financial statements. We believe that our existing cash, cash equivalents and short-term investments will enable us to fund our operating expenses and capital expenditure requirements into the second half of 2029. We have based this estimate on assumptions that may prove to be wrong, and we could exhaust our available capital resources sooner than we expect. However, our forecast for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potential future product candidates in clinical trials is costly, and the timing of progress and expenses in these studies and trials is uncertain. We will need to raise substantial additional capital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expenses to increase substantially in connection with our ongoing activities, particularly as we advance our preclinical studies and the current and future clinical trials of our product candidates. Our funding requirements and timing and amount of our operating expenditures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of progress in the development of RAP-219 and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expansions, results, costs, and timing of, discovery efforts, preclinical studies and clinical trials of RAP-219 and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RAP-219 and our potential future product candidates and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licenses and other similar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legal costs of obtaining, maintaining, and enforcing our patents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preclinical and future clinical activities increase;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potential future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any milestones in connection with the Tenacia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being a public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ownership interests will be diluted, and the terms of these securities may include liquidation or other preferences that adversely affect the rights of our common stockholders. Additional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license arrangements, or other similar arrangements with third parties, we may have to relinquish valuable rights to our technologies, future revenue streams, research programs or potential future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or through other sources when needed, we may be required to delay, limit, reduce or terminate our product development or future commercialization efforts or grant rights to develop and market our product candidates and potential future product candidates even if we would otherwise prefer to develop and market such potential future product candidates ourselves.</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June 30, 2026, we had future minimum operating lease payments under non-cancelable leases of $11.6 million related to leases we have recognized on our condensed consolidated balance sheet, which included existing laboratory and office leases and the new corporate headquarters lease that commenced June 1, 2025 in Boston, Massachusetts. The future minimum operating lease payments under these non-cancelable leases are due over a weighted average remaining lease term of 4.2 years. </w:t>
      </w:r>
    </w:p>
    <w:p>
      <w:pPr>
        <w:pStyle w:val="TextBody"/>
        <w:bidi w:val="0"/>
        <w:spacing w:before="360" w:after="283"/>
        <w:jc w:val="left"/>
        <w:rPr>
          <w:rFonts w:ascii="Times New Roman" w:hAnsi="Times New Roman"/>
          <w:sz w:val="20"/>
        </w:rPr>
      </w:pPr>
      <w:r>
        <w:rPr>
          <w:rFonts w:ascii="Times New Roman" w:hAnsi="Times New Roman"/>
          <w:i/>
          <w:color w:val="000000"/>
          <w:sz w:val="20"/>
        </w:rPr>
        <w:t>Option and License Agreement with Janssen Pharmaceutical NV</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made an upfront non-refundable, non-creditable payment of $1.0 million to Janssen after we entered into the Janssen License. In October 2022, we exercised the option and made a non-refundable, non-creditable option fee of $4.0 million to Janssen. If we succeed in developing and commercializing TARPγ8 products, Janssen will be eligible to receive (i) up to $76.0 million in development milestone payments and up to $40.0 million sales milestone payments for the product containing the lead TARPγ8 development candidate and (ii) up to $25.0 million in development milestone payments and up to $42.0 million sales milestone payments for the other products containing a non-lead TARP</w:t>
      </w:r>
      <w:r>
        <w:rPr>
          <w:rFonts w:ascii="Symbol;serif" w:hAnsi="Symbol;serif"/>
          <w:color w:val="000000"/>
          <w:sz w:val="20"/>
        </w:rPr>
        <w:t>g</w:t>
      </w:r>
      <w:r>
        <w:rPr>
          <w:rFonts w:ascii="Times New Roman" w:hAnsi="Times New Roman"/>
          <w:color w:val="000000"/>
          <w:sz w:val="20"/>
        </w:rPr>
        <w:t xml:space="preserve">8 development candidate. We are also required to pay tiered royalties related to the TARPγ8 development candidate of a mid to high single-digit percentage on worldwide net sales and tiered royalties related to the TARPγ8 products that do not contain a TARPγ8 development candidate of low to mid single-digit percentages on annual net sales of the products covered by the license. </w:t>
      </w:r>
    </w:p>
    <w:p>
      <w:pPr>
        <w:pStyle w:val="TextBody"/>
        <w:bidi w:val="0"/>
        <w:spacing w:before="360" w:after="283"/>
        <w:jc w:val="left"/>
        <w:rPr>
          <w:rFonts w:ascii="Times New Roman" w:hAnsi="Times New Roman"/>
          <w:sz w:val="20"/>
        </w:rPr>
      </w:pPr>
      <w:r>
        <w:rPr>
          <w:rFonts w:ascii="Times New Roman" w:hAnsi="Times New Roman"/>
          <w:i/>
          <w:color w:val="000000"/>
          <w:sz w:val="20"/>
        </w:rPr>
        <w:t>NeuroPace Master Services Agreement and Statements of Work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execution of the NeuroPace Agreement, the parties also entered into an initial statement of work, as amended in March 2024, and a second statement of work, as amended in February 2026, (collectively, the “NeuroPace SOWs”) under the NeuroPace Agreement, pursuant to which NeuroPace agreed to provide services related to the RAP-219 Phase 2a proof-of-concept clinical trial and planned open-label long term safety trial in RAP-219 for FOS, including, among other things, clinical trial readiness support, identification of potential patients satisfying the enrollment criteria and RNS system data reporting and data analysis. Pursuant to the payment schedule set out in the NeuroPace SOWs, the Company will pay NeuroPace an aggregate of up to $5.8 million over a period of approximately four years in connection with NeuroPace’s provision of services and achievement of certain patient enrollment and deliverable milestones. The Company has incurred cumulative expenses of $4.7 million on the NeuroPace SOWs through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Apart from the contracts with payment commitments that we have documented above, we have entered into contracts in the normal course of business with CROs, CMOs and other third parties for preclinical research studies and testing, clinical trials and manufacturing services. These contracts do not contain any minimum purchase commitments and are cancelable by us upon prior notice and, as a result, are not included in the table of contractual obligations and commitments above. Payments due upon cancellation consist only of payments for services provided and expenses incurred, including non-cancelable obligations of our service providers, up to the date of cancellation.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condensed consolidated financial statements, which have been prepared in accordance with generally accepted accounting principles in the United States (“GAAP”). The preparation of our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amounts of expenses incurred during the reporting periods. We base our estimates on historical experience, known trends and events, and on various other factors that we believe are reasonable under the circumstances, the results of which form the basis for making judgments about the carrying values of assets and liabilities and expenses that are not readily apparent from other sources. We evaluate our estimates and judgments on an ongoing basis. Our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regarding our critical accounting policies and estimates, please refer to Note 2 — “Summary of Significant Accounting Policies” contained in our Annual Report. The critical accounting policy below supplements the critical accounting policies discussed in our Annual Report.</w:t>
      </w:r>
    </w:p>
    <w:p>
      <w:pPr>
        <w:pStyle w:val="TextBody"/>
        <w:bidi w:val="0"/>
        <w:spacing w:before="360" w:after="200"/>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40" w:after="200"/>
        <w:jc w:val="left"/>
        <w:rPr>
          <w:rFonts w:ascii="Times New Roman" w:hAnsi="Times New Roman"/>
          <w:sz w:val="20"/>
        </w:rPr>
      </w:pPr>
      <w:r>
        <w:rPr>
          <w:rFonts w:ascii="Times New Roman" w:hAnsi="Times New Roman"/>
          <w:color w:val="000000"/>
          <w:sz w:val="20"/>
        </w:rPr>
        <w:t xml:space="preserve">We recognize revenue in accordance with Financial Accounting Standards Board (“FASB”) Accounting Standards Codification (“ASC”), Topic 606, </w:t>
      </w:r>
      <w:r>
        <w:rPr>
          <w:rFonts w:ascii="Times New Roman" w:hAnsi="Times New Roman"/>
          <w:i/>
          <w:color w:val="000000"/>
          <w:sz w:val="20"/>
        </w:rPr>
        <w:t>Revenue Recognition</w:t>
      </w:r>
      <w:r>
        <w:rPr>
          <w:rFonts w:ascii="Times New Roman" w:hAnsi="Times New Roman"/>
          <w:color w:val="000000"/>
          <w:sz w:val="20"/>
        </w:rPr>
        <w:t xml:space="preserve"> (“ASC 606”). Accordingly, we recognize revenue following the five step model prescribed under Accounting Standards Updates No. 2014-09, </w:t>
      </w:r>
      <w:r>
        <w:rPr>
          <w:rFonts w:ascii="Times New Roman" w:hAnsi="Times New Roman"/>
          <w:i/>
          <w:color w:val="000000"/>
          <w:sz w:val="20"/>
        </w:rPr>
        <w:t>Revenue from Contracts</w:t>
      </w:r>
      <w:r>
        <w:rPr>
          <w:rFonts w:ascii="Times New Roman" w:hAnsi="Times New Roman"/>
          <w:color w:val="000000"/>
          <w:sz w:val="20"/>
        </w:rPr>
        <w:t xml:space="preserve"> </w:t>
      </w:r>
      <w:r>
        <w:rPr>
          <w:rFonts w:ascii="Times New Roman" w:hAnsi="Times New Roman"/>
          <w:i/>
          <w:color w:val="000000"/>
          <w:sz w:val="20"/>
        </w:rPr>
        <w:t>with Customers</w:t>
      </w:r>
      <w:r>
        <w:rPr>
          <w:rFonts w:ascii="Times New Roman" w:hAnsi="Times New Roman"/>
          <w:color w:val="000000"/>
          <w:sz w:val="20"/>
        </w:rPr>
        <w:t xml:space="preserve">: (i) Identify the contract(s) with the customer, (ii) Identify the promised goods and/or services in the contract and determine which promised goods and/or services represent performance obligations, (iii) Measure the transaction price, (iv) Allocate the transaction price to the performance obligations in the contract and (v) Recognize revenue when (or as) each performance obligation is satisfied.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whether each promised good or service is distinct. We then recognize as revenue the amount of the transaction price that is allocated to the respective performance obligation when (or as) the performance obligation is satisfied.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As part of the accounting for these arrangements, we must develop assumptions that require judgment to determine the standalone selling price for each performance obligation identified in the contract and use judgment in the determination of the transaction price and the application of the constraint. The determination of standalone selling price has not had a significant impact on the accounting for our revenue arrangements given the nature of the performance obligations. We have also not been required to apply significant judgment in determining the transaction price given the nature of the variable consideration and the application of the constraint.</w:t>
      </w:r>
    </w:p>
    <w:p>
      <w:pPr>
        <w:pStyle w:val="TextBody"/>
        <w:bidi w:val="0"/>
        <w:spacing w:before="160" w:after="283"/>
        <w:jc w:val="left"/>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As a result of this election, our condensed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 company remains an emerging growth company until as late as the end of the fiscal year following the fifth anniversary of its initial public offering, although circumstances could cause a company to lose that status earlier, including if it is deemed to be a “large accelerated filer,” which occurs when the market value of its common stock that is held by non-affiliates exceeds $700 million as of the prior June 30 unless it remains eligible to use the “smaller reporting company” requirements under the revenue test in Rule 12b-2 of the Exchange Act, or if it has total annual gross revenue of $1.235 billion or more during any fiscal year before that time, in which cases it would no longer be an emerging growth company as of the following December 31, or if it issues more than $1.0 billion in non-convertible debt during any three-year period before that time, in which case it would no longer be an emerging growth company immediately. We could be an emerging growth company until as late as December 31, 2029, but we expect to lose that status earlier since the aggregate market value of our shares of common stock held by non-affiliates exceeded $700 million on the last business day of our second quarter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are also a “smaller reporting company” as defined in the Exchange Act, and have elected to take advantage of certain of the scaled disclosures available to smaller reporting companies. However, since the aggregate market value of our shares of common stock held by non-affiliates exceeded $700 million on the last business day of our second quarter in 2026, beginning with our Quarterly Report on Form 10-Q for the quarter ended March 31, 2027, we will no longer be eligible to use the scaled disclosure accommodations available to smaller reporting companies and will become subject to additional disclosure requirements.</w:t>
      </w:r>
    </w:p>
    <w:p>
      <w:pPr>
        <w:pStyle w:val="TextBody"/>
        <w:bidi w:val="0"/>
        <w:spacing w:before="20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2—“Summary of Significant Accounting Policies” to our condensed consolidated financial statements included elsewhere in this Quarterly Report.</w:t>
      </w:r>
    </w:p>
    <w:p>
      <w:pPr>
        <w:pStyle w:val="TextBody"/>
        <w:bidi w:val="0"/>
        <w:spacing w:before="360" w:after="283"/>
        <w:jc w:val="left"/>
        <w:rPr>
          <w:rFonts w:ascii="Times New Roman" w:hAnsi="Times New Roman"/>
          <w:b/>
          <w:color w:val="000000"/>
          <w:sz w:val="20"/>
        </w:rPr>
      </w:pPr>
      <w:bookmarkStart w:id="10" w:name="item_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as amended (the “Exchange Act”), and are not required to provide the information required by this Item. </w:t>
      </w:r>
    </w:p>
    <w:p>
      <w:pPr>
        <w:pStyle w:val="TextBody"/>
        <w:bidi w:val="0"/>
        <w:spacing w:before="360" w:after="283"/>
        <w:jc w:val="left"/>
        <w:rPr>
          <w:rFonts w:ascii="Times New Roman" w:hAnsi="Times New Roman"/>
          <w:b/>
          <w:color w:val="000000"/>
          <w:sz w:val="20"/>
        </w:rPr>
      </w:pPr>
      <w:bookmarkStart w:id="11" w:name="item_4"/>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Management</w:t>
      </w:r>
      <w:r>
        <w:rPr>
          <w:rFonts w:ascii="Times New Roman" w:hAnsi="Times New Roman"/>
          <w:color w:val="000000"/>
          <w:sz w:val="20"/>
        </w:rPr>
        <w:t>’</w:t>
      </w:r>
      <w:r>
        <w:rPr>
          <w:rFonts w:ascii="Times New Roman" w:hAnsi="Times New Roman"/>
          <w:b/>
          <w:i/>
          <w:color w:val="000000"/>
          <w:sz w:val="20"/>
        </w:rPr>
        <w:t>s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probable to have material adverse effect on our business. Regardless of outcome, litigation can have an adverse impact on our business, financial condition, results of operations and prospects because of defense and settlement costs, diversion of management resources and other factors. </w:t>
      </w:r>
    </w:p>
    <w:p>
      <w:pPr>
        <w:pStyle w:val="TextBody"/>
        <w:bidi w:val="0"/>
        <w:spacing w:before="12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Our business involves significant risks. Stockholders should carefully consider the risks and uncertainties described below and the other information in this Quarterly Report on Form 10-Q (this “Quarterly Report”) and in the other documents that we file with the SEC. Our business, financial condition, results of operations, or prospects could be materially and adversely affected if any of these risks occur, and as a result, the market price of our common stock could decline and stockholders could lose all or part of their investment. This Quarterly Report also contains forward-looking statements that involve risks and uncertainties not presently known to us or that we currently deem to be immaterial. See “Special Note Regarding Forward-Looking Statements” on page 1 for more information. Our actual results could differ materially and adversely from those anticipated in these forward-looking statements as a result of certain important factors, including those set forth below. </w:t>
        <w:br/>
      </w:r>
      <w:r>
        <w:rPr>
          <w:rFonts w:ascii="Times New Roman" w:hAnsi="Times New Roman"/>
          <w:color w:val="000000"/>
          <w:sz w:val="20"/>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Limited Operating History, Financial Condition and Need for Additional Capital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clinical-stage biotechnology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with a limited operating history. We were formed in February 2022 and our operations to date have been limited to organizing and staffing our company, business planning, raising capital, developing our receptor associated protein (“RAP”) technology platform and technology, identifying potential product candidates, securing intellectual property rights, and planning and undertaking preclinical studies and clinical trials. Substantially all of our product candidates were initially developed by Janssen Pharmaceutical NV (“Janssen”), which we in-licensed pursuant to the option and license agreement with Janssen (the “Janssen License”), entered into shortly after our formation. We have not yet demonstrated an ability to generate product revenues, obtain regulatory approvals,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biotechnology companies in rapidly evolving fields, and we have not yet demonstrated an ability to successfully overcome such risks and difficulties. If we do not address these risks and difficulties successfully, our business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business depends primarily upon our ability to identify, develop, and commercialize product candidates based on our RAP technology platform. We do not know whether we will be able to develop any product candidates that succeed through preclinical and clinical development or products of commercial value. We have no products approved for commercial sale and have not generated any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$76.5 million and $50.8 million for the six months ended June 30, 2026 and 2025, respectively. As of June 30, 2026, we have not yet generated revenues from product sales and had an accumulated deficit of $311.7 million. We expect to continue to incur significant losses for the foreseeable future, and we expect these losses to increase as we continue our research and development of, and seek regulatory approvals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product candidates through clinical development, including as we advance RAP-219 into later-stage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clinical, quality control, medical, scientific and other technical personnel to support the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 increase in headcount as we expand our research and development organization and market development and pre-commercial planning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undertake any pre-commercial or commercial activities to establish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preclinical-stage product candidates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acquire and develop additional product candidates, including through business development efforts to invest in or in-license other technologies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milestone, royalty or other payments due under the Janssen License and any future in-license or collaboration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milestone, royalty, interest or other payments due under any future financing or other arrangements with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Biotechnology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our prospects, factoring in the costs, uncertainties, delays and difficulties frequently encountered by companies in clinical development, especially clinical-stage biotechnology companies such as ours, should be carefully considered. Any predictions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expenses could increase beyond our expectations if we are required by the U.S. Food and Drug Administration (the “FDA”), European Medicines Agency (“EMA”), Medicines and Healthcare products Regulatory Agency (“MHRA”)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funding in order to finance operations. If we are unable to raise capital when needed, or on acceptable terms, we could be forced to delay, reduce or eliminate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biotechnology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private financings, our initial public offering (“IPO”) and concurrent private placement, which closed in June 2024, and our underwritten public offering in September 2025. We expect our expenses to increase in connection with our ongoing activities, particularly as we continue the clinical and preclinical development of our product candidates, continue to identify additional targets, commence additional preclinical studies and clinical trials, and continue to identify and develop additional product candidates either through internal development or through acquisitions or in-licensing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$436.1 million of cash, cash equivalents and short-term investments, excluding restricted cash. Based upon our current operating plan, we believe that our existing cash, cash equivalents and short-term investments will enable us to fund our operating expenses and capital expenditure requirements into the second half of 2029.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including through our at-the-market program,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preclinical studies and clinical trials required for regulatory approval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current or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acquiring or licensing additional product candidates, technologies or assets, including the timing and amount of any milestones, royalties or other payments due in connection with our acquisitions and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clinical and commercial supplies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precision neuroscience approach at identifying target patient populations and utilizing our approach to enrich our patient population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marketing, sales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to 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macroeconomic trends including inflation and rising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potential supply chain interruptions or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 products and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we have incurred and expect to continue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with our existing cash, cash equivalents and short-term investments, any future equity or debt financings and upfront, milestone or royalty payments, if any, received under our current or future licenses, collaborations or royalty agreements. If we raise additional capital through the sale of equity or convertible debt securities, or issue any equity or convertible debt securities in connection with a collaboration agreement or other contractual arrangement, the ownership interests of our stockholders will be diluted, and the terms of these securities may include liquidation or other preferences that adversely affect the rights of our stockholders. In addition, the possibility of such issuance may cause the market price of our common stock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previously entered into a common stock sales agreement (the “Sales Agreement”), dated July 1, 2025, by and between the Company and Leerink Partners LLC and Cantor Fitzgerald &amp; Co., acting as sales agents, which established an at-the-market offering program pursuant to which we may offer and sell shares of our common stock from time to time (the “ATM Program”). In March 2026, we filed an automatic shelf registration statement on Form S-3ASR ( the “2026 Registration Statement”), containing (i) a base prospectus, which covers the offering, issuance and sale from time to time in one or more offerings of common stock, preferred stock, debt securities, warrants and/or units; and (ii) a sales agreement prospectus for the offering and issuance and sale of up to a maximum aggregate offering price of $150.0 million of common stock, to be issued pursuant to the Sales Agreement. As of June 30, 2026, we have not sold any shares pursuant to our ATM program.</w:t>
      </w:r>
    </w:p>
    <w:p>
      <w:pPr>
        <w:pStyle w:val="TextBody"/>
        <w:bidi w:val="0"/>
        <w:jc w:val="left"/>
        <w:rPr>
          <w:rFonts w:ascii="Times New Roman" w:hAnsi="Times New Roman"/>
          <w:color w:val="000000"/>
          <w:sz w:val="20"/>
        </w:rPr>
      </w:pPr>
      <w:r>
        <w:rPr>
          <w:rFonts w:ascii="Times New Roman" w:hAnsi="Times New Roman"/>
          <w:color w:val="000000"/>
          <w:sz w:val="20"/>
        </w:rPr>
        <w:t>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obligations from our license agreement with Janssen may be a drain on our cash resources, or may cause us to incur debt obligations or equity dilution to satisfy the payment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Janssen License, Janssen is entitled to substantial contingent payments upon the occurrence of certain events. For example, we will be required to pay Janssen up to $76.0 million in development milestone payments and up to $40.0 million sales milestone payments for products containing RAP-219. In order to satisfy our obligations to make these payments, if and when they are triggered, we may need to issue equity or convertible debt securities that may cause dilution to our stockholders, or we may use our existing cash and cash equivalents or incur debt obligations to satisfy the payment obligations in cash, which may adversely affect our financial position. In addition, these obligations may impede our ability to raise money in future public offerings of debt or equity securities or to obtain a third-party line of credit.</w:t>
        <w:b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success of our product candidates, particularly RAP-219 for focal onset seizures. If we are unable to successfully complete clinical development, obtain regulatory approval for or commercialize one or more of our product candidates, or if we experience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as an organization, we have not completed the development of any product candidates. We have initiated the Phase 3 program for RAP-219 in drug-resistant focal onset seizures (“FOS”), but nearly all of our other candidates remain in early-stage clinical or preclinical development.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particularly RAP-219, encounter safety or efficacy problems, development delays or regulatory issues or other problems, our development plans and business would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the financial resources to continue development of our product candidates if we experience any issues that delay or prevent regulatory approval of, or our ability to commercialize, our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to the satisfaction of the FDA, EMA, MHRA or other comparable regulatory authorities that our product candidates are safe and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insufficiency of our financial and other resources to complete the necessary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product-related adverse events (“AEs”) experienced by subjects in our clinical trials, including unexpected toxicity results, or by individuals using drugs or therapeutic biologics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an Investigational New Drug (“IND”) application or other regulatory submission to the FDA, EMA, MHRA or other comparable regulatory authorities, or delays or failure in obtaining the necessary approvals from regulators to commence a clinical trial or a suspension or termination, or hold,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EMA, MHRA or other comparable regulatory authorities regarding the scope or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poor effectiveness of our product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better than expected performance of control arms, such as placebo groups, which could lead to negative or inconclusive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subjects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subjects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supply or quality of product candidates or other materials necessary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than anticipated clinical trial or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EMA MHRA or comparable regulatory authority inspection and review of our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the clinical trial protocol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policies and guidelines, including the imposition of additional regulatory oversight around clinical testing generally or with respect to our therapies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EMA, MHRA or other comparable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clinical trials conducted in one country may not be accepted by regulatory authorities in other countries, and regulatory approval in one country does not guarantee regulatory approval in any other country. Although the FDA may accept data from clinical trials conducted outside the United States, acceptance of this data is subject to conditions imposed by the FDA, and there can be no assurance that the FDA will accept data from trials conducted outside of the United States. Additionally, recent policy proposals in the U.S., if enacted in the future, may make acceptance by the FDA or inclusion in a marketing application of foreign data more difficult or costly.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successful development of pharmaceutical products involves a lengthy and expensive process and is highly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development of pharmaceutical products involves a lengthy and expensive process, is highly uncertain and is dependent on numerous factors, many of which are beyond our control. Product candidates that appear promising in the early phases of development may fail to reach the market for several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results may show the product candidates to be less effective than expected (for example, a clinical trial could fail to meet its primary or key secondary endpoint(s)) or have an unacceptable safety or tolerability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New Drug Application (“NDA”) or similar foreign application preparation, discussions with the FDA, EMA, MHRA or other comparable regulatory authority an FDA, EMA, MHRA or other comparable regulatory request for additional preclinical or clinical data (such as long-term toxicology studies) or unexpected safety or manufacturing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study results may show the product candidate to be less effective than desired or to have harmful side effects;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post-marketing approval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proprietary rights of others and their competing products and technologies that may prevent our product candidates from being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in the fourth quarter of 2024, we were notified by the FDA that the IND submitted by us for the initiation of a Phase 2 proof-of-concept trial of RAP-219 in diabetic peripheral neuropathic pain (“DPNP”) was placed on clinical hold. The FDA requested additional information and amendments specific to the protocol design. Following further interactions with the FDA, the FDA removed its clinical hold on the DPNP IND in December 2025 and we deferred further investment in the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in manufacturing our products and Good Clinical Practices (“GCPs”) for any clinical trials that we conduct post-approval. In addition, there is always the risk that we, a regulatory authority or a third party might identify previously unknown problems with a product post-approval, such as AEs of unanticipated severity or frequency. Compliance with these requirements is costly, and any failure to comply or other issues with our product candidates post-approval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lead product candidate, RAP-219, is in clinical development for FOS, primary generalized tonic-clonic seizures (“PGTCS”) and bipolar mania, and we continue to develop a long-acting injectable (“LAI”) formulation. Additionally, we have two advanced discovery-stage nAChR programs stemming from our RAP technology platform. The first is our α6ß4 nAChR agonist development candidate, RAP-641, a genetically validated precision target that we are pursuing as a potential novel non-opiate, non-CNS approach for chronic pain and migraine, and the second comprises modulators of the α9α10 nAChR which third-party preclinical genetic data suggest could be an attractive target in treating hearing and vestibular disorders.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we must decide which product candidates and indications to pursue and advance and the amount of resources to allocate to each. For example, we deferred further investment in our DPNP program for RAP-219.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nervous system,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assimilating or integrating acquired or licensed technologies, products, employees or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maintaining uniform standards, procedures, controls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costs associated with acquisitions or strategic alliances, including the assumption of unknown or contingent liabilities and the incurrence of debt or future write-offs of intangible assets or goodwill;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our core business and disruption of ongoing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effects on existing business relationships with suppliers, sales agents, health care facilities, surgeons and other health care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entering new markets in which we have limited or no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losses related to investments in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 of key employees of acquired businesses;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legal and accounting compliance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 care facilities, physicians or other health 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our collaborators and our service providers are, or may become,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upon which we rely (such as our third party contract research organizations (“CROs”) and other contractors and consultants)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(collectively, sensitive data).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legislative and regulatory framework for the processing of personal data worldwide is rapidly evolving and is likely to remain uncertain for the foreseeable future. In the United States, numerous federal, state and local laws and regulations, including federal health information privacy laws, state information security and data breach notification laws, federal and state consumer protection laws (e.g., Section 5 of the Federal Trade Commission Act), and other similar laws (e.g., wiretapping laws) govern the processing of health-related and other personal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numerous U.S. states have enacted comprehensive privacy laws that impose certain obligations on covered businesses, many of which differ from each other in significant ways, thus complicating compliance efforts, including providing specific disclosures in privacy notices and affording individuals certain rights concerning their personal data. For example, in California, the California Consumer Privacy Act (“CCPA”) established a comprehensive privacy framework for covered businesses by creating an expanded definition of personal information, establishing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liability framework includes civil penalties for violations, as well as a private right of action for data breaches that is expected to increase data breach litigation. While clinical trial data and information governed by HIPAA are exempt from the CCPA, other personal information may be applicable and periodic changes to the CCPA continue to broaden its scope.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laws have been passed and proposed in numerous states, as well as at the federal and local levels, and we expect more states to pass similar laws in the future.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makes our compliance obligations more complex and costly and increases the likelihood that we may be subject to enforcement actions or otherwise incur liability for noncompliance. While these states exempt some data processed in the context of clinical trials, these developments may further complicate compliance efforts, and increase legal risk and compliance costs for us and the third parties upon whom we rely.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be subject to new laws governing the privacy of consumer health data. For example, Washington’s My Health My Data Act, which applies broadly to the processing of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 regulating consumer health data. These various privacy and data security laws may impact our business activities, including our identification of research subjects, relationships with business partners and ultimately the marketing and distribution of our products. In addition, other states have proposed and/or passed legislation that regulates the privacy and/or security of certain other specific types of information. For example, a small number of states have passed laws that regulate biometric data specifically. State laws are changing rapidly and there have been a number of proposals in the U.S. Congress for a new comprehensive federal data privacy law to which we may likely become subject to, if enacted.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transfers of certain types of data, including health data, genetic data, and biospecimens, to countries of concern, including China. The rule also prohibits covered businesses from engaging in certain investment agreements, employment agreements and vendor agreements involving such data and countries of concern, absent specified cybersecurity controls and the rule does not exempt key-coded or otherwise anonymized, pseudonymized, de-identified, or encrypted data. Actual or alleged violations of such rules may be punishable by criminal and/or civil sanctions, result in exclusion from participation in federal and state programs, or restrict our ability to use certain vendors, sites, investigators, or service providers in global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privacy and data security. For example, the European Union’s General Data Protection Regulation (“EU GDPR”) and the United Kingdom’s GDPR (“UK GDPR”) impose strict requirements for processing personal data. Also in Europe, the ePrivacy Directive in the EU and the Privacy and Electronic Communications Regulations in the UK impose obligations regarding our use of cookies and tracking technologies on our website and set forth requirements related to direct marketing. Non-compliance with these requirements could expose us to regulatory fines, the maximum amounts of which vary by jurisdiction.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EU GDPR and the UK GDPR (together, “GDPR”) establish stringent requirements regarding the processing of personal data, including strict requirements relating to processing sensitive data (such as health data), ensuring there is a legal basis or condition to justify the processing of personal data, where required obtaining consent from individuals, transparent disclosures about how personal data is to be used, limitations on retention of information, implementing safeguards to protect the security and confidentiality of personal data, providing notification of data breaches, maintaining records of processing activities and documenting data protection impact assessments where there is high risk processing and taking certain measures when engaging third-party processors.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GDPR, companies may face temporary or definitive bans on data processing and other corrective activities, fines of up to €20 million (approximately £17.5 million GBP) or 4% of annual global revenues, whichever is greater, and private litigation related to processing of personal data brought by data subjects or consumer protection organizations authorized at law to represent their interests. Non-compliance could also result in a material adverse effect on our business, financial position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restricted the transfer of personal data to the United States and other countries based on whether those jurisdictions' privacy laws are considered to provide adequate protection.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UK is regarded as a third country under the EU GDPR, the European Commission has issued an adequacy decision recognizing the UK as providing adequate data protection and, therefore, transfers of personal data originating in the EEA to the UK remain unrestricted.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in the EU, the NIS 2 Directive (“NIS 2”) is replacing the cybersecurity legal framework under the current NIS framework in the EU,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supervision ability compliance. The majority of obligations will come into force when national legislation implementing NIS 2 becomes effective in the relevant EU Member State. EU Member States had until October 17, 2024 to transpose NIS 2 into national legislation, although some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China’s Personal Information Protection Law (“PIPL”), imposes comprehensive requirements on the processing of personal information, including restrictions on the export of sensitive personal information outside of China. PIPL requires data handlers to satisfy specified conditions, such as obtaining certification or entering into standard contractual arrangements prescribed by the CAC, before transferring personal information abroad. If our partners or collaborators operating in China, including Tenacia, are deemed to be in violation of PIPL's cross-border data transfer restrictions, the CAC or other competent authorities could order the suspension or cessation of such data transfers, which could prevent or materially delay the sharing of clinical trial data and other sensitive information with us and adversely affect our ability to advance the development and regulatory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publish privacy policies, and we may publish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Obligations related to privacy and data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at times fail (or be perceived to have failed)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For example, we rely on Tenacia to comply with relevant privacy and data requirements to enable sharing of clinical data collected in China with us, and if Tenacia fails to comply with requirements, we may not be able to access or utilize such data, or we could face increased compliance risks arising from such non-compliance. Further,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information technology systems and infrastructure, or those of our collaborators and service providers, or our data, may be subject to cyber-attacks, cybersecurity incidents or breaches, compromises or other interruptions, which could result in additional costs, loss of revenue, significant liabilities, harm to our brand, material disruption of our development programs and operations,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process sensitive data, and, as a result, we and the third parties upon which we rely face a variety of evolving threats that could cause cyber-attacks, cybersecurity incidents, breaches, compromises, or other interruptions. Although we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cybersecurity breach, compromise or other incident such as an industrial espionage attack, ransomware, or insider threat attack, which may compromise our system infrastructure or lead to the loss, destruction, alteration or dissemination of, or damage to, our sensitive data. Such threats are prevalent and continue to rise, are increasingly difficult to detect, and come from a variety of sources, including traditional computer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r>
        <w:rPr>
          <w:rFonts w:ascii="Times New Roman" w:hAnsi="Times New Roman"/>
          <w:color w:val="000000"/>
          <w:sz w:val="20"/>
        </w:rPr>
        <w:t>hackers,” threat actors, “hacktivists,” organized criminal threat actors, personnel (such as through theft or misuse), sophisticated nation states, and nation-state-supported 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of a cyber-attack, cybersecurity incident, breach, compromise, or other interruption has generally increased as the number, intensity and sophistication of attempted attacks and intrusions from around the world have increased. Such risks come from a variety of evolving threats, including but not limited to, social engineering attacks (including through deep fakes, which may be increasingly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artificial intelligence (“AI”), telecommunications failures, earthquakes, fires, floods, and other similar threats. Use of generative AI models in our internal or third-party systems may create new attack surfaces or methods for adversaries, which could impact us and our vendors. Malicious actors may use AI tools to identify and exploit these and other software vulnerabilities, as well as use AI technologies to launch more sophisticated, automated, targeted and coordinated attacks. Any cybersecurity incidents or data breaches related to our use of AI applications could adversely affect our reputation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face increased risks of a cyber-attack, cybersecurity incident, breach, compromise, or other interruption due to our reliance on internet technology and the number of our employees who work on a hybrid basis at home, in the office, or other public spaces. This may create additional opportunities for cyber 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reliance on third-party service provider software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providers experience a cyber-attack, cybersecurity incident, breach, compromise,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detect vulnerabilities in our information technology systems and infrastructure on a timely basis or until after a cyber-attack, cybersecurity incident, breach, compromise, or other interruption has occurred. Further, we may experience delays in developing and deploying remedial measures designed to adequately address any such identified vulnerabilities.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experienced threats and security incidents related to our data and systems, and we may in the future experience additional threats, compromises, breaches or incidents. If we, or a third party upon whom we rely, experience a cyber-attack, cybersecurity incident, breach, compromise, or other interruption, or are perceived to have experienced a cyber-attack, cybersecurity incident, breach, compromise, or other interruption,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individual and group claims); indemnification obligations; negative publicity; reputational harm; monetary fund diversions; interruptions in our operations (including availability of data); financial loss; and other potentially significant harms. Such events may require us to fundamentally change our business activities and practices in response to such litigation or investigations. Our contracts may not contain limitations of liability, and even where they do, there can be no assurance that limitations of liability in our contracts are sufficient to protect us from liabilities, damages, or claims related to our privacy and data security obligations. Cyber liability insurance may not provide adequate coverage against potential liabilities related to any experienced cybersecurity incident or breach.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applicable privacy and data security obligations may require us to notify relevant stakeholders of a cyber-attack, cybersecurity incident, breach, compromise, or other interruption. Such disclosures are costly, and the disclosure or the failure to comply with such requirements could lead to adverse consequences. In addition, cyber-attacks, cybersecurity incidents, breaches, compromises, or other interruptions may cause stakeholders (including investors and potential customers) to stop supporting our business, deter new customers from using our products, and negatively impact our ability to grow and operate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were to experience a material cyber-attack, cybersecurity incident, breach, compromise, or other interruption that causes interruptions in our operations, it could result in a material disruption of our product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use of new and evolving technologies, such as AI and machine learning (“ML”), in our operations, and the operations of third parties upon which we rely, may result in spending additional resources and present new risks and challenges that can impact our business including by posing security and other risks to our sensitive data. As a result, we may be exposed to reputational harm, other adverse consequences, and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new and evolving technologies, such as AI/ML, in our operations, and the operations of third parties upon which we rely presents new risks and challenges that could negatively impact our business, including cybersecurity, data privacy, information technology, intellectual property, regulatory, legal, operational, competitive, reputational, and other risks and challenges.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The use of certain AI/ML technologies can also give rise to intellectual property risks, including compromises to proprietary intellectual property and intellectual property infringement. Additionally, several jurisdictions around the globe, including Europe and certain U.S. states, have proposed, enacted, or are considering, laws governing the development and use of AI/ML. Such laws in the EU impose significant obligations on providers and deployers of high risk artificial intelligence systems, come with significant penalties for non-compliance, and encourage providers and deployers of artificial intelligence systems to account for EU ethical principles in their development and use of these systems. For instance, the EU’s Artificial Intelligence Act (“AI Act”) prohibits certain uses of AI based on their risk levels and imposes various governance, risk management and transparency obligations. The AI Act may require us to implement AI governance, human oversight, documentation, monitoring, data quality, cybersecurity and transparency measures.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Likewise, such legislative developments in the United States have introduced emerging compliance obligations for companies that develop or deploy AI technologies, which will impose novel risks on AI developers and users. Recently, states have advanced, and in some cases passed, dozens of laws focused on AI governance and regulation, including on deployment of AI in healthcare settings. These state-level initiatives reflect a growing trend toward AI regulation in the absence of federal legislation. As a result, we may face a fragmented and evolving compliance landscape that could increase operational complexity, regulatory scrutiny, and legal exposure associated with our use or development of AI technologies.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Additionally, certain privacy laws extend rights to consumers (such as the right to delete certain personal data) and regulate automated decision making, which may pose difficulties in the context of our use of AI/ML. These obligations may make it harder for us to conduct our business using AI/ML, lead to regulatory fines or penalties, require us to change our business practices, retrain our AI/ML, or prevent or limit our use of AI/ML. For example, the Federal Trade Commission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rapid evolution of AI/ML will require the application of significant resources to design, develop, test and maintain our products and services to help ensure that AI/ML is implemented in accordance with applicable law and regulation and in a socially responsible manner and to minimize any real or perceived unintended harmful impacts. Our vendors may in turn incorporate AI/ML tools into their own offerings, and the providers of these AI/ML tools may not meet existing or rapidly evolving regulatory or industry standards, including with respect to privacy and data security.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bad actors around the world use increasingly sophisticated methods, including the use of AI/ML, to engage in cyber-attacks, cyber espionage campaigns, exploitation of expanded attack surfaces, and other illegal activities involving the theft and misuse of sensitive data. Technological developments in AI, including advances in frontier artificial intelligence models, may increase the sophistication and speed of cybersecurity incidents and other malicious attacks that we experience. These technologies may enable threat actors to better identify vulnerabilities, develop targeted exploits, conduct phishing or social engineering campaigns, or otherwise compromise or breach our information systems more efficiently. Vulnerabilities that affect us or our third-party service providers may be exploited more rapidly, and although we maintain cybersecurity risk management processes designed to address cybersecurity threats, evolving artificial intelligence capabilities may reduce these safeguards’ effectiveness and require additional investments and resources. Any of these effects could damage our reputation, result in the loss of valuable property and information, cause us to breach applicable laws and regulations, and adversely impact our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and Development of Our Current or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processes of the FDA, EMA, MHRA and other comparable regulatory authorities are lengthy, time-consuming and inherently unpredictable, and if we are ultimately unable to obtain regulatory approval for our product candidates, our business will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United States without obtaining regulatory approval from the FDA. Foreign regulatory authorities, such as the EMA and MHRA, impose similar requirements. The time required to obtain approval by the FDA, EMA, MHRA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The leadership changes at the FDA or other global regulatory authorities may compound this uncertainty. Jurisdictions outside of the United States, such as the European Union or Japan, may have different requirements for regulatory approval, which may require us to conduct additional clinical, nonclinical or chemistry, manufacturing and control studies.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To date, we have not submitted an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obtain these approvals.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testing is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EMA, MHRA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AEs or other AEs, as well as tolerability issues, could hinder or prevent market acceptance of the product candidate at issue.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future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MHRA or other comparable regulatory authorities may disagree as to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EMA, MHRA or other comparable regulatory authorities that a product candidate is safe and effective for its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EMA, MHRA or other comparable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MHRA or other comparable regulatory authorities may disagree with our interpretation of data from clinical trials or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to the FDA or other submission or to obtain regulatory approval in the United States, the European Union, the UK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MHRA or other comparable regulatory authorities may find deficiencies with or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EMA, MHRA or other comparable regulatory authorities may significantly change in a manner rendering our clinical data insufficient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EMA, MHRA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EMA, MHRA or other comparable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EMA, MHRA or comparable regulatory authorities may disagree with our regulatory plan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EMA, MHRA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In June 2026, FDA issued revised draft guidance clarifying how sponsors can rely on one scientifically rigorous adequate and well-controlled clinical investigation with confirmatory evidence to satisfy the statutory substantial evidence of effectiveness standard. We may pursue marketing approval based on data from only one adequate and well-controlled clinical investigation. However, FDA retains broad discretion to require additional clinical data for any product candidate, including a second adequate and well-controlled clinical trial. The FDA may be unwilling to apply regulatory flexibility and our clinical trial results may not support approval of our product candidates. In addition, our product candidates could fail to receive regulatory approval, or regulatory approval could be delayed,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MHRA or comparable regulatory authorities may not file or accept our NDA or marketing application for substantive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MHRA or comparable regulatory authorities may disagree with the dosing regimen,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MHRA or comparable regulatory authorities may determine there is not substantial evidence of effectiveness to support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EMA, MHRA or comparable regulatory authorities that our product candidates are safe and effective for any of their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clinical trials may not meet the level of statistical significance required by the FDA, EMA, MHRA or comparable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our product candidates’ clinical and other benefits outweigh their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MHRA or comparable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the satisfaction of the FDA, EMA, MHRA or comparable regulatory authorities to support the submission of an NDA or other comparable submission in foreign jurisdictions or to obtain regulatory approval in the United States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MHRA or comparable regulatory authorities may find deficiencies with or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EMA, MHRA or comparable regulatory authorities may significantly change in a manner rendering our clinical data insufficient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dependent on a third party having accurately generated, collected, interpreted and reported data from certain preclinical studies and clinical trials that were previously conducted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our product candidates were initially developed by Janssen, which we in-licensed pursuant to the Janssen License shortly after our formation. We entered into this license on the basis of our interpretation of the medical and scientific meaningfulness of Janssen’s initial data. Therefore, we are dependent on Janssen having designed certain preclinical studies and clinical trials; conducted its research and development in accordance with the applicable protocols, legal and regulatory requirements, and scientific standards; having accurately reported the results of all preclinical studies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 and the earlier-reported results may not support data that we generate in our own preclinical or clinical work with those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rely in part on preclinical data using earlier generation TARPγ8 NAMs and third-party published data with other TARPγ8 NAMs for support of RAP-219. While we believe it is an accepted scientific practice to reference preclinical data generated using other molecules of the same class, it is possible that similar studies with RAP-219 would not have generated entirely consistent results and, as such, the studies performed with other molecules of the same class may not be reflective of the therapeutic potential of RAP-219.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observed from preclinical studies or early-stage clinical trials of our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Furthermore, our product candidates may not be able to demonstrate similar activity or adverse event profiles as other product candidates that we believe may have similar profiles.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our planned future clinical trials, we may utilize clinical trial designs or dosing regimens that have not been tested in prior clinical trials. There can also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effects or AEs.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have and will continue to utilize an “open-label” clinical trial design in some of our clinical trials. An “open-label” clinical trial is one where both the patient and investigator know whether the patient is receiving the investigational product candidate or either an existing approved drug or placebo. Our Phase 2a proof-of-concept trial in drug-resistant FOS was an open label trial.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FDA, EMA, MHRA or comparable foreign regulatory authority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incur unexpected costs or experience delays in completing, or ultimately be unable to complete,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obtain the requisite regulatory approvals to commercialize any of our product candidates, we must demonstrate through extensive preclinical studies and clinical trials that our product candidates are safe and effective in humans. We may experience delays in completing our clinical trials or preclinical studies and initiating or completing additional clinical trials or preclinical studies, including as a result of regulators not allowing or delay in allowing clinical trials to proceed under an IND or similar foreign authorization,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institutional review boards (“IRBs”), ethics committees or other reviewing bodies may not authorize us or our investigators to commence a clinical trial, or to conduct or continue a clinical trial at a prospective or specific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reach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challenges or delays in recruiting principal investigators or study sites to lead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including those manufacturing our product candidates or conducting clinical trials on our behalf,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approval policies or regulations of the FDA, EMA, MHRA or other comparable regulatory authorities to significantly change in a manner rendering our clinical data insufficient for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EMA, MHRA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adequate efficacy and safety to result in regulatory approval to market our product candidates for the indications that we are pursuing. If later-stage clinical trials do not produce favorable results, our ability to obtain regulatory approval for our product candidates will be adversely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For example, in the fourth quarter of 2024, we were notified by the FDA that the IND submitted by us for the initiation of a Phase 2 proof-of-concept trial of RAP-219 in DPNP was placed on clinical hold. The FDA requested additional information and amendments specific to the protocol design. Following further discussions with the FDA, the FDA removed its clinical hold on the DPNP IND in December 2025 and we deferred further investment in the program.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 Finally, such delays may result in the consideration of reprioritization of company product candidate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any of our product candidates could cause us or regulatory authorities to interrupt, delay or halt clinical trials and could result in a more restrictive label, the inclusion of a Risk Evaluation and Mitigation Strategy, or the delay or denial of regulatory approval by the FDA, EMA, MHRA or other comparable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observe safety or tolerability issues beyond those we anticipate with our product candidates in ongoing or future RAP-219 clinical trials or in clinical programs for other product candidates. Additionally, it is possible that patients in our trials may experience greater side effects than observed in healthy volunteers. Additionally, adverse safety effects observed with AMPAR-inhibitors could adversely impact future labeling FDA may require for RAP-219. For example, perampanel’s FDA-approved label is accompanied by a boxed warning for serious psychiatric and behavioral reactions, including aggression, hostility and homicidal ideation and threats. Furthermore, significant drug-drug interactions were reported for perampanel. The concomitant use with the other ASMs carbamazepine, phenytoin and oxcarbazepine decreased plasma levels of perampanel by approximately 50 to 67 percent. In addition, perampanel at a dose of 12 mg per day reduced exposure of levonorgestrel, an oral contraceptive, by approximately 40 percent. While we believe there are critical differences between perampanel and RAP-219, the FDA could impose similar warnings and labeling requirements on RAP-219, if approved,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At any time, we may decide to terminate or greatly narrow the target population for a clinical development program due to unacceptable side effects or safety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we, the FDA, EMA, MHRA or other comparable regulatory authorities, the IRBs, or the independent ethics committees at the institutions in which our trials are conducted, could suspend, limit or terminate our clinical trials, or the independent safety monitoring committee could recommend that we suspend, limit or terminate our trials, or the FDA, EMA, MHRA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we develop and the activities associated with its development and commercialization, including its design, testing, manufacture, safety, efficacy, record keeping, labeling, storage, approval, advertising, promotion, sale, and distribution, are subject to comprehensive regulation by the FDA and other regulatory authorities in the United States, and by the EMA, MHRA and other comparable regulatory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experience in submitting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changes in leadership, or changes in regulatory review for each submitted product application, may cause delays in the approval or rejection of an application. The FDA, EMA, MHRA and other comparable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delays in obtaining approval or if we fail to obtain approval of any product candidates we may develop, the commercial prospects for those product candidates may be harmed, and our ability to generate revenues will be materially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and commercialization goals in the timeframes we announce and expect, the development and commercialization of our product candidates may be delayed, and our business and results of operations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available capital resources or capital constraints we experience;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trial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receipt of approvals by the FDA, EMA, MHRA and other comparable regulatory authorities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actions, decisions or rules issued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materials used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of our collaborators with respect to the commercialization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securing of, costs related to, and timing issues associated with, product manufacturing as well as sales and marketing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achieve announced milestones in the timeframes we expect, the development and commercialization of our product candidates may be delayed, and our business and results of operations may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concentrated our research and development efforts on the treatment of disorders of the nervous system, a field that faces certain challenges in drug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focused our research and development efforts on addressing disorders of the brain and nervous system. Efforts by pharmaceutical companies in this field have faced certain challenges in drug development. In particular, many neurological and psychiatric disorders such as FOS and bipolar disorder rely on subjective patient-reported outcomes as key endpoints. This makes them more difficult to evaluate than indications with more objective endpoints. These indications are often subject to a placebo effect, which may make it more challenging to isolate the effects of our product candidates. There can be no guarantee that we will successfully overcome these challenges with RAP-219 in our ongoing and future trials for FOS or bipolar mania candidates or that we will not encounter other challenges in the development of our product candidates. Moreover, given the history of clinical failures in this field, future clinical or regulatory failures by us or others may have result in further negative perception of the likelihood of success in this field, which may significantly and adversely affect the market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additional risks because we intend to evaluate our product candidates in combination with the standard of care for the indications that we are pursuing.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evaluate our product candidates in combination with other compounds, specifically the standard of care for the indications that we are pursuing. The use of our product candidates in combination with such other compounds may subject us to risks that we would not face if our product candidates were being administered as a monotherapy. The outcome and cost of developing a product candidate to be used with other compounds is difficult to predict and dependent on a number of factors that are outside our control. If we experience efficacy or safety issues in our clinical trials in which our product candidates are being administered with other compounds, we may not receive regulatory approval for our product candidates, which could prevent us from ever generating revenue or achieving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patient population required for analysis of the trial’s primary and secondary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study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that enroll in our clinical trials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new indications for existing therapies or approval of new therapies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our clinical trials will drop out of the trials before completion.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challenges in recruiting principal investigators and patients to participate in ongoing and future clinical trials for such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Participants with CNS disorders such as bipolar disorder constitute a vulnerable patient population and may withdraw from the clinical trial if they are not experiencing improvement in their underlying disease or condition or if they experience other difficulties or issues relating to their underlying disease or condition or otherwise, which may or may not be related to our product candidate in clinical trial. Withdrawal of patients from our clinical trials may compromise the quality of our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Many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educate the medical community and third-party payors on the benefits of our product candidates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advantages of the product compared to competitive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product is designated under physician treatment guidelines as a first-, second- or third-line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the ability of any future collaborators, to offer the product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and of physicians to prescribe,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acceptance into standard of care treatment algorithms by medical societies that could limit payor and physician uptake;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including distribution or use restrictions contained in the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sales,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the product;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adequacy of coverage and reimbursement from government payors, managed care plans and other third-party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by one or more of our product candidates that obtains regulatory approval to achieve market acceptance or commercial success would adversely affect our business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discover, develop and commercialize other product candidates, we may be unable to grow our business and our ability to achieve our strategic objectives would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development and commercialization of our current product candidates are our initial focus, as part of our longer-term growth strategy, we plan to develop other product candidates. In addition to the product candidates in our clinical-stage pipeline, we have in-licensed additional assets that are in earlier stages of development.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preclinical studies, clinical trials and approval by the FDA, EMA, MHRA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be certain that any such products that are approved will be manufactured or produced economically, successfully commercialized or widely accepted in the marketplace or be more effective than other commercially available alternatives.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intend to devote substantial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methodology used may not be successful in identifying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develop alternatives that render our product candidates obsolete;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that we develop may nevertheless be covered by third parties’ patents or other exclusive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on further study, be shown to have harmful side effects or other characteristics that indicate it is unlikely to be effective or otherwise does not meet applicable regulatory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not be accepted as safe and effective by patients, the medical community or third-party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future acquisitions may entail numerous operational and financial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of our business and diversion of management’s time and attention to develop acquired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dilutive issuances of securities or depletion of cash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than expected acquisition and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combining the operations and personnel of any acquired businesses with our operations and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relationships with key suppliers or customers of any acquired businesses due to changes in management and ownership;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motivate key employees of any acquired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unsuccessful in identifying and developing additional product candidates, either through internal development or licensing or acquisition from third parties, our potential for growth and achieving our strategic objectives may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pipeline includes product candidates for a variety of neuroscience diseases.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FOS and bipolar disorder,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 candidates,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Competitive products may reduce or eliminate the commercial opportunity for our product candidates, if approved. If our competitors develop technologies or product candidates more rapidly than we do, or if their technologies or product candidates are more effective or safer than ours, our ability to develop and successfully commercialize our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and commercial landscapes for the treatment of neuroscience diseases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left"/>
        <w:rPr>
          <w:rFonts w:ascii="Times New Roman" w:hAnsi="Times New Roman"/>
          <w:sz w:val="20"/>
        </w:rPr>
      </w:pPr>
      <w:r>
        <w:rPr>
          <w:rFonts w:ascii="Times New Roman" w:hAnsi="Times New Roman"/>
          <w:color w:val="000000"/>
          <w:sz w:val="20"/>
        </w:rPr>
        <w:t>We believe that a significant number of product candidates are currently under development for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titled “</w:t>
      </w:r>
      <w:r>
        <w:rPr>
          <w:rFonts w:ascii="Times New Roman" w:hAnsi="Times New Roman"/>
          <w:i/>
          <w:color w:val="000000"/>
          <w:sz w:val="20"/>
        </w:rPr>
        <w:t xml:space="preserve">Business—Competition” </w:t>
      </w:r>
      <w:r>
        <w:rPr>
          <w:rFonts w:ascii="Times New Roman" w:hAnsi="Times New Roman"/>
          <w:color w:val="000000"/>
          <w:sz w:val="20"/>
        </w:rPr>
        <w:t>in our Annual Report for examples of the competition that our product candidates face.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develop our sales, marketing and distribution capability on our own or through collaborations with marketing partners, we will not be successful in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a product candidate. Any failure or delay in the development of our or third parties’ internal sales, marketing and distribution capabilities would adversely impact the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inhibit our or third parties' efforts to commercialize our product candidates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recruit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sales personnel to obtain access to or our failure to educate an adequate number of physicians on the benefits of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establish sales and marketing capabilities successfully, either on our own or in collaboration with third parties, we will not be successful in commercializing our product candidates.</w:t>
        <w:b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Employee Matters and Managing Growth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expect to expand our organization, and as a result,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experience significant growth in the number of our employees and the scope of our operations, particularly in the areas of regulatory affairs and sales, marketing and distribution, as well as to continue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develop product candidates, leverage our RAP technology platform and manage our future growth depends on attracting, hiring and retaining our key personnel and recruiting additional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neurological and psychiatric disorders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would delay our research and development activities. We currently do not have “key person” insurance on any of our employees.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clinical operations and research and development programs depend on our ability to attract and retain highly skilled scientists, data scientists, and engineers, particularly in Massachusetts and California. 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b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upon and plan to continue to rely on third parties, such as CROs, clinical data management organizations, medical institutions and clinical investigators, to conduct our clinical trials and expect to rely on these third parties to conduct clinical trials of any other product candidate that we develop. Our ability to complete clinical trials in a timely fashion depends on a number of key factors. These factors include protocol design, regulatory and IRB approval,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public notification of noncompliance, fines, adverse publicity and civil and criminal sanctions, amongst other things. In addition, our ability to access and use clinical data from trials conducted in China, including trials conducted by or on behalf of our collaborators in China, may depend on acceptance and approvals from the Human Genetic Resources Administration of China (“HGRAC”). We rely on our collaborators in China to navigate and comply with HGRAC requirements in connection with clinical trials for our product candidates in China, and there is no guarantee that such collaborators will be able to obtain the necessary HGRAC approvals or that the HGRAC will not otherwise interfere with our ability to obtain and use clinical data from such trials in a timely manner or in a way that facilitates our use of such data for regulatory submissions or other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rely on other third parties to collect, report and analyze data for our clinical trials. For example, our Phase 2a proof-of-concept clinical trial for RAP-219 in adult patients with drug-resistant FOS relied on implantation of the RNS system from NeuroPace. NeuroPace has and continues to assist us with reporting and analysis of patient data collected from the implanted RNS systems in the Phase 2a clinical trial and in the open-label long term safety study. If NeuroPace does not successfully carry out its contractual obligations for any reason, meet expected deadlines, conduct our Phase 2a clinical trial or the open-label long term safety trial in accordance with applicable law, including regulatory and data privacy requirements, or encounters issues with its RNS system, including issues that raise questions of safety, effectiveness or data integrity, or we are otherwise unable to maintain our relationship with NeuroPace, we would have to redesign and conduct a new clinical trial to evaluate RAP-219 in patients with drug-resistant FOS and our business, financial condition and prospects would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use of third parties to manufacture our product candidates, including those located outside of the United States in jurisdictions such as China, may increase the risk that we will not have sufficient quantities of our product candidates, raw materials, active pharmaceutical ingredients (“APIs”) or drug products when needed or at an acceptable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 such as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rely on and engage third-party manufacturers to provide all of the API and the final drug product formulation of all of our product candidates that are being used in our clinical trials and preclinical 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Commitments that we make to supply drug product to collaboration partners, such as under our license agreement with Tenacia (the “Tenacia License Agreement”), will also be sourced from our third-party manufacturers and our failure to do so within agreed specifications and timelines could result in contractual liabilities and harm to the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third-party manufacturers we rely on have only recently begun working with us and have limited or no experience manufacturing our API and final drug products. If our manufacturers have difficulty or suffer delays in successfully manufacturing material that meets our specifications, it may limit supply of our product candidates and could delay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are able to establish and maintain arrangements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third-party manufacturer to comply with applicable regulatory requirements and reliance on third parties for manufacturing process development,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delays if our third-party manufacturers give greater priority to the supply of other products over our product candidates or otherwise do not satisfactorily perform according to the terms of the agreement between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supply availability resulting from capacity and scheduling constraints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third-party manufacturer to produce materials with acceptable quality on a larger scale;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manufacturing agreements by third parties because of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re-negotiation, or non-renewal of the manufacturing agreements by the third party, at a time or in a matter that is costly or inconvenient to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EMA, and other comparable regulatory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third-party manufacturer with whom we contract fails to perform its obligations, we may be forced to manufacture the materials ourselves, for which we may not have the capabilities or resources, or to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EMA, MHRA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our manufacturers are located outside of the United States, including in China. There is currently significant uncertainty about the future relationship between the United States and various other countries, including China, with respect to trade policies, treaties, government regulations and tariffs. In December 2025, the National Defense Authorization Act for Fiscal Year 2026 was enacted, which included Section 851, commonly referred to as the “BIOSECURE Act.” The BIOSECURE Act restricts U.S. government agencies from procuring biotechnology equipment or services from, or entering into contracts with, entities that use biotechnology equipment or services from, designated “biotechnology companies of concern” (“BCCs”), and from expending federal loan or grant funds for such equipment or services. The Office of Management and Budget (“OMB”) is required to publish an initial list of BCCs by December 2026, with implementing regulations expected to follow thereafter before the procurement prohibitions formally take effect. The BCC list has not yet been published and there can be no assurance that our existing or future Chinese manufacturing partners will not be designated in the future. If any of our current or future manufacturers or vendors is designated as a BCC, or if our research institutions, collaborators, or other partners become subject to BIOSECURE-related restrictions as a result of their relationships with such manufacturers, we could be required to terminate or restructure existing arrangements, transition manufacturing or other services to alternative suppliers, or delay or suspend development activities. In addition, even absent a formal BCC designation, U.S. research institutions and other recipients of federal grants and contracts may seek to limit relationships with manufacturers flagged under related national security frameworks, which could indirectly affect our clinical development programs. Any such transition or disruption could involve significant cost, operational complexity, regulatory risk, and delays, and alternative suppliers may not be available on acceptable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In particular, certain Chinese biotechnology companies and CMOs may become subject to trade restrictions, sanctions, and other regulatory requirements by the U.S. government, which could restrict or even prohibit our ability to work with such entities, thereby potentially disrupting our supplies and manufacturing. Additionally, it is possible further tariffs may be imposed that could affect imports of any APIs used in our product candidates in the future, or our business may be adversely impacted by retaliatory trade measures taken by China or other 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We do not control the manufacturing process of, and are largely dependent on, our contract manufacturing partners for compliance with cGMPs. If our contract manufacturers cannot successfully manufacture material that conforms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specifications and the strict regulatory requirements of the FDA, EMA, MHRA or other comparable regulatory authorities, we may not be able to secure and/or maintain regulatory approval for our product candidates manufactured at these facilities. In addition, we have limited control over the ability of our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EMA, MHRA and comparable foreign regulatory requirements could adversely affect our clinical research activities and our ability to develop our product candidates and market our products,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EMA, MHRA or other comparable regulatory authorities require manufacturers to register manufacturing facilities, and also inspect these facilities to confirm compliance with cGMPs.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to establish additional collaborations and, if we are not able to establish them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opportunistically pursue strategic partnerships, as the advancement of our product candidates and development programs and the potential commercialization of our current and future product candidates will require substantial additional cash to fund expenses. If we believe that additional partnerships can accelerate the development or maximize the market potential of our product candidates, we will consider entering into product, target and/or geographic specific strategic partnerships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additional partnerships or collaborations with international biotechnology or pharmaceutical companies for the commercialization of such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seeking appropriate collaborators. Whether we reach a definitive agreement for a partnership or collaboration will depend upon, among other things,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EMA, MHRA,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Partnerships and collaborations are each complex and time-consuming to negotiate and document. Further, there have been a significant number of recent business combinations among large pharmaceutical companies 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entered into and may enter into additional collaborations with third parties for the development and commercialization of our product candidates, and our prospects with respect to those product candidates will depend in significant part on the success of those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and may enter into additional collaborations for the development and commercialization of certain of our product candidates. Under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involving our product candidates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will depend on Tenacia for the development and commercialization of RAP-219 in China. Under the terms of the Tenacia License Agreement, Tenacia is responsible for the development and commercialization of RAP-219 in China. Tenacia will participate in the conduct of certain clinical trials for RAP-219 in Greater China and, as a result, we will depend on Tenacia for the enrollment of patients and the conduct of such clinical trials for RAP-219 in Greater China. We do not control the individual efforts of Tenacia, and any failure by Tenacia to devote sufficient time and effort to the development of RAP-219, including enrolling patients and conducting clinical trials for RAP-219 in Greater China, or to meet their respective obligations to us, could adversely impact our ability to complete our planned clinical studies on our anticipated timelines. We depend on Tenacia to comply with all applicable local laws relative to the development and commercialization of RAP-219. If Tenacia violates, or is alleged to have violated, any laws or regulations during the performance of its obligations for us, it is possible that we could suffer financial and reputational harm or other negative outcomes, including possible legal consequences. In the case of any termination of the Tenacia License Agreement, we may be required to devote additional efforts and to incur additional costs associated with pursuing the development and commercialization of RAP-219 in China, which could result in delays to our RAP-219 clinical program. Alternatively, we may attempt to identify and transact with a new sublicensee, but there can be no assurance that we would be able to identify a suitable sublicensee or transact on terms that are favorable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it is common that various aspects of the manufacturing program, such as the vendors used to manufacture drug product or manufacturing methods and formulation, are altered along the way in an effort to optimize processes and results. Such changes carry the risk that they will not achieve these intended objectives. Any such changes could cause our product candidates to perform differently and affect the results of planned clinical trials or other future clinical trials conducted with the materials manufactured using altered processes, and limit our ability to rely on data from clinical trials conducted with an earlier formulation of our drug candidate.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pStyle w:val="TextBody"/>
        <w:bidi w:val="0"/>
        <w:spacing w:before="120" w:after="283"/>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Manufacturers and manufacturers’ facilities are required to comply with extensive FDA, EMA, MHRA and other comparable regulatory authority requirements, including ensuring that quality control and manufacturing procedures conform to cGMP regulations and applicable product tracking and tracing requirements.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strategies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EMA, MHRA or other comparable regulatory authority approves our product candidates, we will have to comply with requirements including submissions of safety and other post-marketing information and reports and registration.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problems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our products, withdrawal of the product from the market or voluntary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FDA Form 483s,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withdrawal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under the Food and Drug Omnibus Reform Act (“FDORA”), sponsors of approved drugs and biologics must provide 6 months’ notice to the FDA of any changes in marketing status or for discontinuing or interrupting the supply of certain drugs, such as the withdrawal of a drug, and failure to do so could result in a letter citing such failure to comply and public posting of such letter and redacted company response which could damage the company’s reputation. The FDA strictly regulates marketing, labeling, advertising and promotion of products that are placed on the market. Products may be promoted only for the approved indications and in accordance with the provisions of the approved label. The policies of the FDA, EMA, MHRA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While we may in the future seek designations for our product candidates with the FDA, EMA, MHRA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MHRA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may seek a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be certain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10 months to 6 months. Priority review designation may be rescinded if a product no longer meets the qualifying criteria.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Where appropriate, we may secure approval from the FDA, EMA, MHRA or other comparable regulatory authorities through the use of expedited approval pathways, such as accelerated approval.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EMA, MHRA or other comparable regulatory authorities, if our confirmatory trials do not verify clinical benefit, or if we do not comply with rigorous post-marketing requirements, the FDA, EMA, MHRA or such other regulatory authorities may seek to withdraw the accelerated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possible, we plan to pursue accelerated development strategies in areas of high unmet need. We may seek an accelerated approval pathway for one or more of our therapeutic candidates from the FDA, EMA, MHRA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must specify the conditions for any post-approval trials by the date of accelerated approval and the agency has flexibility in setting forth such conditions, which may include enrollment targets, clinical trial protocol and milestones – including the target date of trial completion. Further,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if the sponsor fails to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seeking accelerated approval, we would seek feedback from the FDA, EMA, MHRA or other comparable regulatory authorities and would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MHRA or other comparable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MHRA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the FDA, other government agencies or comparable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key leadership and other personnel, and ability to accept the payment of user fees, and statutory, regulatory, leadership, and policy changes. Average review times at the FDA have fluctuated in recent years as a result. In addition, government funding of other government agencies or comparable foreign regulatory authorities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sz w:val="20"/>
        </w:rPr>
      </w:pPr>
      <w:r>
        <w:rPr>
          <w:rFonts w:ascii="Times New Roman" w:hAnsi="Times New Roman"/>
          <w:color w:val="000000"/>
          <w:sz w:val="20"/>
        </w:rPr>
        <w:t>Disruptions at the FDA, other government agencies or comparable foreign regulatory authorities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including as a result of reaching the debt ceiling, it could significantly impact the ability of the FDA to timely review and process our regulatory submissions, which could have a material adverse effect on our business. Further, future</w:t>
      </w:r>
      <w:r>
        <w:rPr>
          <w:rFonts w:ascii="Times New Roman" w:hAnsi="Times New Roman"/>
          <w:strike/>
          <w:color w:val="000000"/>
          <w:sz w:val="20"/>
        </w:rPr>
        <w:t xml:space="preserve"> </w:t>
      </w:r>
      <w:r>
        <w:rPr>
          <w:rFonts w:ascii="Times New Roman" w:hAnsi="Times New Roman"/>
          <w:color w:val="000000"/>
          <w:sz w:val="20"/>
        </w:rPr>
        <w:t>government shutdowns could impact our ability to access the public markets and obtain additional capital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before="240" w:after="283"/>
        <w:jc w:val="left"/>
        <w:rPr>
          <w:rFonts w:ascii="Times New Roman" w:hAnsi="Times New Roman"/>
          <w:sz w:val="20"/>
        </w:rPr>
      </w:pPr>
      <w:r>
        <w:rPr>
          <w:rFonts w:ascii="Times New Roman" w:hAnsi="Times New Roman"/>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These laws include anti-kickback statutes, false claims statutes, data privacy and security laws, as well as transparency laws regarding payments or other items of value provided to healthcare providers. 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As a pharmaceutical company, even though we do not and will not control referrals of healthcare services or bill directly to Medicare, Medicaid or other third-party payors, federal and state healthcare laws and regulations that may affect our ability to operate may apply. For more information on healthcare laws and regulations that may impact our company, see the section titled “</w:t>
      </w:r>
      <w:r>
        <w:rPr>
          <w:rFonts w:ascii="Times New Roman" w:hAnsi="Times New Roman"/>
          <w:i/>
          <w:color w:val="000000"/>
          <w:sz w:val="20"/>
        </w:rPr>
        <w:t xml:space="preserve">Business—Government Regulation—Other Healthcare Laws” </w:t>
      </w:r>
      <w:r>
        <w:rPr>
          <w:rFonts w:ascii="Times New Roman" w:hAnsi="Times New Roman"/>
          <w:color w:val="000000"/>
          <w:sz w:val="20"/>
        </w:rPr>
        <w:t>in our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and privacy laws, as well as responding to possible investigations by government authorities, can be time and resource-consuming and can divert a company’s attention from the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these laws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bidi w:val="0"/>
        <w:spacing w:before="120" w:after="283"/>
        <w:jc w:val="left"/>
        <w:rPr>
          <w:rFonts w:ascii="Times New Roman" w:hAnsi="Times New Roman"/>
          <w:sz w:val="20"/>
        </w:rPr>
      </w:pPr>
      <w:r>
        <w:rPr>
          <w:rFonts w:ascii="Times New Roman" w:hAnsi="Times New Roman"/>
          <w:color w:val="000000"/>
          <w:sz w:val="20"/>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 For more information on the laws and regulations that may impact coverage and reimbursement of our product candidates, see the section titled “</w:t>
      </w:r>
      <w:r>
        <w:rPr>
          <w:rFonts w:ascii="Times New Roman" w:hAnsi="Times New Roman"/>
          <w:i/>
          <w:color w:val="000000"/>
          <w:sz w:val="20"/>
        </w:rPr>
        <w:t>Business—Government Regulation—Coverage and Reimbursement</w:t>
      </w:r>
      <w:r>
        <w:rPr>
          <w:rFonts w:ascii="Times New Roman" w:hAnsi="Times New Roman"/>
          <w:color w:val="000000"/>
          <w:sz w:val="20"/>
        </w:rPr>
        <w:t>” in our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In the United States, the principal decisions about reimbursement for new medicines are typically made by the U.S. Centers for Medicare &amp;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The FDA implemented regulations providing guidance for states to build and submit importation plans for drugs from Canada. In early 2024, the FDA issued its first approval for a state importation plan, and several other states now have pending applications with the FDA. The U.S. government has also directed the FDA to streamline and improve the drug importation process.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Ongoing healthcare legislative and regulatory reform measures may have a material adverse effect on our business and results of operations.</w:t>
      </w:r>
    </w:p>
    <w:p>
      <w:pPr>
        <w:pStyle w:val="TextBody"/>
        <w:bidi w:val="0"/>
        <w:spacing w:before="240" w:after="283"/>
        <w:jc w:val="left"/>
        <w:rPr>
          <w:rFonts w:ascii="Times New Roman" w:hAnsi="Times New Roman"/>
          <w:sz w:val="20"/>
        </w:rPr>
      </w:pPr>
      <w:r>
        <w:rPr>
          <w:rFonts w:ascii="Times New Roman" w:hAnsi="Times New Roman"/>
          <w:color w:val="000000"/>
          <w:sz w:val="20"/>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See the section titled “</w:t>
      </w:r>
      <w:r>
        <w:rPr>
          <w:rFonts w:ascii="Times New Roman" w:hAnsi="Times New Roman"/>
          <w:i/>
          <w:color w:val="000000"/>
          <w:sz w:val="20"/>
        </w:rPr>
        <w:t xml:space="preserve">Business—Current and Future U.S. Healthcare Reform” </w:t>
      </w:r>
      <w:r>
        <w:rPr>
          <w:rFonts w:ascii="Times New Roman" w:hAnsi="Times New Roman"/>
          <w:color w:val="000000"/>
          <w:sz w:val="20"/>
        </w:rPr>
        <w:t>in our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independent contractors, consultants, and vendors may engage in misconduct or other improper activities, including noncompliance with regulatory standards and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the risk of employee fraud or other illegal activity by our current and any future employees, independent contractors, consultants, CMOs, and vendors. Misconduct by these parties could include intentional, reckless, and/or negligent conduct that fails to comply with FDA or other regulations, provide true, complete and accurate information to the FDA, EMA, MHRA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Off-label use or misuse of our product candidates may harm our reputation in the marketplace or result in injuries that lead to costly product liability suits.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are approved by the FDA, we may only promote or market our product candidates in a manner consistent with their FDA-approved labeling.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may not effectively treat such conditions.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 In the current administration, the FDA has increased its enforcement scrutiny over prescription drug advertising, particularly direct-to-consumer product promotion and advertising. If the FDA finds any of our future promotional communications or advertising to be violative, we may receive an untitled or warning letter, requests for corrective advertising, or fines, amongst other enforcement tools available to the FDA.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Without appropriation of sufficient funding for federal agencies, our business operations related to our product development activities for the U.S. market could be impacted. The ability of the FDA to review and approve new products can be affected by a variety of factors, including staffing cuts, government budget and funding levels, ability to hire and retain key personnel and ability to accept the payment of user fees and statutory, regulatory, leadership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as resulting in delays in the FDA's responsiveness or in its ability to review product submissions or applications, issue regulations or guidance, or implement or enforce regulatory requirements in a timely fashion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substantial uncertainty as to the extent and manner in which the U.S. government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 drug marketing and reimbursement regulations may materially affect our ability to market and receive coverage for our products in the EU Member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some foreign countries, including some countries in the European Union,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biotechnology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export controls, economic sanctions, imports and customs, and anti-corruption laws and regulations of the United States and other jurisdictions. We can face civil penalties, criminal liability and other serious consequences for violations of these laws and regulations, which can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and U.S. customs regulations, and various economic and trade sanctions regulations administered by the U.S. Treasury Department’s Office of Foreign Assets Control and the U.S. Department of State.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in-licensed intellectual property. If we fail to comply with our obligations under our intellectual property licenses with third parties,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the Janssen License, which is a non-exclusive, fully paid up, and royalty-free intellectual property license agreement. In connection with our efforts to expand our pipeline of product candidates, we expect to enter into additional license agreements in the future. We have certain obligations under the Janssen License and expect that future license agreements may impose various diligence, milestone payment, royalty, insurance, and other obligations on us. If we fail to comply with these obligations, our licensors may have the right to terminate the relevant agreement, in which event we would not be able to develop or market the products covered by such licensed intellectual property, or to pursue other remedies. Our current and future collaborations are, and may be, dependent upon the effectiveness of the Janssen License, and may be terminated if the Janssen License is terminated.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obtain licenses at a reasonable cost or on reasonable terms, or at all. Furthermore, if we lose intellectual property rights licensed under existing agreements or fail to obtain future licenses, we may be required to expend considerable time and resources to develop or license replacement technology. If we are unable to do so, we may be unable to develop or commercialize the affected proprietary technologies and product candidates, which could harm our business significantly.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our licensors are unable to obtain and maintain patent protection for our product candidates, or if the scope of the patent protection obtained is not sufficiently broad, our competitors could develop and commercialize products similar or identical to our product candidates, and our ability to successfully commercialize our product candidates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with respect to our product candidates, their respective components, formulations, combination therapies, methods used to manufacture them and methods of treatment that are important to our business. If we or our licensors do not adequately protect our or our licensors’ intellectual property rights, competitors may be able to erode or negate any competitive advantage we may have, which could harm our business and ability to achieve profitability. We and our licensors seek to protect our proprietary position by filing patent applications in the United States and abroad related to our product candidates that are important to our business. We may in the future also license or purchase patent applications filed by others. If we or our licensors are unable to secure or maintain patent protection with respect to our product candidates and any proprietary product candidates and technology we develop, our business, financial condition, results of operations, and prospects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scope of the patent protection we or our licensors obtain is not sufficiently broad, we may not be able to prevent others from developing and commercializing products and technology similar or identical to our product candidates or otherwise maintain a competitive advantage.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or our licensors’ patents have, or that any of our or our licensors’ pending patent applications that mature into issued patents will include, claims with a scope sufficient to protect our product candidates or otherwise provide any competitive advantage. In addition, to the extent that we license intellectual property, we cannot make assurances that those licenses will remain in force.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owned and licensed patent applications issue as patents, they may not issue in a form that will provide us with any meaningful protection, prevent competitors from competing with us, or otherwise provide us with any competitive advantage. The scope of the invention claimed in a patent application can be significantly reduced before the patent is issued, and this scope can be reinterpreted after issuance.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circumvent our owned or licensed patents by developing similar or alternative technologies or products in a non-infringing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prosecution process is expensive and time 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product candidates that we license from third parties and are reliant on our licensors. Therefore, we cannot be certain that these patents and applications will be prosecuted and enforced in a manner consistent with the best interests of our business. If such licensors fail to maintain such patents, or lose rights to those patents, the rights we have licensed may be reduced or eliminated.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patents have a limited lifespan. In the United States, the natural expiration of a patent is generally 20 years after it is filed. Various extensions may be available; however, the life of a patent, and the protection it affords, is limited. Publications of discoveries in the scientific literature often lag behind the actual discoveries, and patent applications in the United States and other jurisdictions are typically not published until 18 months after filing, or in some cases, at all. Therefore, we cannot be certain that we or our licensors were the first to make the inventions claimed in our owned or licensed patents or pending patent applications, or that we or our licensors were the first to file for patent protection of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and our licensors’ pending and future patent applications may not result in patents being issued which protect our product candidates or which effectively prevent others from commercializing competitive products.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the courts or patent offices in the United States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or our licensors may in the future, become subject to a third-party pre-issuance submission of prior art, opposition, derivation,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or interference proceeding and other similar proceedings challenging our patent rights or the patent rights of others in the U.S. Patent and Trademark Office (the “USPTO”) or other foreign patent office. Such challenges may result in loss of exclusivity or freedom to operate or in patent claims being narrowed, invalidated, or held unenforceable, which could limit our ability to stop others from using or commercializing similar or identical products, or limit the duration of the patent protection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rely on certain of our licensors to prosecute patent applications and maintain patents and otherwise protect the intellectual property we license from them and may continue to do so in the future.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any licensors’ infringement proceeding or defense activities may be less vigorous than had we conducted them ourselves.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efforts to protect the proprietary nature of the intellectual property related to our product candidates are not adequate,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upon a combination of patents, confidentiality agreements, trade secret protection and license agreements to protect the intellectual property related to our product candidates. Any disclosure to or misappropriation by third parties of our confidential proprietary information could enable competitors to quickly duplicate or surpass our technological achievements, thus eroding our competitive position in our market. We, or any partners, collaborators, or licensors, may fail to identify patentable aspects of inventions made in the course of development and commercialization activities before it is too late to obtain patent protection on them. Therefore, we may miss potential opportunities to strengthen our patent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defects of form in the preparation or filing of our or our licensors’ patents or patent applications may exist, or may arise in the future, for example with respect to proper priority claims, inventorship, claim scope, or requests for patent term adjustments. If we or our partners, collaborators, or licensors fail to establish, maintain or protect such patents and other intellectual property rights, such rights may be reduced or eliminated. If our partners, collaborators,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additional patent applications will be filed both in the United States and in other countries, as appropriate. However, we cannot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additional patent applications covering new technologies related to our product candidates will be filed;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patents will issue;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and range of protection any issued patents will afford us against competitors, including whether third parties will find ways to invalidate or otherwise circumvent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any of our intellectual property will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any of our patents that may be issued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others will obtain patents claiming aspects similar to those covered by our or our licensors’ patents and patent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or our licensors will need to initiate or defend litigation or administrative proceedings which may be costly regardless of whether we or our licensors win or lose.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cannot be certain that the claims in our pending patent applications covering our product candidates and their methods of use will be considered patentable by the USPTO, or by patent offices in foreign countries, or that the claims in any of our issued patents will be considered valid or patentable by courts in the United States or foreign countries. Method of use patents protect the use of a product for the specified method. These types of patents do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but not necessarily, contribute to a finding of infringement of method of use patents, the practice is common and such infringement is difficult to prevent or prosecute.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an allowed patent application will become an issued patent because there may be events that cause withdrawal of the allowance of a patent application. For example, after a patent application has been allowed, but prior to being issued, material that could be relevant to patentability may be identified. In such circumstances, the applicant may pull the application from allowance in order for the USPTO to review the application in view of the new material. We cannot be certain that the USPTO will issue the application in view of the new material. Periodic maintenance fees on any issued patent are due to be paid to the USPTO and foreign countries may require the payment of maintenance fees or patent annuities during the lifetime of a patent application and/or any subsequent patent that issues from the application. The USPTO and various foreign governmental patent agencies require compliance with a number of procedural, documentary, fee payment and other similar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Such noncompliance can result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Such an event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the USPTO.</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we or one of our licensing partners initiate legal proceedings against a third party to enforce a patent covering our product candidates, the defendant could counterclaim that the patent covering our product candidates, as applicable, is invalid and/or unenforceable. In patent litigation in the United States, defendant counterclaims alleging invalidity and/or unenforceability are commonplace, and there are various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 w:hAnsi="Times New Roman"/>
          <w:i/>
          <w:color w:val="000000"/>
          <w:sz w:val="20"/>
        </w:rPr>
        <w:t>inter partes</w:t>
      </w:r>
      <w:r>
        <w:rPr>
          <w:rFonts w:ascii="Times New Roman" w:hAnsi="Times New Roman"/>
          <w:color w:val="000000"/>
          <w:sz w:val="20"/>
        </w:rPr>
        <w:t xml:space="preserve"> review, post grant review and equivalent proceedings in foreign jurisdictions (such as opposition proceedings). Such proceedings could result in revocation or amendment to our or our licensors’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our licensors and the patent examiner were unaware during prosecution. If a defendant were to prevail on a legal assertion of invalidity and/or unenforceability, or if we are otherwise unable to adequately protect our or our licensors’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to patent law in the United States and in foreign jurisdictions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biotechnology and biopharmaceutical companies, our success is heavily dependent on intellectual property, particularly patents. Obtaining and enforcing patents in the biotechnology and biopharmaceutical industry involves both technological and legal complexity, and is therefore costly, time-consuming and inherently uncertain. Recent patent reform legislation in the U.S. and other countries, including the Leahy-Smith America Invents Act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recent U.S. Supreme Court rulings have narrowed the scope of patent protection available in certain circumstances and weakened the rights of patent owners in certain situations. In addition to increasing uncertainty with regard to our or our licensors’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or our licensors’ ability to obtain new patents or to enforce our or our licensors’ existing patents and patents that we or our licensors might obtain in the future. We cannot predict how future decisions by the courts, Congress or the USPTO may impact the value of our or our licensors’ patents. Similarly,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our patent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pursue patent coverage of our product candidates in certain countries outside of the United States. 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The breadth and strength of our or our licensors’ patents issued in foreign jurisdictions or regions may not be the same as the corresponding patents issued in the United States. Consequently, we may not be able to prevent third parties from practicing our or our licensors’ inventions in all countries outside the United States, or from selling or importing products made using our or our licensors’ inventions in and into the United States or other jurisdictions. Competitors may use our technologies in jurisdictions where we have not obtained patent protection to develop their own products and further, may export otherwise infringing products to certain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protections, particularly those relating to biotechnology and biopharmaceutical products. This difficulty with enforcing patents could make it difficult for us to stop the infringement of our or our licensors’ patents or marketing of competing products otherwise generally in violation of our proprietary rights. Proceedings to enforce our patent rights in foreign jurisdictions could result in substantial costs and divert our efforts and attention from other aspects of our business, could put our or our licensors’ patents at risk of being invalidated or interpreted narrowly, put our or our licensors’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for any of our current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our current product candidates, one or more of our or our licensors’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for a patent extension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believe we are entitled to, our competitors may obtain approval of competing products sooner than we would expect, and our business, financial condition, results of operations, and prospects could be materially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or otherwise misappropriating their intellectual property rights, the outcome of which would be uncertain and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upon our ability and the ability of our collaborators to commercialize, develop, manufacture, market, and sell our product candidates without infringing the proprietary rights of third parties. We have yet to conduct comprehensive freedom to operate searches to determine whether we would infringe patents issued to third parties. We may become party to, or threatened with, future adversarial proceedings or litigation regarding intellectual property rights with respect to our product candidates, including interference proceedings before the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developing and marketing our product candidates.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product. In addition, we could be found liable for monetary damages.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third party alleges that we infringe its intellectual property rights, we may face a number of issues,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infringement and other intellectual property misappropriation which, regardless of merit, may be expensive and time-consuming to litigate and may divert our management’s attention from our core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damages for infringement or misappropriation, which we may have to pay if a court decides that the product or technology at issue infringes on or violates the third-party’s rights, and, if the court finds we have willfully infringed intellectual property rights, we could be ordered to pay treble damages and the patent owner’s attorneys’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injunction prohibiting us from manufacturing, marketing or selling our product candidates, or from using our proprietary technologies, unless the third party agrees to license its patent rights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 license is available from a third party, we may have to pay substantial royalties, upfront fees and other amounts, and/or grant cross-licenses to intellectual property rights protecting our product candidates;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try to redesign our product candidates or processes so they do not infringe third-party intellectual property rights, an undertaking which may not be possible or which may require substantial monetary expenditures and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 If any third-party patents, held now or obtained in the future by a third party, were found by a court of competent jurisdiction to cover the manufacturing process of our product candidates, constructs or molecules used in or formed during the manufacturing process, or any final product or methods use of the product, the holders of any such patents may be able to block our ability to commercialize the product unless we obtained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which could be expensive, time 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To counter infringement or unauthorized use, we may be required to file infringement claims, which can be expensive and time consuming.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an infringement proceeding, a court may decide that a patent of ours or our licensors’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and could put our patent applications at risk of not issuing. Defense against these assertions, non-infringement, invalidity or unenforceability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Post-grant proceedings provoked by third parties or brought by the USPTO may be brought to determine the validity or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post-grant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those within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our licensors may have rights to file and prosecute such claims, and we are reliant on them.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time-consuming. If we were unsuccessful, we could lose valuable rights in intellectual property that we regard as our 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patents for some of our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If we are unable to prevent unauthorized material disclosure of our intellectual property to third parties, we may not be able to establish or maintain a competitive advantage in our market, which could materially adversely affect our business, operating results and financial condition. If we choose to go to court to stop a third party from using any of our trade secrets, we may incur substantial costs. These lawsuits may consume our time and other resources even if we are successful. In addition, some courts inside and outside the United States are less willing or unwilling to protect trade secrets. As a result, we may encounter significant problems in protecting and defending our intellectual property both in the United States and abroad.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we wrongfully hired an employee from a competitor or that our employees have misappropriated intellectual property, including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were previously employed at, or may have previously provided or may be currently providing consulting services to, universities or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do not use the proprietary information or know how of others in their work for us, we may be subject to claims that we caused an employee to breach the terms of his or her non-competition or non-solicitation agreement, or that we or these employees have, inadvertently or otherwise, used or disclosed intellectual property, including trade secrets or other proprietary information, of any such employee’s former employer or competitor.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European patents and patent applications could be challenged in the recently created Unified Patent Court for the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or our licensors’ European patents and patent applications could be challenged in the recently created Unified Patent Court (“UPC”) for the European Union.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or our licensors’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always have been adjudicated. Such a loss of patent protection could have a material adverse impact on our business and our ability to commercialize our technology and product candidates and, resultantly, on our business, financial condition, prospects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active or liquid market in our common stock may not be sustained. The lack of an active market may impair the value of our stockholders’ shares, and our stockholders’ ability to sell their shares at the desired time and price. An inactive market may also impair our ability to raise capital by selling our common stock and our ability to enter into strategic collaborations or acquire other companies, products, or technologies by using our common stock as consideration.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price of our common stock may be volatile, which could result in substantial losses for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may be volatile and could be subject to wide fluctuations in response to various factors, some of which are beyond our control, including limited trading volume. In addition to the factors discussed in this section,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completion or results of our current or future preclinical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identifying and advancing a clinical candidate for our other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suspensions or terminations in future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of our product candidates or the failure of a regulatory authority to accept data from preclinical studies or clinical trials conducted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our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adequate product supply for any approved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commercialize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scientific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any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or services offered by us or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quarterly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the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political and economic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 in general, and the market for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reputational harm and a diversion of management’s attention and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operating results may fluctuate significantly, due to a variety of factors, many of which are outside of our control and may be difficult to predict,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and level of investment in, research, development and, if approved, commercialization activities relating to our current and future product candidates, which may change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status of enrollment for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product candidates, as well as building out our supply chain, which may vary depending on the quantity of production and the terms of our agreements with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to acquire, develop or commercialize additional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amount of any milestone, royalty or other payments due under any collaboration or license agreement, including the Janssen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receipt of approvals for our product candidates from regulatory authorities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rate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and reimbursement policies with respect to our product candidates, if approved, and potential future drugs that compete with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our product candidates, if approved, which may vary significantly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Similarly, if one or more of these analysts ceases coverage of our company or fails to publish reports on us regularly, demand for our stock could decrease, which might cause our stock price and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executive officers, directors, principal stockholders and their respective affiliates own a significant percentage of our common stock and have the ability to exert significant control over matters subject to stockholder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officers, directors, holders of 5% or more of our capital stock and their respective affiliates collectively own a significant percentage of our outstanding common stock. As a result, these stockholders,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In addition, certain of our principal stockholders, including Third Rock Ventures V, L.P., have designated certain members of our board of directors. The interests of these stockholders may not be the same as or may even conflict with the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common stock price to fall.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common stock price could decline as a result of sales of a large number of shares of common stock or the perception that these sales could occur, which might also make it more difficult for us to sell equity securities in the future at a time and price that we deem appropriate.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47,955,079 shares of common stock outstanding. Shares of unvested restricted common stock will become available for sale immediately upon the vesting of such shares, as applicable. All shares of common stock sold in our IPO or otherwise outstanding as of our IPO are able to be sold in the public market.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holders of our common stock have rights, subject to some conditions, to require us to file registration statements covering the sale of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 agreements between us and such holders. We have registered the offer and sale of all shares of common stock that we may issue under our equity compensation plans, and those shares are available for sale in the open market, unless such shares are subject to vesting restrictions with us or lock-up restrictions. Once we register the offer and sale of shares for the holders of registration rights, they can be freely sold in the public market upon issuance, subject to the lock-up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issuance of additional capital stock in connection with financings, acquisitions, investments, our stock incentive plans or otherwise will dilute all other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issue additional capital stock in the future that will result in dilution to all other stockholders. For example, in September 2025, we completed an underwritten public offering of 11,057,692 shares of common stock at a public offering price of $26.00 per share, which included full exercise of the underwriters’ option to purchase additional shares. Additionally, as of June 30, 2026, 11,032,109 shares of our common stock were reserved for issuance upon exercise of outstanding stock options, vested restricted stock units and performance based stock units.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 amended and restated certificate of incorporation and our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only one of three classes of directors is elected each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not less than two-thirds of the votes that all our stockholders would be entitled to cast to amend or repeal specified provisions of our third amended and restated certificate of incorporation or amended and restated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third amended and restated certificate of incorporation or our amended and restated bylaws (including the interpretation, validity or enforceability thereof) or (iv) any action asserting a claim that is governed by the internal affairs doctrine (the “Delaware Forum Provision”). The Delaware Forum Provision does not apply to any causes of action arising under the Securities Act or the Securities Exchange Act of 1934, as amended (the “Exchange Act”).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or the Exchange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or Exchange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continue to satisfy the listing requirements of The Nasdaq Stock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meet certain financial and liquidity criteria to maintain our common stock’s listing on The Nasdaq Stock Market (“Nasdaq”).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General Risks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political instability and geopolitical events could adversely affect our business, financial condition, stock price,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could be adversely affected by unstable economic and political conditions within the United States and foreign jurisdictions, including as a result of an economic downturn and geopolitical events, such as changes in the U.S. federal policy that affect the geopolitical landscape. The global credit and financial markets have also generally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markets and the global economy may also be adversely affected by the current or anticipated impact of political uncertainty, including military conflicts, such as the ongoing conflicts between Russia and Ukraine and Israel and Hamas, the recent U.S. and Israeli military action in Iran and effects thereof, terrorism, or other geopolitical events. Sanctions imposed by the U.S.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Additionally, recent changes in U.S. policy have impacted and may in the future impact, among other things, the U.S. and global economy, international trade relations, unemployment, immigration, healthcare, taxation, the U.S. regulatory environment, inflation and other areas. For example, the implementation of tariffs by the U.S. government has led to increased trade disruptions and political tensions, between not only the U.S. and China, but also between the U.S. and other countries in the international community. In response to tariffs, other countries have implemented and may in the future implement additional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For example, as described more fully above, the BIOSECURE Act may restrict the ability of U.S. biotechnology companies to purchase services or products from, or otherwise collaborate with, certain Chinese biotechnology companies of concern without losing the ability to contract with, or otherwise receive funding from, the U.S. government. We continue to assess this law to determine whether it could have an effect on our contractual relationships. Although we have taken steps to mitigate the impact of tariffs and trade restrictions on our operations, any changes in political, trade, regulatory, and economic conditions, including U.S. trade policies, could have a material adverse effect on our business, financial condition and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natural disasters, public health crises or other business interruptions and our business continuity and disaster recovery plans may not adequately protect us from a serious disaster.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Natural disasters or public health crises could severely disrupt our operations, and have a material adverse impact on our business, results of operations, financial condition, and prospects. If a natural disaster, power outage, public health crisis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until as late as December 31, 2029, although circumstances could cause us to lose that status earlier, including if we are deemed to be a “large accelerated filer,” which occurs when the market value of our common stock that is held by non-affiliates exceeds $700 million as of the prior June 30 unless we remain eligible to use the “smaller reporting company” requirements under the revenue test in Rule 12b-2 of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are not subject to the same requirements to adopt new or revised accounting standards as other public companies that are not emerging growth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and have elected to take advantage of certain of the scaled disclosures available to smaller reporting companies. As a smaller reporting company, we have availed ourselves of the exemption from the requirement that our independent registered public accounting firm attest to the effectiveness of our internal control over financial reporting under Section 404 of the Sarbanes-Oxley Act of 2002.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the last business day of our second quarter in 2026, the aggregate market value of our shares of common stock held by non-affiliates exceeded $700 million. As a result, beginning with our Quarterly Report on Form 10-Q for the quarter ended March 31, 2027, we will no longer be eligible to use the scaled disclosure accommodations available to smaller reporting companies and will become subject to additional disclosure requirements.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Upon losing our smaller reporting company status, we will no longer be able to rely on the scaled disclosure requirements and other accommodations available to smaller reporting companies. This may require us to provide additional disclosures in our periodic reports, including more detailed executive compensation disclosures and additional financial statement information. Due to this upcoming transition, we expect to devote significant time and effort to implement and comply with the additional standards, rules and regulations that may apply to us upon becoming a large accelerated filer. The transition from smaller reporting company status will require additional resources, including personnel, enhanced systems and processes, and increased professional fees for accounting, legal, and compliance services. We will need to implement more comprehensive internal controls and procedures to meet the heightened requirements applicable to larger public companies. Due to the complexity and logistical difficulty of implementing the standards, rules and regulations that apply to non-smaller reporting companies, there is an increased risk that we may be found to be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management is required to devote substantial time to new compliance initiatives and corporate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the Sarbanes-Oxley Act of 2002 (the “Sarbanes-Oxley Act”), as well as rules subsequently adopted by the SEC and The Nasdaq Global Market to implement provisions of the Sarbanes-Oxley Act, impose significant requirements, including requiring establishment and maintenance of effective disclosure and financial reporting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after completion of a company’s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rules and regulations applicable to public companies have substantially increased, and will continue to increase, our legal and financial compliance costs and to make some activities more time-consuming and costly. If these requirements divert the attention of our management and personnel from other business concerns, they could have an adverse effect on our business. These increased costs will continue to decrease our net income or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currently maintain and review our internal controls and procedures for compliance with Section 404 of the Sarbanes-Oxley Act, which requires an annual management assessment of the effectiveness of our internal control over financial reporting. Any failure to implement required new or improved controls, or any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disclose changes made in our internal controls and procedures on a quarterly basis and our management is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other tax attributes may be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approximately $46.1 million of federal net operating losses (“NOLs”). Federal NOLs generated in taxable years beginning after December 31, 2017, may be carried forward indefinitely, but the deductibility of such federal NOL carryforwards in a taxable year is limited to 80% of our taxable income in such year. As of December 31, 2025, we had approximately $15.1 million of state NOLs. Of the state NOLs, some are of indefinite life, but most expire at various dates, beginning in 2043. As of December 31, 2025, we had approximately $8.0 million of federal research and development tax credit carryforwards. Federal tax credit carryforwards expire at various dates, beginning in 2042. As of December 31, 2025, we had approximately $3.2 million of state research and development tax credit carryforwards. The state tax credits, which have various carryforward rules, begin to expire in 2037. Our ability to use these NOLs and tax credit carryforwards to offset future tax liabilities depends on the successful development of our product candidates and future financial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in the future.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federal, state, local and foreign tax laws, regulations and administrative guidance are subject to change as a result of the legislative process and review and interpretation by the U.S. Internal Revenue Service, the U.S. Treasury Department and other taxing authorities. For example, the One Big Beautiful Bill Act (the “OBBBA”) was signed into law on July 4, 2025 and made significant changes to U.S. federal tax law. Changes to tax laws (which changes may have retroactive application), including with respect to net operating losses and research and development tax credits, could adversely affect us or holders of our common stock. For example, under Section 174 of the Code, in taxable years beginning after December 31, 2021, expenses that are incurred for research and development performed outside the U.S. will be capitalized and amortized, which may have an adverse effect on our cash flow by deferring the timing of tax deductions and potentially increasing taxable income and cash taxes payable in periods in which we generate taxable income.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 and product liability lawsuits against us could divert our resources and could cause us to incur substantial liabilities and to limit commercialization of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 candidates or products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any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currently hold clinical trial liability insurance, we will need to obtain and maintain additional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involved in litigation that could divert management’s attention and harm our business, and insurance coverage may not be sufficient to cover all costs and damages.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0" w:after="20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i/>
          <w:color w:val="000000"/>
          <w:sz w:val="20"/>
        </w:rPr>
        <w:t>(a) Recent Sales of Unregistered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r>
        <w:rPr>
          <w:rFonts w:ascii="Times New Roman" w:hAnsi="Times New Roman"/>
          <w:b/>
          <w:i/>
          <w:color w:val="000000"/>
          <w:sz w:val="20"/>
        </w:rPr>
        <w:t>(b) Use of Proceeds from Initial Public Offering and Concurrent Private Placement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6, 2024, our Registration Statement on Form S-1 (No. 333-279486) relating to our IPO was declared effective by the U.S. Securities and Exchange Commission. Concurrently with the IPO, we also completed a private placement in which we issued and sold an aggregate of 1,058,824 shares of our common stock at the IPO price. We intend to use the remaining proceeds from our IPO and concurrent private placement primarily to fund research and development and clinical development to support the advancement of current or future product candidates and the expansion of our research and development programs, and the remainder for working capital, capital expenditures and other general corporate purposes.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 Issuer Repurchases of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3_defaults_upon_senior_securitie"/>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item4_mine_safety_disclosures"/>
      <w:bookmarkEnd w:id="17"/>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Not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During the quarter ended June 30, 2026, none of our directors or officers (as defined in Rule 16a-1(f) under the Exchange Act) adopted, modified and/or terminated a “Rule 10b5-1 trading arrangement” or “non-Rule 10b5-1 trading arrangement”, as each term is defined in Item 408 of Regulation S-K.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6"/>
        <w:gridCol w:w="146"/>
        <w:gridCol w:w="9253"/>
      </w:tblGrid>
      <w:tr>
        <w:trPr/>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3" w:type="dxa"/>
            <w:tcBorders/>
            <w:vAlign w:val="center"/>
          </w:tcPr>
          <w:p>
            <w:pPr>
              <w:pStyle w:val="TableContents"/>
              <w:bidi w:val="0"/>
              <w:spacing w:before="0" w:after="283"/>
              <w:jc w:val="left"/>
              <w:rPr>
                <w:sz w:val="4"/>
                <w:szCs w:val="4"/>
              </w:rPr>
            </w:pPr>
            <w:r>
              <w:rPr>
                <w:sz w:val="4"/>
                <w:szCs w:val="4"/>
              </w:rPr>
            </w:r>
          </w:p>
        </w:tc>
      </w:tr>
      <w:tr>
        <w:trPr/>
        <w:tc>
          <w:tcPr>
            <w:tcW w:w="8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Amended and Restated Certificate of Incorporation of Rapport Therapeutics, Inc. (incorporated by reference to Exhibit 3.1 to the Company’s Current Report on Form 8-K filed on June 10, 2024).</w:t>
              </w:r>
            </w:hyperlink>
            <w:r>
              <w:rPr>
                <w:rFonts w:ascii="Times New Roman" w:hAnsi="Times New Roman"/>
                <w:color w:val="000000"/>
                <w:sz w:val="20"/>
              </w:rPr>
              <w:t xml:space="preserve"> </w:t>
            </w:r>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Rapport Therapeutics, Inc. (incorporated by reference to Exhibit 3.2 to The Company’s Current Report on Form 8-K filed on June 10, 2024).</w:t>
              </w:r>
            </w:hyperlink>
            <w:hyperlink r:id="rId4">
              <w:r>
                <w:rPr>
                  <w:rStyle w:val="InternetLink"/>
                  <w:rFonts w:ascii="Times New Roman" w:hAnsi="Times New Roman"/>
                  <w:color w:val="0000FF"/>
                  <w:sz w:val="20"/>
                </w:rPr>
                <w:t xml:space="preserve"> </w:t>
              </w:r>
            </w:hyperlink>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Common Stock Certificate (incorporated by reference to Exhibit 4.1 to the Company’s Registration Statement on Form S-1 filed on May 17, 2024).</w:t>
              </w:r>
            </w:hyperlink>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by and among the Company and certain of its stockholders, dated as of August 7, 2023 (incorporated by reference to Exhibit 4.2 to the Company’s Registration Statement on Form S-1 filed on May 17, 2024).</w:t>
              </w:r>
            </w:hyperlink>
            <w:hyperlink r:id="rId7">
              <w:r>
                <w:rPr>
                  <w:rStyle w:val="InternetLink"/>
                  <w:rFonts w:ascii="Times New Roman" w:hAnsi="Times New Roman"/>
                  <w:color w:val="0000FF"/>
                  <w:sz w:val="20"/>
                </w:rPr>
                <w:t xml:space="preserve"> </w:t>
              </w:r>
            </w:hyperlink>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pp-ex10_1.htm">
              <w:r>
                <w:rPr>
                  <w:rStyle w:val="InternetLink"/>
                  <w:rFonts w:ascii="Times New Roman" w:hAnsi="Times New Roman"/>
                  <w:color w:val="0000FF"/>
                  <w:sz w:val="20"/>
                  <w:u w:val="single"/>
                </w:rPr>
                <w:t>Amended and Restated Non-Employee Director Compensation Policy, effective as of June 10, 2026.</w:t>
              </w:r>
            </w:hyperlink>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pp-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rapp-ex31_1.htm">
              <w:r>
                <w:rPr>
                  <w:rStyle w:val="InternetLink"/>
                  <w:rFonts w:ascii="Times New Roman" w:hAnsi="Times New Roman"/>
                  <w:color w:val="0000FF"/>
                  <w:sz w:val="20"/>
                </w:rPr>
                <w:t xml:space="preserve"> </w:t>
              </w:r>
            </w:hyperlink>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pp-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pp-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846"/>
        <w:gridCol w:w="146"/>
        <w:gridCol w:w="406"/>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Rapport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Abraham N. Ceesay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Abraham N. Ceesay,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464" w:type="dxa"/>
        <w:jc w:val="left"/>
        <w:tblInd w:w="0" w:type="dxa"/>
        <w:tblLayout w:type="fixed"/>
        <w:tblCellMar>
          <w:top w:w="28" w:type="dxa"/>
          <w:left w:w="28" w:type="dxa"/>
          <w:bottom w:w="28" w:type="dxa"/>
          <w:right w:w="28" w:type="dxa"/>
        </w:tblCellMar>
      </w:tblPr>
      <w:tblGrid>
        <w:gridCol w:w="1846"/>
        <w:gridCol w:w="146"/>
        <w:gridCol w:w="406"/>
        <w:gridCol w:w="40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Troy Ignelzi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Troy Ignelzi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Chief Financial Officer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rapp-ex10_1.htm"/>
      <w:bookmarkStart w:id="22" w:name="ksrappex10_1"/>
      <w:bookmarkEnd w:id="21"/>
      <w:bookmarkEnd w:id="22"/>
      <w:r>
        <w:rPr>
          <w:rFonts w:ascii="Times New Roman" w:hAnsi="Times New Roman"/>
          <w:b/>
          <w:color w:val="000000"/>
          <w:sz w:val="24"/>
        </w:rPr>
        <w:t>Exhibit 10.1</w:t>
      </w:r>
      <w:r>
        <w:br w:type="page"/>
      </w:r>
    </w:p>
    <w:p>
      <w:pPr>
        <w:pStyle w:val="TextBody"/>
        <w:bidi w:val="0"/>
        <w:spacing w:before="0" w:after="240"/>
        <w:jc w:val="center"/>
        <w:rPr>
          <w:rFonts w:ascii="Times New Roman" w:hAnsi="Times New Roman"/>
          <w:sz w:val="20"/>
        </w:rPr>
      </w:pPr>
      <w:r>
        <w:rPr>
          <w:rFonts w:ascii="Times New Roman" w:hAnsi="Times New Roman"/>
          <w:b/>
          <w:caps/>
          <w:color w:val="000000"/>
          <w:sz w:val="28"/>
        </w:rPr>
        <w:t>Rapport Therapeutics, INC.</w:t>
        <w:br/>
      </w:r>
      <w:r>
        <w:rPr>
          <w:rFonts w:ascii="Times New Roman" w:hAnsi="Times New Roman"/>
          <w:b/>
          <w:color w:val="000000"/>
          <w:sz w:val="28"/>
        </w:rPr>
        <w:t>SECOND AMENDED AND RESTATED NON-EMPLOYEE DIRECTOR COMPENSATION POLICY</w:t>
      </w:r>
    </w:p>
    <w:p>
      <w:pPr>
        <w:pStyle w:val="TextBody"/>
        <w:bidi w:val="0"/>
        <w:spacing w:before="0" w:after="24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Second Amended and Restated Non-Employee Director</w:t>
      </w:r>
      <w:r>
        <w:rPr>
          <w:rFonts w:ascii="Times New Roman" w:hAnsi="Times New Roman"/>
          <w:color w:val="000000"/>
          <w:sz w:val="20"/>
        </w:rPr>
        <w:t xml:space="preserve"> </w:t>
      </w:r>
      <w:r>
        <w:rPr>
          <w:rFonts w:ascii="Times New Roman" w:hAnsi="Times New Roman"/>
          <w:color w:val="000000"/>
          <w:sz w:val="24"/>
        </w:rPr>
        <w:t>Compensation</w:t>
      </w:r>
      <w:r>
        <w:rPr>
          <w:rFonts w:ascii="Times New Roman" w:hAnsi="Times New Roman"/>
          <w:color w:val="000000"/>
          <w:sz w:val="20"/>
        </w:rPr>
        <w:t xml:space="preserve"> </w:t>
      </w:r>
      <w:r>
        <w:rPr>
          <w:rFonts w:ascii="Times New Roman" w:hAnsi="Times New Roman"/>
          <w:color w:val="000000"/>
          <w:sz w:val="24"/>
        </w:rPr>
        <w:t>Policy (the “Policy”) of Rapport Therapeutics, Inc., a Delaware corporation (the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to provide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total</w:t>
      </w:r>
      <w:r>
        <w:rPr>
          <w:rFonts w:ascii="Times New Roman" w:hAnsi="Times New Roman"/>
          <w:color w:val="000000"/>
          <w:sz w:val="20"/>
        </w:rPr>
        <w:t xml:space="preserve"> </w:t>
      </w:r>
      <w:r>
        <w:rPr>
          <w:rFonts w:ascii="Times New Roman" w:hAnsi="Times New Roman"/>
          <w:color w:val="000000"/>
          <w:sz w:val="24"/>
        </w:rPr>
        <w:t>compensation</w:t>
      </w:r>
      <w:r>
        <w:rPr>
          <w:rFonts w:ascii="Times New Roman" w:hAnsi="Times New Roman"/>
          <w:color w:val="000000"/>
          <w:sz w:val="20"/>
        </w:rPr>
        <w:t xml:space="preserve"> </w:t>
      </w:r>
      <w:r>
        <w:rPr>
          <w:rFonts w:ascii="Times New Roman" w:hAnsi="Times New Roman"/>
          <w:color w:val="000000"/>
          <w:sz w:val="24"/>
        </w:rPr>
        <w:t>package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enables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 to</w:t>
      </w:r>
      <w:r>
        <w:rPr>
          <w:rFonts w:ascii="Times New Roman" w:hAnsi="Times New Roman"/>
          <w:color w:val="000000"/>
          <w:sz w:val="20"/>
        </w:rPr>
        <w:t xml:space="preserve"> </w:t>
      </w:r>
      <w:r>
        <w:rPr>
          <w:rFonts w:ascii="Times New Roman" w:hAnsi="Times New Roman"/>
          <w:color w:val="000000"/>
          <w:sz w:val="24"/>
        </w:rPr>
        <w:t>attract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retain,</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long-term</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high-caliber</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who</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employees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officers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 or</w:t>
      </w:r>
      <w:r>
        <w:rPr>
          <w:rFonts w:ascii="Times New Roman" w:hAnsi="Times New Roman"/>
          <w:color w:val="000000"/>
          <w:sz w:val="20"/>
        </w:rPr>
        <w:t xml:space="preserve"> </w:t>
      </w:r>
      <w:r>
        <w:rPr>
          <w:rFonts w:ascii="Times New Roman" w:hAnsi="Times New Roman"/>
          <w:color w:val="000000"/>
          <w:sz w:val="24"/>
        </w:rPr>
        <w:t xml:space="preserve">its subsidiaries (“Outside Directors”). </w:t>
      </w:r>
      <w:r>
        <w:rPr>
          <w:rFonts w:ascii="Times New Roman" w:hAnsi="Times New Roman"/>
          <w:color w:val="000000"/>
          <w:sz w:val="23"/>
        </w:rPr>
        <w:t xml:space="preserve">This Policy became effective on June 6, 2024 (the “Effective Date”).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furtherance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 stated</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Outside Directors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 paid compensation for services provided to 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as Outside Directors as set forth below:</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Cash Retainers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Annual</w:t>
      </w:r>
      <w:r>
        <w:rPr>
          <w:rFonts w:ascii="Times New Roman" w:hAnsi="Times New Roman"/>
          <w:color w:val="000000"/>
          <w:sz w:val="20"/>
          <w:u w:val="single"/>
        </w:rPr>
        <w:t xml:space="preserve"> </w:t>
      </w:r>
      <w:r>
        <w:rPr>
          <w:rFonts w:ascii="Times New Roman" w:hAnsi="Times New Roman"/>
          <w:color w:val="000000"/>
          <w:sz w:val="24"/>
          <w:u w:val="single"/>
        </w:rPr>
        <w:t>Retainer</w:t>
      </w:r>
      <w:r>
        <w:rPr>
          <w:rFonts w:ascii="Times New Roman" w:hAnsi="Times New Roman"/>
          <w:color w:val="000000"/>
          <w:sz w:val="20"/>
          <w:u w:val="single"/>
        </w:rPr>
        <w:t xml:space="preserve"> </w:t>
      </w:r>
      <w:r>
        <w:rPr>
          <w:rFonts w:ascii="Times New Roman" w:hAnsi="Times New Roman"/>
          <w:color w:val="000000"/>
          <w:sz w:val="24"/>
          <w:u w:val="single"/>
        </w:rPr>
        <w:t>for</w:t>
      </w:r>
      <w:r>
        <w:rPr>
          <w:rFonts w:ascii="Times New Roman" w:hAnsi="Times New Roman"/>
          <w:color w:val="000000"/>
          <w:sz w:val="20"/>
          <w:u w:val="single"/>
        </w:rPr>
        <w:t xml:space="preserve"> </w:t>
      </w:r>
      <w:r>
        <w:rPr>
          <w:rFonts w:ascii="Times New Roman" w:hAnsi="Times New Roman"/>
          <w:color w:val="000000"/>
          <w:sz w:val="24"/>
          <w:u w:val="single"/>
        </w:rPr>
        <w:t>Board</w:t>
      </w:r>
      <w:r>
        <w:rPr>
          <w:rFonts w:ascii="Times New Roman" w:hAnsi="Times New Roman"/>
          <w:color w:val="000000"/>
          <w:sz w:val="20"/>
          <w:u w:val="single"/>
        </w:rPr>
        <w:t xml:space="preserve"> </w:t>
      </w:r>
      <w:r>
        <w:rPr>
          <w:rFonts w:ascii="Times New Roman" w:hAnsi="Times New Roman"/>
          <w:color w:val="000000"/>
          <w:sz w:val="24"/>
          <w:u w:val="single"/>
        </w:rPr>
        <w:t>Membership</w:t>
      </w:r>
      <w:r>
        <w:rPr>
          <w:rFonts w:ascii="Times New Roman" w:hAnsi="Times New Roman"/>
          <w:color w:val="000000"/>
          <w:sz w:val="24"/>
        </w:rPr>
        <w:t>: $40,000 for</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availability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participation</w:t>
      </w:r>
      <w:r>
        <w:rPr>
          <w:rFonts w:ascii="Times New Roman" w:hAnsi="Times New Roman"/>
          <w:color w:val="000000"/>
          <w:sz w:val="20"/>
        </w:rPr>
        <w:t xml:space="preserve"> </w:t>
      </w:r>
      <w:r>
        <w:rPr>
          <w:rFonts w:ascii="Times New Roman" w:hAnsi="Times New Roman"/>
          <w:color w:val="000000"/>
          <w:sz w:val="24"/>
        </w:rPr>
        <w:t>in meetings and</w:t>
      </w:r>
      <w:r>
        <w:rPr>
          <w:rFonts w:ascii="Times New Roman" w:hAnsi="Times New Roman"/>
          <w:color w:val="000000"/>
          <w:sz w:val="20"/>
        </w:rPr>
        <w:t xml:space="preserve"> </w:t>
      </w:r>
      <w:r>
        <w:rPr>
          <w:rFonts w:ascii="Times New Roman" w:hAnsi="Times New Roman"/>
          <w:color w:val="000000"/>
          <w:sz w:val="24"/>
        </w:rPr>
        <w:t>conference</w:t>
      </w:r>
      <w:r>
        <w:rPr>
          <w:rFonts w:ascii="Times New Roman" w:hAnsi="Times New Roman"/>
          <w:color w:val="000000"/>
          <w:sz w:val="20"/>
        </w:rPr>
        <w:t xml:space="preserve"> </w:t>
      </w:r>
      <w:r>
        <w:rPr>
          <w:rFonts w:ascii="Times New Roman" w:hAnsi="Times New Roman"/>
          <w:color w:val="000000"/>
          <w:sz w:val="24"/>
        </w:rPr>
        <w:t>calls of our</w:t>
      </w:r>
      <w:r>
        <w:rPr>
          <w:rFonts w:ascii="Times New Roman" w:hAnsi="Times New Roman"/>
          <w:color w:val="000000"/>
          <w:sz w:val="20"/>
        </w:rPr>
        <w:t xml:space="preserve"> </w:t>
      </w:r>
      <w:r>
        <w:rPr>
          <w:rFonts w:ascii="Times New Roman" w:hAnsi="Times New Roman"/>
          <w:color w:val="000000"/>
          <w:sz w:val="24"/>
        </w:rPr>
        <w:t>Board of Directors, to be paid quarterly in arrears, pro-rated based on the number of actual days served by the director during such calendar quarter. No additional compensation will be paid for attending individual meetings of the Board of Directors.</w:t>
      </w:r>
    </w:p>
    <w:p>
      <w:pPr>
        <w:pStyle w:val="TextBody"/>
        <w:bidi w:val="0"/>
        <w:spacing w:before="0" w:after="240"/>
        <w:jc w:val="left"/>
        <w:rPr>
          <w:rFonts w:ascii="Times New Roman" w:hAnsi="Times New Roman"/>
          <w:sz w:val="20"/>
        </w:rPr>
      </w:pPr>
      <w:r>
        <w:rPr>
          <w:rFonts w:ascii="Times New Roman" w:hAnsi="Times New Roman"/>
          <w:color w:val="000000"/>
          <w:sz w:val="24"/>
          <w:u w:val="single"/>
        </w:rPr>
        <w:t>Additional Annual Retainer for</w:t>
      </w:r>
      <w:r>
        <w:rPr>
          <w:rFonts w:ascii="Times New Roman" w:hAnsi="Times New Roman"/>
          <w:color w:val="000000"/>
          <w:sz w:val="20"/>
          <w:u w:val="single"/>
        </w:rPr>
        <w:t xml:space="preserve"> </w:t>
      </w:r>
      <w:r>
        <w:rPr>
          <w:rFonts w:ascii="Times New Roman" w:hAnsi="Times New Roman"/>
          <w:color w:val="000000"/>
          <w:sz w:val="24"/>
          <w:u w:val="single"/>
        </w:rPr>
        <w:t>Non-Executive Chair:</w:t>
      </w:r>
      <w:r>
        <w:rPr>
          <w:rFonts w:ascii="Times New Roman" w:hAnsi="Times New Roman"/>
          <w:color w:val="000000"/>
          <w:sz w:val="20"/>
        </w:rPr>
        <w:t xml:space="preserve"> </w:t>
      </w:r>
      <w:r>
        <w:rPr>
          <w:rFonts w:ascii="Times New Roman" w:hAnsi="Times New Roman"/>
          <w:color w:val="000000"/>
          <w:sz w:val="24"/>
        </w:rPr>
        <w:t>$35,000</w:t>
      </w:r>
    </w:p>
    <w:p>
      <w:pPr>
        <w:pStyle w:val="TextBody"/>
        <w:bidi w:val="0"/>
        <w:spacing w:before="0" w:after="240"/>
        <w:jc w:val="left"/>
        <w:rPr>
          <w:rFonts w:ascii="Times New Roman" w:hAnsi="Times New Roman"/>
          <w:sz w:val="20"/>
        </w:rPr>
      </w:pPr>
      <w:r>
        <w:rPr>
          <w:rFonts w:ascii="Times New Roman" w:hAnsi="Times New Roman"/>
          <w:color w:val="000000"/>
          <w:sz w:val="24"/>
          <w:u w:val="single"/>
        </w:rPr>
        <w:t>Additional Annual Retainers for</w:t>
      </w:r>
      <w:r>
        <w:rPr>
          <w:rFonts w:ascii="Times New Roman" w:hAnsi="Times New Roman"/>
          <w:color w:val="000000"/>
          <w:sz w:val="20"/>
          <w:u w:val="single"/>
        </w:rPr>
        <w:t xml:space="preserve"> </w:t>
      </w:r>
      <w:r>
        <w:rPr>
          <w:rFonts w:ascii="Times New Roman" w:hAnsi="Times New Roman"/>
          <w:color w:val="000000"/>
          <w:sz w:val="24"/>
          <w:u w:val="single"/>
        </w:rPr>
        <w:t>Committee</w:t>
      </w:r>
      <w:r>
        <w:rPr>
          <w:rFonts w:ascii="Times New Roman" w:hAnsi="Times New Roman"/>
          <w:color w:val="000000"/>
          <w:sz w:val="20"/>
          <w:u w:val="single"/>
        </w:rPr>
        <w:t xml:space="preserve"> </w:t>
      </w:r>
      <w:r>
        <w:rPr>
          <w:rFonts w:ascii="Times New Roman" w:hAnsi="Times New Roman"/>
          <w:color w:val="000000"/>
          <w:sz w:val="24"/>
          <w:u w:val="single"/>
        </w:rPr>
        <w:t>Membership</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Audit Committee</w:t>
      </w:r>
      <w:r>
        <w:rPr>
          <w:rFonts w:ascii="Times New Roman" w:hAnsi="Times New Roman"/>
          <w:color w:val="000000"/>
          <w:sz w:val="20"/>
        </w:rPr>
        <w:t xml:space="preserve"> </w:t>
      </w:r>
      <w:r>
        <w:rPr>
          <w:rFonts w:ascii="Times New Roman" w:hAnsi="Times New Roman"/>
          <w:color w:val="000000"/>
          <w:sz w:val="24"/>
        </w:rPr>
        <w:t>Chairperson: $20,000</w:t>
      </w:r>
    </w:p>
    <w:p>
      <w:pPr>
        <w:pStyle w:val="TextBody"/>
        <w:bidi w:val="0"/>
        <w:spacing w:before="0" w:after="240"/>
        <w:jc w:val="left"/>
        <w:rPr>
          <w:rFonts w:ascii="Times New Roman" w:hAnsi="Times New Roman"/>
          <w:sz w:val="20"/>
        </w:rPr>
      </w:pPr>
      <w:r>
        <w:rPr>
          <w:rFonts w:ascii="Times New Roman" w:hAnsi="Times New Roman"/>
          <w:color w:val="000000"/>
          <w:sz w:val="24"/>
        </w:rPr>
        <w:t>Audit Committee</w:t>
      </w:r>
      <w:r>
        <w:rPr>
          <w:rFonts w:ascii="Times New Roman" w:hAnsi="Times New Roman"/>
          <w:color w:val="000000"/>
          <w:sz w:val="20"/>
        </w:rPr>
        <w:t xml:space="preserve"> </w:t>
      </w:r>
      <w:r>
        <w:rPr>
          <w:rFonts w:ascii="Times New Roman" w:hAnsi="Times New Roman"/>
          <w:color w:val="000000"/>
          <w:sz w:val="24"/>
        </w:rPr>
        <w:t>member (other than Chairperson): $10,000</w:t>
      </w:r>
    </w:p>
    <w:p>
      <w:pPr>
        <w:pStyle w:val="TextBody"/>
        <w:bidi w:val="0"/>
        <w:spacing w:before="0" w:after="240"/>
        <w:jc w:val="left"/>
        <w:rPr>
          <w:rFonts w:ascii="Times New Roman" w:hAnsi="Times New Roman"/>
          <w:sz w:val="20"/>
        </w:rPr>
      </w:pPr>
      <w:r>
        <w:rPr>
          <w:rFonts w:ascii="Times New Roman" w:hAnsi="Times New Roman"/>
          <w:color w:val="000000"/>
          <w:sz w:val="24"/>
        </w:rPr>
        <w:t>Compensation Committee</w:t>
      </w:r>
      <w:r>
        <w:rPr>
          <w:rFonts w:ascii="Times New Roman" w:hAnsi="Times New Roman"/>
          <w:color w:val="000000"/>
          <w:sz w:val="20"/>
        </w:rPr>
        <w:t xml:space="preserve"> </w:t>
      </w:r>
      <w:r>
        <w:rPr>
          <w:rFonts w:ascii="Times New Roman" w:hAnsi="Times New Roman"/>
          <w:color w:val="000000"/>
          <w:sz w:val="24"/>
        </w:rPr>
        <w:t>Chairperson: $15,000</w:t>
      </w:r>
    </w:p>
    <w:p>
      <w:pPr>
        <w:pStyle w:val="TextBody"/>
        <w:bidi w:val="0"/>
        <w:spacing w:before="0" w:after="240"/>
        <w:jc w:val="left"/>
        <w:rPr>
          <w:rFonts w:ascii="Times New Roman" w:hAnsi="Times New Roman"/>
          <w:sz w:val="20"/>
        </w:rPr>
      </w:pPr>
      <w:r>
        <w:rPr>
          <w:rFonts w:ascii="Times New Roman" w:hAnsi="Times New Roman"/>
          <w:color w:val="000000"/>
          <w:sz w:val="24"/>
        </w:rPr>
        <w:t>Compensation Committee</w:t>
      </w:r>
      <w:r>
        <w:rPr>
          <w:rFonts w:ascii="Times New Roman" w:hAnsi="Times New Roman"/>
          <w:color w:val="000000"/>
          <w:sz w:val="20"/>
        </w:rPr>
        <w:t xml:space="preserve"> </w:t>
      </w:r>
      <w:r>
        <w:rPr>
          <w:rFonts w:ascii="Times New Roman" w:hAnsi="Times New Roman"/>
          <w:color w:val="000000"/>
          <w:sz w:val="24"/>
        </w:rPr>
        <w:t>member (other than Chairperson): $7,500</w:t>
      </w:r>
    </w:p>
    <w:p>
      <w:pPr>
        <w:pStyle w:val="TextBody"/>
        <w:bidi w:val="0"/>
        <w:spacing w:before="0" w:after="240"/>
        <w:jc w:val="left"/>
        <w:rPr>
          <w:rFonts w:ascii="Times New Roman" w:hAnsi="Times New Roman"/>
          <w:sz w:val="20"/>
        </w:rPr>
      </w:pPr>
      <w:r>
        <w:rPr>
          <w:rFonts w:ascii="Times New Roman" w:hAnsi="Times New Roman"/>
          <w:color w:val="000000"/>
          <w:sz w:val="24"/>
        </w:rPr>
        <w:t>Nominating</w:t>
      </w:r>
      <w:r>
        <w:rPr>
          <w:rFonts w:ascii="Times New Roman" w:hAnsi="Times New Roman"/>
          <w:color w:val="000000"/>
          <w:sz w:val="20"/>
        </w:rPr>
        <w:t xml:space="preserve"> </w:t>
      </w:r>
      <w:r>
        <w:rPr>
          <w:rFonts w:ascii="Times New Roman" w:hAnsi="Times New Roman"/>
          <w:color w:val="000000"/>
          <w:sz w:val="24"/>
        </w:rPr>
        <w:t>and Corporate Governance</w:t>
      </w:r>
      <w:r>
        <w:rPr>
          <w:rFonts w:ascii="Times New Roman" w:hAnsi="Times New Roman"/>
          <w:color w:val="000000"/>
          <w:sz w:val="20"/>
        </w:rPr>
        <w:t xml:space="preserve"> </w:t>
      </w:r>
      <w:r>
        <w:rPr>
          <w:rFonts w:ascii="Times New Roman" w:hAnsi="Times New Roman"/>
          <w:color w:val="000000"/>
          <w:sz w:val="24"/>
        </w:rPr>
        <w:t>Committee</w:t>
      </w:r>
      <w:r>
        <w:rPr>
          <w:rFonts w:ascii="Times New Roman" w:hAnsi="Times New Roman"/>
          <w:color w:val="000000"/>
          <w:sz w:val="20"/>
        </w:rPr>
        <w:t xml:space="preserve"> </w:t>
      </w:r>
      <w:r>
        <w:rPr>
          <w:rFonts w:ascii="Times New Roman" w:hAnsi="Times New Roman"/>
          <w:color w:val="000000"/>
          <w:sz w:val="24"/>
        </w:rPr>
        <w:t>Chairperson: $10,000</w:t>
      </w:r>
    </w:p>
    <w:p>
      <w:pPr>
        <w:pStyle w:val="TextBody"/>
        <w:bidi w:val="0"/>
        <w:spacing w:before="0" w:after="240"/>
        <w:jc w:val="left"/>
        <w:rPr>
          <w:rFonts w:ascii="Times New Roman" w:hAnsi="Times New Roman"/>
          <w:sz w:val="20"/>
        </w:rPr>
      </w:pPr>
      <w:r>
        <w:rPr>
          <w:rFonts w:ascii="Times New Roman" w:hAnsi="Times New Roman"/>
          <w:color w:val="000000"/>
          <w:sz w:val="24"/>
        </w:rPr>
        <w:t>Nominating</w:t>
      </w:r>
      <w:r>
        <w:rPr>
          <w:rFonts w:ascii="Times New Roman" w:hAnsi="Times New Roman"/>
          <w:color w:val="000000"/>
          <w:sz w:val="20"/>
        </w:rPr>
        <w:t xml:space="preserve"> </w:t>
      </w:r>
      <w:r>
        <w:rPr>
          <w:rFonts w:ascii="Times New Roman" w:hAnsi="Times New Roman"/>
          <w:color w:val="000000"/>
          <w:sz w:val="24"/>
        </w:rPr>
        <w:t>and Corporate Governance</w:t>
      </w:r>
      <w:r>
        <w:rPr>
          <w:rFonts w:ascii="Times New Roman" w:hAnsi="Times New Roman"/>
          <w:color w:val="000000"/>
          <w:sz w:val="20"/>
        </w:rPr>
        <w:t xml:space="preserve"> </w:t>
      </w:r>
      <w:r>
        <w:rPr>
          <w:rFonts w:ascii="Times New Roman" w:hAnsi="Times New Roman"/>
          <w:color w:val="000000"/>
          <w:sz w:val="24"/>
        </w:rPr>
        <w:t>Committee</w:t>
      </w:r>
      <w:r>
        <w:rPr>
          <w:rFonts w:ascii="Times New Roman" w:hAnsi="Times New Roman"/>
          <w:color w:val="000000"/>
          <w:sz w:val="20"/>
        </w:rPr>
        <w:t xml:space="preserve"> </w:t>
      </w:r>
      <w:r>
        <w:rPr>
          <w:rFonts w:ascii="Times New Roman" w:hAnsi="Times New Roman"/>
          <w:color w:val="000000"/>
          <w:sz w:val="24"/>
        </w:rPr>
        <w:t>member (other than Chairperson): $5,000</w:t>
      </w:r>
    </w:p>
    <w:p>
      <w:pPr>
        <w:pStyle w:val="TextBody"/>
        <w:bidi w:val="0"/>
        <w:spacing w:before="0" w:after="240"/>
        <w:jc w:val="left"/>
        <w:rPr>
          <w:rFonts w:ascii="Times New Roman" w:hAnsi="Times New Roman"/>
          <w:sz w:val="20"/>
        </w:rPr>
      </w:pPr>
      <w:r>
        <w:rPr>
          <w:rFonts w:ascii="Times New Roman" w:hAnsi="Times New Roman"/>
          <w:color w:val="000000"/>
          <w:sz w:val="24"/>
        </w:rPr>
        <w:t>Science &amp; Technology</w:t>
      </w:r>
      <w:r>
        <w:rPr>
          <w:rFonts w:ascii="Times New Roman" w:hAnsi="Times New Roman"/>
          <w:color w:val="000000"/>
          <w:sz w:val="20"/>
        </w:rPr>
        <w:t xml:space="preserve"> </w:t>
      </w:r>
      <w:r>
        <w:rPr>
          <w:rFonts w:ascii="Times New Roman" w:hAnsi="Times New Roman"/>
          <w:color w:val="000000"/>
          <w:sz w:val="24"/>
        </w:rPr>
        <w:t>Committee</w:t>
      </w:r>
      <w:r>
        <w:rPr>
          <w:rFonts w:ascii="Times New Roman" w:hAnsi="Times New Roman"/>
          <w:color w:val="000000"/>
          <w:sz w:val="20"/>
        </w:rPr>
        <w:t xml:space="preserve"> </w:t>
      </w:r>
      <w:r>
        <w:rPr>
          <w:rFonts w:ascii="Times New Roman" w:hAnsi="Times New Roman"/>
          <w:color w:val="000000"/>
          <w:sz w:val="24"/>
        </w:rPr>
        <w:t>Chairperson: $15,000</w:t>
      </w:r>
    </w:p>
    <w:p>
      <w:pPr>
        <w:pStyle w:val="TextBody"/>
        <w:bidi w:val="0"/>
        <w:spacing w:before="0" w:after="240"/>
        <w:jc w:val="left"/>
        <w:rPr>
          <w:rFonts w:ascii="Times New Roman" w:hAnsi="Times New Roman"/>
          <w:sz w:val="20"/>
        </w:rPr>
      </w:pPr>
      <w:r>
        <w:rPr>
          <w:rFonts w:ascii="Times New Roman" w:hAnsi="Times New Roman"/>
          <w:color w:val="000000"/>
          <w:sz w:val="24"/>
        </w:rPr>
        <w:t>Science &amp; Technology</w:t>
      </w:r>
      <w:r>
        <w:rPr>
          <w:rFonts w:ascii="Times New Roman" w:hAnsi="Times New Roman"/>
          <w:color w:val="000000"/>
          <w:sz w:val="20"/>
        </w:rPr>
        <w:t xml:space="preserve"> </w:t>
      </w:r>
      <w:r>
        <w:rPr>
          <w:rFonts w:ascii="Times New Roman" w:hAnsi="Times New Roman"/>
          <w:color w:val="000000"/>
          <w:sz w:val="24"/>
        </w:rPr>
        <w:t>Committee</w:t>
      </w:r>
      <w:r>
        <w:rPr>
          <w:rFonts w:ascii="Times New Roman" w:hAnsi="Times New Roman"/>
          <w:color w:val="000000"/>
          <w:sz w:val="20"/>
        </w:rPr>
        <w:t xml:space="preserve"> </w:t>
      </w:r>
      <w:r>
        <w:rPr>
          <w:rFonts w:ascii="Times New Roman" w:hAnsi="Times New Roman"/>
          <w:color w:val="000000"/>
          <w:sz w:val="24"/>
        </w:rPr>
        <w:t>member (other than Chairperson): $7,500</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Equity Retainers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grants of equity retainer awards to Outside Directors pursuant to this Policy will be automatic and nondiscretionary and will be made in accordance with the following provisions: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Initial Award</w:t>
      </w:r>
      <w:r>
        <w:rPr>
          <w:rFonts w:ascii="Times New Roman" w:hAnsi="Times New Roman"/>
          <w:color w:val="000000"/>
          <w:sz w:val="24"/>
        </w:rPr>
        <w:t>: Upon his or her initial election to the Board of Directors, each Outside Director will receive an initial, one-time stock option award (the “Initial Award”) to purchase 30,400 shares, which shall vest over three years, with first vesting to occur on the first anniversary of the vesting commencement date and monthly vesting thereafter, provided, however, that all vesting shall cease if the director resigns from the Board of Directors or otherwise ceases to serve as on the Board of Directors of the Company, unless the Board of Directors determines that the circumstances warrant continuation of vesting. The Initial Award shall expire ten years from the date of grant, and shall have a per share exercise price equal to the Fair Market Value (as defined in the Company’s 2024 Stock Option and Incentive Plan, as amended from time to time) of the Company’s common stock on the date of grant. This Initial Award applies only to Outside Directors who are first elected to the Board of Directors subsequent to the Effective Date.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Annual Award</w:t>
      </w:r>
      <w:r>
        <w:rPr>
          <w:rFonts w:ascii="Times New Roman" w:hAnsi="Times New Roman"/>
          <w:color w:val="000000"/>
          <w:sz w:val="24"/>
        </w:rPr>
        <w:t>: On each date of each Annual Meeting of Stockholders of the Company following the Effective Date (the “Annual Meeting”), each continuing Outside Director, other than a director receiving an Initial Award, will receive an annual stock option award (the “Annual Award”) to purchase 15,200 shares, which shall vest in full upon the earlier of (i) the first anniversary of the date of grant or (ii) the date of the next Annual Meeting; provided, however, that all vesting shall cease if the director resigns from the Board of Directors or otherwise ceases to serve on the Board of Directors of the Company, unless the Board of Directors determines that the circumstances warrant continuation of vesting; provided further that, in the case of an Annual Award to an Outside Director appointed to the Board in the 12 months prior to the Annual Meeting of Stockholders, the Annual Award shall be prorated by multiplying the Annual Award by a fraction, the numerator of which is the number of full months that have elapsed between the date the Outside Director was appointed and the date of the Annual Meeting and the denominator of which is 12. Such Annual Award shall expire ten years from the date of grant, and shall have a per share exercise price equal to the Fair Market Value of the Company’s common stock on the date of grant.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Sale Event Acceleration</w:t>
      </w:r>
      <w:r>
        <w:rPr>
          <w:rFonts w:ascii="Times New Roman" w:hAnsi="Times New Roman"/>
          <w:color w:val="000000"/>
          <w:sz w:val="24"/>
        </w:rPr>
        <w:t>: All outstanding Initial Awards and Annual Awards held by an Outside Director shall become fully vested, exercisable (if applicable) and nonforfeitable upon a Sale Event (as defined in the Company’s 2024 Stock Option and Incentive Plan, as amended from time to time).</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Expenses</w:t>
      </w:r>
    </w:p>
    <w:p>
      <w:pPr>
        <w:pStyle w:val="TextBody"/>
        <w:bidi w:val="0"/>
        <w:spacing w:before="0" w:after="24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reimburse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reasonable</w:t>
      </w:r>
      <w:r>
        <w:rPr>
          <w:rFonts w:ascii="Times New Roman" w:hAnsi="Times New Roman"/>
          <w:color w:val="000000"/>
          <w:sz w:val="20"/>
        </w:rPr>
        <w:t xml:space="preserve"> </w:t>
      </w:r>
      <w:r>
        <w:rPr>
          <w:rFonts w:ascii="Times New Roman" w:hAnsi="Times New Roman"/>
          <w:color w:val="000000"/>
          <w:sz w:val="24"/>
        </w:rPr>
        <w:t>out-of-pocket</w:t>
      </w:r>
      <w:r>
        <w:rPr>
          <w:rFonts w:ascii="Times New Roman" w:hAnsi="Times New Roman"/>
          <w:color w:val="000000"/>
          <w:sz w:val="20"/>
        </w:rPr>
        <w:t xml:space="preserve"> </w:t>
      </w:r>
      <w:r>
        <w:rPr>
          <w:rFonts w:ascii="Times New Roman" w:hAnsi="Times New Roman"/>
          <w:color w:val="000000"/>
          <w:sz w:val="24"/>
        </w:rPr>
        <w:t>expenses</w:t>
      </w:r>
      <w:r>
        <w:rPr>
          <w:rFonts w:ascii="Times New Roman" w:hAnsi="Times New Roman"/>
          <w:color w:val="000000"/>
          <w:sz w:val="20"/>
        </w:rPr>
        <w:t xml:space="preserve"> </w:t>
      </w:r>
      <w:r>
        <w:rPr>
          <w:rFonts w:ascii="Times New Roman" w:hAnsi="Times New Roman"/>
          <w:color w:val="000000"/>
          <w:sz w:val="24"/>
        </w:rPr>
        <w:t>incurred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Outside Directors in attending</w:t>
      </w:r>
      <w:r>
        <w:rPr>
          <w:rFonts w:ascii="Times New Roman" w:hAnsi="Times New Roman"/>
          <w:color w:val="000000"/>
          <w:sz w:val="20"/>
        </w:rPr>
        <w:t xml:space="preserve"> </w:t>
      </w:r>
      <w:r>
        <w:rPr>
          <w:rFonts w:ascii="Times New Roman" w:hAnsi="Times New Roman"/>
          <w:color w:val="000000"/>
          <w:sz w:val="24"/>
        </w:rPr>
        <w:t>meetings of the</w:t>
      </w:r>
      <w:r>
        <w:rPr>
          <w:rFonts w:ascii="Times New Roman" w:hAnsi="Times New Roman"/>
          <w:color w:val="000000"/>
          <w:sz w:val="20"/>
        </w:rPr>
        <w:t xml:space="preserve"> </w:t>
      </w:r>
      <w:r>
        <w:rPr>
          <w:rFonts w:ascii="Times New Roman" w:hAnsi="Times New Roman"/>
          <w:color w:val="000000"/>
          <w:sz w:val="24"/>
        </w:rPr>
        <w:t>Board of Directors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committee thereof.</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Maximum Annual Compensation</w:t>
      </w:r>
    </w:p>
    <w:p>
      <w:pPr>
        <w:pStyle w:val="TextBody"/>
        <w:bidi w:val="0"/>
        <w:spacing w:before="0" w:after="240"/>
        <w:jc w:val="both"/>
        <w:rPr>
          <w:rFonts w:ascii="Times New Roman" w:hAnsi="Times New Roman"/>
          <w:sz w:val="20"/>
        </w:rPr>
      </w:pPr>
      <w:r>
        <w:rPr>
          <w:rFonts w:ascii="Times New Roman" w:hAnsi="Times New Roman"/>
          <w:color w:val="000000"/>
          <w:sz w:val="24"/>
        </w:rPr>
        <w:t>The aggregate amount of compensation, including both equity compensation and cash compensation, paid by the Company to any Outside Director in a calendar year for services as an Outside Director shall not exceed $750,000;</w:t>
      </w:r>
      <w:r>
        <w:rPr>
          <w:rFonts w:ascii="Times New Roman" w:hAnsi="Times New Roman"/>
          <w:color w:val="000000"/>
          <w:sz w:val="20"/>
        </w:rPr>
        <w:t xml:space="preserve"> </w:t>
      </w:r>
      <w:r>
        <w:rPr>
          <w:rFonts w:ascii="Times New Roman" w:hAnsi="Times New Roman"/>
          <w:color w:val="000000"/>
          <w:sz w:val="24"/>
        </w:rPr>
        <w:t>provided, however, that such amount shall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$1,000,000 for the calendar year in which the applicable Outside Director is initially elected or appointed to the Board of Directors; (or such other limits as may be set forth in Section 3(b) of the Company’s 2024 Stock Option and Incentive Plan, as amended from time to time,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pStyle w:val="TextBody"/>
        <w:bidi w:val="0"/>
        <w:jc w:val="left"/>
        <w:rPr>
          <w:rFonts w:ascii="Times New Roman" w:hAnsi="Times New Roman"/>
          <w:color w:val="000000"/>
          <w:sz w:val="24"/>
        </w:rPr>
      </w:pPr>
      <w:r>
        <w:rPr>
          <w:rFonts w:ascii="Times New Roman" w:hAnsi="Times New Roman"/>
          <w:color w:val="000000"/>
          <w:sz w:val="24"/>
        </w:rPr>
        <w:t>Originally Adopted: May 29,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Amended and Restated: June 5,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Second Amendment and Restatement: Effective as of June 10, 2026</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rapp-ex31_1.htm"/>
      <w:bookmarkStart w:id="24" w:name="ksrapp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Abraham N. Ceesay,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Rapport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pPr>
      <w:r>
        <w:rPr/>
        <w:t> </w:t>
      </w:r>
    </w:p>
    <w:tbl>
      <w:tblPr>
        <w:tblW w:w="4957" w:type="dxa"/>
        <w:jc w:val="left"/>
        <w:tblInd w:w="0" w:type="dxa"/>
        <w:tblLayout w:type="fixed"/>
        <w:tblCellMar>
          <w:top w:w="28" w:type="dxa"/>
          <w:left w:w="28" w:type="dxa"/>
          <w:bottom w:w="28" w:type="dxa"/>
          <w:right w:w="28" w:type="dxa"/>
        </w:tblCellMar>
      </w:tblPr>
      <w:tblGrid>
        <w:gridCol w:w="1846"/>
        <w:gridCol w:w="109"/>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Abraham N. Ceesay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Abraham N. Ceesay,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rapp-ex31_2.htm"/>
      <w:bookmarkStart w:id="26" w:name="ksrappex31_2"/>
      <w:bookmarkEnd w:id="25"/>
      <w:bookmarkEnd w:id="26"/>
      <w:r>
        <w:rPr>
          <w:rFonts w:ascii="Times New Roman" w:hAnsi="Times New Roman"/>
          <w:b/>
          <w:color w:val="000000"/>
          <w:sz w:val="20"/>
        </w:rPr>
        <w:t>Exhibit 31.2</w:t>
      </w:r>
      <w:r>
        <w:br w:type="page"/>
      </w:r>
    </w:p>
    <w:p>
      <w:pPr>
        <w:pStyle w:val="TextBody"/>
        <w:bidi w:val="0"/>
        <w:jc w:val="left"/>
        <w:rPr/>
      </w:pPr>
      <w:r>
        <w:rPr/>
        <w:t> </w:t>
      </w:r>
    </w:p>
    <w:p>
      <w:pPr>
        <w:pStyle w:val="TextBody"/>
        <w:bidi w:val="0"/>
        <w:jc w:val="right"/>
        <w:rPr/>
      </w:pPr>
      <w:r>
        <w:rPr/>
        <w:t> </w:t>
      </w:r>
    </w:p>
    <w:p>
      <w:pPr>
        <w:pStyle w:val="TextBody"/>
        <w:bidi w:val="0"/>
        <w:spacing w:before="1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Troy Ignelzi,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Rapport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7777" w:type="dxa"/>
        <w:jc w:val="left"/>
        <w:tblInd w:w="0" w:type="dxa"/>
        <w:tblLayout w:type="fixed"/>
        <w:tblCellMar>
          <w:top w:w="28" w:type="dxa"/>
          <w:left w:w="28" w:type="dxa"/>
          <w:bottom w:w="28" w:type="dxa"/>
          <w:right w:w="28" w:type="dxa"/>
        </w:tblCellMar>
      </w:tblPr>
      <w:tblGrid>
        <w:gridCol w:w="1846"/>
        <w:gridCol w:w="109"/>
        <w:gridCol w:w="406"/>
        <w:gridCol w:w="54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/s/ Troy Ignelzi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Troy Ignelzi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app-ex32_1.htm"/>
      <w:bookmarkStart w:id="28" w:name="ksrapp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Rapport Therapeutics, Inc. (the “Company”) on Form 10-Q for the period ending June 30, 2026 as filed with the Securities and Exchange Commission on the date hereof (the “Report”), the undersigned officers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spacing w:before="0" w:after="240"/>
        <w:jc w:val="left"/>
        <w:rPr/>
      </w:pPr>
      <w:r>
        <w:rPr/>
        <w:t> </w:t>
      </w:r>
    </w:p>
    <w:tbl>
      <w:tblPr>
        <w:tblW w:w="4957" w:type="dxa"/>
        <w:jc w:val="left"/>
        <w:tblInd w:w="0" w:type="dxa"/>
        <w:tblLayout w:type="fixed"/>
        <w:tblCellMar>
          <w:top w:w="28" w:type="dxa"/>
          <w:left w:w="28" w:type="dxa"/>
          <w:bottom w:w="28" w:type="dxa"/>
          <w:right w:w="28" w:type="dxa"/>
        </w:tblCellMar>
      </w:tblPr>
      <w:tblGrid>
        <w:gridCol w:w="1846"/>
        <w:gridCol w:w="109"/>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Abraham N. Ceesay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Abraham N. Ceesay,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0" w:after="240"/>
        <w:jc w:val="left"/>
        <w:rPr/>
      </w:pPr>
      <w:r>
        <w:rPr/>
        <w:t> </w:t>
      </w:r>
    </w:p>
    <w:tbl>
      <w:tblPr>
        <w:tblW w:w="7777" w:type="dxa"/>
        <w:jc w:val="left"/>
        <w:tblInd w:w="0" w:type="dxa"/>
        <w:tblLayout w:type="fixed"/>
        <w:tblCellMar>
          <w:top w:w="28" w:type="dxa"/>
          <w:left w:w="28" w:type="dxa"/>
          <w:bottom w:w="28" w:type="dxa"/>
          <w:right w:w="28" w:type="dxa"/>
        </w:tblCellMar>
      </w:tblPr>
      <w:tblGrid>
        <w:gridCol w:w="1846"/>
        <w:gridCol w:w="109"/>
        <w:gridCol w:w="406"/>
        <w:gridCol w:w="54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Troy Ignelzi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Troy Ignelzi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12593/000119312524158327/d60139dex31.htm" TargetMode="External"/><Relationship Id="rId3" Type="http://schemas.openxmlformats.org/officeDocument/2006/relationships/hyperlink" Target="https://www.sec.gov/Archives/edgar/data/2012593/000119312524158327/d60139dex32.htm" TargetMode="External"/><Relationship Id="rId4" Type="http://schemas.openxmlformats.org/officeDocument/2006/relationships/hyperlink" Target="https://www.sec.gov/Archives/edgar/data/2012593/000119312524158327/d60139dex32.htm" TargetMode="External"/><Relationship Id="rId5" Type="http://schemas.openxmlformats.org/officeDocument/2006/relationships/hyperlink" Target="https://www.sec.gov/Archives/edgar/data/2012593/000119312524141704/d803738dex41.htm" TargetMode="External"/><Relationship Id="rId6" Type="http://schemas.openxmlformats.org/officeDocument/2006/relationships/hyperlink" Target="https://www.sec.gov/Archives/edgar/data/2012593/000119312524141704/d803738dex42.htm" TargetMode="External"/><Relationship Id="rId7" Type="http://schemas.openxmlformats.org/officeDocument/2006/relationships/hyperlink" Target="https://www.sec.gov/Archives/edgar/data/2012593/000119312524141704/d803738d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72846</Words>
  <Characters>410239</Characters>
  <CharactersWithSpaces>482989</CharactersWithSpaces>
  <Paragraphs>5558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