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4100" w:right="2980" w:hanging="4092"/>
        <w:spacing w:after="0" w:line="313" w:lineRule="auto"/>
        <w:tabs>
          <w:tab w:leader="none" w:pos="351"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2400" w:right="2400" w:hanging="2392"/>
        <w:spacing w:after="0" w:line="309" w:lineRule="auto"/>
        <w:tabs>
          <w:tab w:leader="none" w:pos="337"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___________________ TO ___________________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001-42121</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Rapport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p>
      <w:pPr>
        <w:spacing w:after="0" w:line="8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88-0724208</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 w:lineRule="exact"/>
        <w:rPr>
          <w:sz w:val="24"/>
          <w:szCs w:val="24"/>
          <w:color w:val="auto"/>
        </w:rPr>
      </w:pPr>
    </w:p>
    <w:p>
      <w:pPr>
        <w:sectPr>
          <w:pgSz w:w="11900" w:h="16838" w:orient="portrait"/>
          <w:cols w:equalWidth="0" w:num="2">
            <w:col w:w="7420" w:space="540"/>
            <w:col w:w="3280"/>
          </w:cols>
          <w:pgMar w:left="320" w:top="992" w:right="33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8"/>
          <w:szCs w:val="18"/>
          <w:b w:val="1"/>
          <w:bCs w:val="1"/>
          <w:color w:val="auto"/>
        </w:rPr>
        <w:t>99 High Street, Suite 2100</w:t>
      </w:r>
    </w:p>
    <w:p>
      <w:pPr>
        <w:spacing w:after="0" w:line="31" w:lineRule="exact"/>
        <w:rPr>
          <w:sz w:val="24"/>
          <w:szCs w:val="24"/>
          <w:color w:val="auto"/>
        </w:rPr>
      </w:pPr>
    </w:p>
    <w:p>
      <w:pPr>
        <w:ind w:left="236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Boston, MA</w:t>
      </w:r>
      <w:r>
        <w:rPr>
          <w:sz w:val="20"/>
          <w:szCs w:val="20"/>
          <w:color w:val="auto"/>
        </w:rPr>
        <w:tab/>
      </w:r>
      <w:r>
        <w:rPr>
          <w:rFonts w:ascii="Times New Roman" w:cs="Times New Roman" w:eastAsia="Times New Roman" w:hAnsi="Times New Roman"/>
          <w:sz w:val="18"/>
          <w:szCs w:val="18"/>
          <w:b w:val="1"/>
          <w:bCs w:val="1"/>
          <w:color w:val="auto"/>
        </w:rPr>
        <w:t>02110</w:t>
      </w:r>
    </w:p>
    <w:p>
      <w:pPr>
        <w:spacing w:after="0" w:line="5" w:lineRule="exact"/>
        <w:rPr>
          <w:sz w:val="24"/>
          <w:szCs w:val="24"/>
          <w:color w:val="auto"/>
        </w:rPr>
      </w:pPr>
    </w:p>
    <w:p>
      <w:pPr>
        <w:ind w:left="1780"/>
        <w:spacing w:after="0"/>
        <w:tabs>
          <w:tab w:leader="none" w:pos="814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 321-8020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RAPP</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25" w:lineRule="exact"/>
        <w:rPr>
          <w:sz w:val="24"/>
          <w:szCs w:val="24"/>
          <w:color w:val="auto"/>
        </w:rPr>
      </w:pPr>
    </w:p>
    <w:p>
      <w:pPr>
        <w:ind w:left="520" w:right="3460"/>
        <w:spacing w:after="0" w:line="19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60" w:firstLine="509"/>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60" w:firstLine="509"/>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40" w:firstLine="509"/>
        <w:spacing w:after="0" w:line="25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76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3100"/>
              <w:spacing w:after="0"/>
              <w:rPr>
                <w:sz w:val="20"/>
                <w:szCs w:val="20"/>
                <w:color w:val="auto"/>
              </w:rPr>
            </w:pPr>
            <w:r>
              <w:rPr>
                <w:rFonts w:ascii="Times New Roman" w:cs="Times New Roman" w:eastAsia="Times New Roman" w:hAnsi="Times New Roman"/>
                <w:sz w:val="13"/>
                <w:szCs w:val="13"/>
                <w:color w:val="auto"/>
              </w:rPr>
              <w:t>Accelerated filer</w:t>
            </w:r>
          </w:p>
        </w:tc>
        <w:tc>
          <w:tcPr>
            <w:tcW w:w="60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30"/>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7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31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6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5040" w:type="dxa"/>
            <w:vAlign w:val="bottom"/>
          </w:tcPr>
          <w:p>
            <w:pPr>
              <w:ind w:left="3100"/>
              <w:spacing w:after="0"/>
              <w:rPr>
                <w:sz w:val="20"/>
                <w:szCs w:val="20"/>
                <w:color w:val="auto"/>
              </w:rPr>
            </w:pPr>
            <w:r>
              <w:rPr>
                <w:rFonts w:ascii="Times New Roman" w:cs="Times New Roman" w:eastAsia="Times New Roman" w:hAnsi="Times New Roman"/>
                <w:sz w:val="13"/>
                <w:szCs w:val="13"/>
                <w:color w:val="auto"/>
              </w:rPr>
              <w:t>Emerging growth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160" w:firstLine="509"/>
        <w:spacing w:after="0" w:line="170"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220" w:firstLine="509"/>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300" w:firstLine="509"/>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440" w:firstLine="509"/>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520"/>
        <w:spacing w:after="0" w:line="173" w:lineRule="exact"/>
        <w:tabs>
          <w:tab w:leader="none" w:pos="72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5"/>
          <w:szCs w:val="15"/>
          <w:color w:val="auto"/>
        </w:rPr>
        <w:t>☒</w:t>
      </w:r>
    </w:p>
    <w:p>
      <w:pPr>
        <w:spacing w:after="0" w:line="50" w:lineRule="exact"/>
        <w:rPr>
          <w:sz w:val="24"/>
          <w:szCs w:val="24"/>
          <w:color w:val="auto"/>
        </w:rPr>
      </w:pPr>
    </w:p>
    <w:p>
      <w:pPr>
        <w:ind w:right="320" w:firstLine="509"/>
        <w:spacing w:after="0" w:line="255"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on the Nasdaq Global Market on June 30, 2025 was $275,840,930.</w:t>
      </w:r>
    </w:p>
    <w:p>
      <w:pPr>
        <w:spacing w:after="0" w:line="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2, 2026 was 47,792,943.</w:t>
      </w:r>
    </w:p>
    <w:p>
      <w:pPr>
        <w:spacing w:after="0" w:line="40"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26" w:lineRule="exact"/>
        <w:rPr>
          <w:sz w:val="24"/>
          <w:szCs w:val="24"/>
          <w:color w:val="auto"/>
        </w:rPr>
      </w:pPr>
    </w:p>
    <w:p>
      <w:pPr>
        <w:ind w:right="220" w:firstLine="509"/>
        <w:spacing w:after="0" w:line="278"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its 2025 Annual Meeting of Stockholders to be filed pursuant to Regulation 14A within 120 days of the end of the registrant’s fiscal year ended December 31, 2025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949960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280" w:type="dxa"/>
            <w:vAlign w:val="bottom"/>
            <w:gridSpan w:val="2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716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820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20" w:type="dxa"/>
            <w:vAlign w:val="bottom"/>
            <w:tcBorders>
              <w:bottom w:val="single" w:sz="8" w:color="0000EE"/>
            </w:tcBorders>
          </w:tcPr>
          <w:p>
            <w:pPr>
              <w:spacing w:after="0"/>
              <w:rPr>
                <w:sz w:val="17"/>
                <w:szCs w:val="17"/>
                <w:color w:val="auto"/>
              </w:rPr>
            </w:pPr>
          </w:p>
        </w:tc>
        <w:tc>
          <w:tcPr>
            <w:tcW w:w="8460" w:type="dxa"/>
            <w:vAlign w:val="bottom"/>
            <w:gridSpan w:val="2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40" w:type="dxa"/>
            <w:vAlign w:val="bottom"/>
            <w:tcBorders>
              <w:top w:val="single" w:sz="8" w:color="0000FF"/>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260" w:type="dxa"/>
            <w:vAlign w:val="bottom"/>
            <w:tcBorders>
              <w:top w:val="single" w:sz="8" w:color="0000FF"/>
            </w:tcBorders>
            <w:gridSpan w:val="22"/>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86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40" w:type="dxa"/>
            <w:vAlign w:val="bottom"/>
            <w:tcBorders>
              <w:top w:val="single" w:sz="8" w:color="0000FF"/>
            </w:tcBorders>
            <w:gridSpan w:val="13"/>
          </w:tcPr>
          <w:p>
            <w:pPr>
              <w:spacing w:after="0"/>
              <w:rPr>
                <w:sz w:val="17"/>
                <w:szCs w:val="17"/>
                <w:color w:val="auto"/>
              </w:rPr>
            </w:pPr>
          </w:p>
        </w:tc>
        <w:tc>
          <w:tcPr>
            <w:tcW w:w="270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4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12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7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Form 10-K Summary</w:t>
            </w:r>
          </w:p>
        </w:tc>
        <w:tc>
          <w:tcPr>
            <w:tcW w:w="20" w:type="dxa"/>
            <w:vAlign w:val="bottom"/>
            <w:tcBorders>
              <w:top w:val="single" w:sz="8" w:color="0000FF"/>
              <w:bottom w:val="single" w:sz="8" w:color="0000EE"/>
            </w:tcBorders>
          </w:tcPr>
          <w:p>
            <w:pPr>
              <w:spacing w:after="0"/>
              <w:rPr>
                <w:sz w:val="17"/>
                <w:szCs w:val="17"/>
                <w:color w:val="auto"/>
              </w:rPr>
            </w:pPr>
          </w:p>
        </w:tc>
        <w:tc>
          <w:tcPr>
            <w:tcW w:w="1580" w:type="dxa"/>
            <w:vAlign w:val="bottom"/>
            <w:tcBorders>
              <w:top w:val="single" w:sz="8" w:color="0000FF"/>
            </w:tcBorders>
            <w:gridSpan w:val="6"/>
          </w:tcPr>
          <w:p>
            <w:pPr>
              <w:spacing w:after="0"/>
              <w:rPr>
                <w:sz w:val="17"/>
                <w:szCs w:val="17"/>
                <w:color w:val="auto"/>
              </w:rPr>
            </w:pPr>
          </w:p>
        </w:tc>
        <w:tc>
          <w:tcPr>
            <w:tcW w:w="606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including statements regarding our future results of operations and financial position, business strategy, product candidates, planned preclinical studies and clinical trials, results of preclinical studies, clinical trials, research and development costs, regulatory approvals, commercial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some cases, forward-looking statements can be identified by terms such as “may,” “will,” “should,” “would,” “expect,” “plan,” “anticipate,” “could,” “intend,” “target,” “project,” “believe,” “estimate,” “predict,” “potential,” or “continue” or the negative of these terms or other similar expressions. Forward-looking statements contained in this Annual Report may include, but are not limited to, statements about:</w:t>
      </w:r>
    </w:p>
    <w:p>
      <w:pPr>
        <w:spacing w:after="0" w:line="6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develop, and commercialize current and future product candidates based on our RAP technology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translation of endpoints in our current and planned clinical trials to future registrational trials;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positive results from earlier preclinical studies or clinical trials conducted by us or third parties in current or future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that our current and future product candidates are safe and effective for their proposed indications;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the diseases or disorders we elect to pursue with our product candidates, and the willingness of those patient populations to use and adhere to our product candidates if approved in the future;</w:t>
      </w:r>
    </w:p>
    <w:p>
      <w:pPr>
        <w:spacing w:after="0" w:line="53"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programs, future product candidates, platform, and technology;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product candidates through applicable regulatory approval processes;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cash and the sufficiency of our existing cash, cash equivalents and short-term investments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our obligations under our intellectual property licenses with third parties, including Janssen Pharmaceutical NV;</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future license agreements and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rising interest rates and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our key personnel and additional qualified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short-term investments.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the documents that we reference in this Annual Report and the other documents that we file with the Securities and Exchange Commission (“SEC”) with the understanding that our actual future results, levels of activity, performance and events and circumstances may be materially different from what we expect.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 w:name="page5"/>
    <w:bookmarkEnd w:id="4"/>
    <w:p>
      <w:pPr>
        <w:ind w:left="3923"/>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which include, but are not limited to, the following:</w:t>
      </w:r>
    </w:p>
    <w:p>
      <w:pPr>
        <w:spacing w:after="0" w:line="117" w:lineRule="exact"/>
        <w:rPr>
          <w:sz w:val="20"/>
          <w:szCs w:val="20"/>
          <w:color w:val="auto"/>
        </w:rPr>
      </w:pPr>
    </w:p>
    <w:p>
      <w:pPr>
        <w:ind w:left="503" w:right="6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biotechnology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67"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jc w:val="both"/>
        <w:ind w:left="503" w:right="8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on the success of our product candidates, particularly RAP-219 for focal onset seizures. If we are unable to successfully complete clinical development, obtain regulatory approval for or commercialize one or more of our product candidates, or if we experience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development of pharmaceutical products involves a lengthy and expensive process and is highly uncertain.</w:t>
      </w:r>
    </w:p>
    <w:p>
      <w:pPr>
        <w:spacing w:after="0" w:line="117" w:lineRule="exact"/>
        <w:rPr>
          <w:rFonts w:ascii="Times New Roman" w:cs="Times New Roman" w:eastAsia="Times New Roman" w:hAnsi="Times New Roman"/>
          <w:sz w:val="18"/>
          <w:szCs w:val="18"/>
          <w:color w:val="auto"/>
        </w:rPr>
      </w:pPr>
    </w:p>
    <w:p>
      <w:pPr>
        <w:ind w:left="503" w:right="46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Food and Drug Administration, European Medicines Agency, Medicines and Healthcare products Regulatory Agency and other comparable regulatory authorities are lengthy, time-consuming and inherently unpredictable, and if we are ultimately unable to obtain regulatory approval for our product candidates, our business will be substantially harmed.</w:t>
      </w:r>
    </w:p>
    <w:p>
      <w:pPr>
        <w:spacing w:after="0" w:line="67"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a third party having accurately generated, collected, interpreted and reported data from certain preclinical studies and clinical trials that were previously conducted for our product candidates.</w:t>
      </w:r>
    </w:p>
    <w:p>
      <w:pPr>
        <w:spacing w:after="0" w:line="53"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clinical trials fail to replicate positive results from earlier preclinical studies or clinical trials conducted by us or third parties, we may be unable to successfully develop, obtain regulatory approval for or commercialize our product candidates.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and commercialization goals in the timeframes we announce and expect, the development and commercialization of our product candidates may be delayed, and our business and results of operations may be harmed.</w:t>
      </w:r>
    </w:p>
    <w:p>
      <w:pPr>
        <w:spacing w:after="0" w:line="53" w:lineRule="exact"/>
        <w:rPr>
          <w:rFonts w:ascii="Times New Roman" w:cs="Times New Roman" w:eastAsia="Times New Roman" w:hAnsi="Times New Roman"/>
          <w:sz w:val="18"/>
          <w:szCs w:val="18"/>
          <w:color w:val="auto"/>
        </w:rPr>
      </w:pPr>
    </w:p>
    <w:p>
      <w:pPr>
        <w:ind w:left="503" w:right="3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concentrated our research and development efforts on the treatment of disorders of the nervous system, a field that faces certain challenges in drug development.</w:t>
      </w:r>
    </w:p>
    <w:p>
      <w:pPr>
        <w:spacing w:after="0" w:line="53" w:lineRule="exact"/>
        <w:rPr>
          <w:rFonts w:ascii="Times New Roman" w:cs="Times New Roman" w:eastAsia="Times New Roman" w:hAnsi="Times New Roman"/>
          <w:sz w:val="18"/>
          <w:szCs w:val="18"/>
          <w:color w:val="auto"/>
        </w:rPr>
      </w:pPr>
    </w:p>
    <w:p>
      <w:pPr>
        <w:ind w:left="503" w:right="36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67" w:lineRule="exact"/>
        <w:rPr>
          <w:rFonts w:ascii="Times New Roman" w:cs="Times New Roman" w:eastAsia="Times New Roman" w:hAnsi="Times New Roman"/>
          <w:sz w:val="18"/>
          <w:szCs w:val="18"/>
          <w:color w:val="auto"/>
        </w:rPr>
      </w:pPr>
    </w:p>
    <w:p>
      <w:pPr>
        <w:ind w:left="503" w:right="60"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the diseases and disorders for which we are developing our product candidates has not been established with precision. If the actual number of patients with the diseases or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 candidates may be smaller than we expect and our revenue potential and ability to achieve profitability may be materially adversely affected.</w:t>
      </w:r>
    </w:p>
    <w:p>
      <w:pPr>
        <w:spacing w:after="0" w:line="75"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w:t>
      </w:r>
    </w:p>
    <w:p>
      <w:pPr>
        <w:spacing w:after="0" w:line="176"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981" w:right="339" w:bottom="1440" w:gutter="0" w:footer="0" w:header="0"/>
        </w:sectPr>
      </w:pPr>
    </w:p>
    <w:bookmarkStart w:id="5" w:name="page6"/>
    <w:bookmarkEnd w:id="5"/>
    <w:p>
      <w:pPr>
        <w:ind w:left="1020" w:right="1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in-licensed intellectual property. If we fail to comply with our obligations under our intellectual property licenses with third parties, we could lose license rights that are important to our business.</w:t>
      </w:r>
    </w:p>
    <w:p>
      <w:pPr>
        <w:spacing w:after="0" w:line="53"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licensors are unable to obtain and maintain patent protection for our product candidates, or if the scope of the patent protection obtained is not sufficiently broad, our competitors could develop and commercialize products similar or identical to our product candidates and our ability to successfully commercialize our product candidates may be adversely affected.</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in the section titled “Risk Factors” and the other information set forth in this Annual Report, as well as in other documents that we file with the SEC. The risks summarized above or described in full elsewhere in this Annual Report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dedicated to the discovery and development of small molecule precision medicines for patients with neurological or psychiatric disorders. Our foundational science has elucidated the complexities of neuronal receptor biology and enables us to map and target certain neuronal receptor complexes. Neuronal receptors are complex assemblies of proteins, comprising receptor principal subunits and their receptor associated proteins (“RAPs”), the latter of which play crucial roles in regulating receptor expression and function. We believe that our deep expertise in RAP biology provides an opportunity for us to interrogate previously inaccessible targets and develop neurological and psychiatric drugs that are specific for receptor variants and neuroanatomical regions associated with certain diseases. Most neuroactive drugs lack this specificity, often resulting in undesired and intolerable side effects. Leveraging our expertise, we are developing a portfolio of precision product candidates that we believe has the potential to transform the standard of care of many neurological and psychiatric disorders.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founders have made pioneering discoveries related to the function of RAPs in the brain. Their findings form the basis of our RAP technology platform, which enables a differentiated approach to generate precision small molecule product candidates with the potential to overcome many limitations of conventional neurology drug discovery. RAP-219, our most advanced product candidate, is an AMPA receptor (“AMPAR”) negative allosteric modulator (“NAM”). RAP-219 is designed to achieve neuroanatomical specificity through its selective targeting of a RAP known as TARP 8, which is associated with the neuronal AMPARs. Whereas AMPARs are distributed widely in the central nervous system (“CNS”), TARP 8 is expressed only in discrete regions, including the neocortex and mesial temporal lobe, where focal onset seizures (“FOS”) often originate. By contrast, TARP 8 has low expression in the hindbrain, where drug effects are often associated with adverse events. As such, we believe RAP-219 has the potential for a differentiated profile as compared to traditional neuroscience medications. Due to the role of AMPA biology in various neurological disorders and our precision approach of selectively targeting TARP 8, we believe RAP-219 has pipeline-in-a-product potential and we are evaluating it as a potentially transformational treatment for patients with FOS, primary generalized tonic-clonic seizures (“PGTCS”), and bipolar mania.</w:t>
      </w:r>
    </w:p>
    <w:p>
      <w:pPr>
        <w:spacing w:after="0" w:line="194"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Several Phase 1 trials in RAP-219 have been conducted in healthy adult volunteers, including a single ascending dose (“SAD”) trial; a multiple ascending dose (“MAD”) trial; a second MAD trial (“MAD-2”); and a positron emission tomography (“PET”) trial, which utilized a companion PET radiotracer to confirm brain target receptor occupancy (“RO”) and brain region specificity across a range of dosing and exposure levels.</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September 2025, we announced positive topline results from our Phase 2a proof-of-concept trial of RAP-219 in adult patients with drug-resistant FOS. The trial met its primary and secondary endpoints. The trial demonstrated a statistically significant reduction in long episodes—an objective electrographic biomarker for clinical seizure reduction—compared with baseline over the 8-week treatment period. In the trial, RAP-219 also demonstrated a statistically significant and clinically meaningful reduction in clinical seizures compared with baseline. RAP-219 was generally well tolerated. In December 2025, we presented post-hoc analysis from the Phase 2a proof-of-concept trial showing treatment with RAP-219 had consistent effects in the first and second four-week segments of the treatment period. This demonstrates that there was a rapid onset of efficacy, and a consistent reduction in long episodes, and a consistent, clinically meaningful reduction in clinical seizures throughout the 8-week treatment period. We expect to present 8-week follow-up results in the second quarter of 2026. In late 2025, we initiated an open-label long term safety trial to allow patients enrolled in our Phase 2a proof-of-concept FOS trial to resume taking RAP-219. Data from the open-label trial are expected in the second half of 2026. In December 2025, we received U.S. Food and Drug Administration (“FDA”) feedback from an end-of-phase 2 meeting supporting advancement into two Phase 3 trials of RAP-219 in patients with drug-resistant FOS and expect to initiate the Phase 3 program in FOS in the second quarter of 2026.</w:t>
      </w:r>
    </w:p>
    <w:p>
      <w:pPr>
        <w:spacing w:after="0" w:line="19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are also expanding our epilepsy portfolio into PGTCS, the most common type of generalized seizure and an important next step in addressing unmet need in patients with seizure disorders. With proof-of-concept established in FOS, we plan to initiate a Phase 3 trial in PGTCS in the first half of 2027.</w:t>
      </w:r>
    </w:p>
    <w:p>
      <w:pPr>
        <w:spacing w:after="0" w:line="176"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believe RAP-219 also has therapeutic potential in bipolar disorder. Our Phase 2 proof-of-concept trial in bipolar mania is currently enrolling patients, with topline results expected in the first half of 2027.</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also previously submitted an Investigational New Drug (“IND”) application to the FDA for initiation of a Phase 2 proof-of-concept trial in RAP-219 for the treatment of diabetic peripheral neuropathic pain (“DPNP”), which was placed on clinical hold by the FDA in the fourth quarter of 2024. Following further interactions with the FDA, the FDA removed its clinical hold on the DPNP IND in December 2025. We are deferring further investment in the RAP-219 DPNP program at this time to prioritize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our a6ß4 program, which we believe has significant potential in chronic pain and migraine, as described below.</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Additionally, we continue to develop a long-acting injectable (“LAI”) formulation of RAP-219. We believe an LAI formulation has the potential to improve patient adherence and expand the potential clinical utility across all of the RAP-219 indications. We have initiated IND-enabling activities to support a Phase 1 clinical study in healthy volunteers, with initial pharmacokinetics (“PK”) results expected in 2027.</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also have two advanced discovery-stage nicotinic acetylcholine receptor (“nAChR”) programs stemming from our RAP technology platform. nAChRs have been clinically validated in patient-reported neuropathic pain and our first advanced discovery-stage nAChR program comprises agonists of the α6ß4 nAChR. α6ß4 nAChRs are selectively expressed in sensory neurons, and the α6 subunit has human genetic validation in chronic pain. We have initiated IND-enabling activities for our α6ß4 nAChR agonist development candidate, RAP-641, a genetically validated precision target that we are pursuing as a potential novel non-opiate, non-CNS approach for chronic pain and migraine. The second advanced discovery-stage nAChR program comprises modulators of the α9α10 nAChR. Third-party preclinical genetic data suggests that this nAChR could be an attractive target in treating hearing and vestibular disorders. We continue to leverage our RAP technology platform to discover additional product candidates that we believe have the potential to provide transformative benefits for large patient populations with neurological or psychiatric diseases.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portfolio of programs from our RAP technology platform is summarized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222885</wp:posOffset>
            </wp:positionV>
            <wp:extent cx="6086475" cy="2383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647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to RAP-219</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RAP-219 is an investigational small molecule designed to inhibit TARP 8-containing AMPARs with picomolar (“pM”) affinity, which implies tight binding. Given RAP-219’s mechanism of action, neuroanatomical specificity and target potency observed to date in preclinical and clinical studies, and positive topline results in a Phase 2 proof-of-concept study in patients with FOS, we believe it has the potential to be a differentiated therapy for FOS, PGTCS, and bipolar mania.</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Epilepsy is estimated to affect 50 million people worldwide, including approximately 3.0 million adults in the United States (“United States” or “U.S.”). In 2022, the total branded market for epilepsy was approximately $2.8 billion, and this is expected to grow to approximately $3.6 billion by 2028. There are an estimated 1.8 million people in the United States who suffer from FOS, accounting for approximately 60 percent of patients with epilepsy. FOS are a form of epilepsy characterized by seizures caused by intermittent abnormal electrical activity. It is believed that the vast majority of focal seizures originate in the neocortex and mesial temporal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1245870</wp:posOffset>
            </wp:positionH>
            <wp:positionV relativeFrom="paragraph">
              <wp:posOffset>-222885</wp:posOffset>
            </wp:positionV>
            <wp:extent cx="285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Epilepsy has profound negative impacts on a patient’s quality of life, including limitations on social engagement, physical activity and independence. Recent studies have also found that epilepsy can result in cognitive impairment. The treatment goal for all patients with epilepsy, including FOS, is complete freedom from seizures. Despite there being more than 20 antiseizure medications (“ASMs”) approved by the FDA, 30 to 40 percent of patients with epilepsy continue to experience recurring seizures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 w:name="page9"/>
    <w:bookmarkEnd w:id="8"/>
    <w:p>
      <w:pPr>
        <w:ind w:right="40"/>
        <w:spacing w:after="0" w:line="258" w:lineRule="auto"/>
        <w:rPr>
          <w:sz w:val="20"/>
          <w:szCs w:val="20"/>
          <w:color w:val="auto"/>
        </w:rPr>
      </w:pPr>
      <w:r>
        <w:rPr>
          <w:rFonts w:ascii="Times New Roman" w:cs="Times New Roman" w:eastAsia="Times New Roman" w:hAnsi="Times New Roman"/>
          <w:sz w:val="18"/>
          <w:szCs w:val="18"/>
          <w:color w:val="auto"/>
        </w:rPr>
        <w:t>despite taking two or more ASMs. This is termed “drug-resistant epilepsy.” In addition to providing sub-optimal efficacy, ASMs are commonly associated with risks of intolerable and debilitating adverse events (“AEs”). These side effects, such as cognitive impairment, sedation, ataxia and dizziness, are believed to result from drug actions in brain regions unrelated to epilepsy. These AEs often lead to dosing adjustments and patient nonadherence, both of which can limit efficacy. We believe tolerability, adherence and clinical benefit can be improved with RAP-219, an investigational therapy that is designed to precisely modulate only diseased brain regions.</w:t>
      </w:r>
    </w:p>
    <w:p>
      <w:pPr>
        <w:spacing w:after="0" w:line="183"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Patients with epilepsy commonly take ASM combinations, which is referred to as polypharmacy. Drug-drug interactions make polypharmacy complex and add a further challenge to managing persistent seizures in epilepsy. When a physician adds a drug to a patient’s regimen, they typically prioritize one with a differentiated mechanism of action, an approach referred to as rational polypharmacy. Therefore, there is a critical need for therapies with new mechanisms of action, fewer AEs and a mitigated risk of drug-drug interaction for the treatment of FOS.</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AMPAR inhibition is a clinically validated approach in treating epilepsy. Perampanel (marketed as FYCOMPA), approved by the FDA in 2012 for FOS and in 2015 for PGTCS, is a negative, allosteric modulator of AMPARs, which are expressed throughout the CNS and in other organs and tissues. In contrast, RAP-219 negatively modulates TARPg8, whose expression is largely restricted to the neocortex and mesial temporal lobe and whose function is to negatively modulate AMPAR activity. This distinction leads us to believe that the tolerability profile of RAP-219 could be differentiated from that of perampanel and other currently available ASMs.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Based on preclinical results and the results from the Phase 1 trials, once-daily oral administration of RAP-219 could safely achieve and exceed the predicted therapeutic exposures of ~2 ng/mL (50% RO) to ~3.5 ng/mL (70% RO). Also, there appeared to be low risk of cytochrome P450 (“CYP”)-mediated drug-drug interactions. Our Phase 2a proof-of-concept trial enrolled adult patients with drug-resistant FOS who had an implanted responsive neurostimulation (“RNS”) system, an FDA approved device for drug-resistant FOS. The RNS system includes an electrode that continually monitors intracranial brain waves and detects the magnitude, duration and frequency of spectrographic activity, which are recorded as intracranial electroencephalography (“iEEG”) data. Our Phase 2a study was designed and powered around change in long episode frequency, which is an objective biomarker detected and recorded by the RNS system; change in clinical seizure frequency, as reported by patients in seizure diaries, was the key secondary outcome. Positive topline results from this trial were reported in the third quarter of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to Our Discovery-Stage Nicotinic Acetylcholine Receptor Programs</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 xml:space="preserve">In addition to RAP-219, we have several discovery-stage programs stemming from our RAP technology platform. Two of our late-stage discovery programs, a6β4 nAChR and  9 10 nAChR, were enabled by our discovery of RAPs that drive the assembly of functional versions of these receptors in cell lines. Based on third-party genetic data, we believe each of these nAChR subtypes could be attractive drug targets. However, it was not until our identification of RAPs for a6β4 nAChR and a9a10 nAChR that one could create relevant cell lines for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compound screening and drug optimization.</w:t>
      </w:r>
    </w:p>
    <w:p>
      <w:pPr>
        <w:spacing w:after="0" w:line="16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are pursuing agonists of the a6β4 nAChR in chronic pain and migraine. Gain-of-function variants in the gene encoding the a6 subunit can attenuate pain levels. A previous third-party investigational broad-spectrum nAChR agonist demonstrated clinical activity in a randomized placebo-controlled trial in diabetic peripheral neuropathic pain, but this experimental therapeutic was associated with intolerable side effects, which led to discontinuation of its development. We believe that these side effects were primarily due to the non-selective nature of that agonist. Through our ability to functionally express and pharmacologically screen for a6β4 nAChR modulators, we have identified small molecule agonists, such as RAP-641, that show a6β4 nAChR selectivity as well as beneficial activity in preclinical models of chronic pain and migraine. We have initiated IND-enabling activities for RAP-641, our development candidate agonist of the α6β4 nAChR.</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a9a10 nAChR program focuses on the discovery of small molecule modulators of this receptor as potential therapies for hearing and vestibular disorders. Third-party studies observed a loss-of-function mutation of the gene for the a9 subunit in mice increased sensitivity to noise-induced hearing loss and separately delayed their recovery in a vestibular injury model. We have identified small molecule modulators of a9a10 nAChR and are now optimizing these molecules in anticipation of selecting candidates to advance into the clinic.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Company’s History and Our Team</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Rapport was formed in February 2022, with founding support from Third Rock Ventures and Johnson &amp; Johnson Innovation-JJDC, to advance the discovery and development of RAP-targeted precision neuromedicines. Our scientific founder and Chief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ind w:right="540"/>
        <w:spacing w:after="0" w:line="282" w:lineRule="auto"/>
        <w:rPr>
          <w:sz w:val="20"/>
          <w:szCs w:val="20"/>
          <w:color w:val="auto"/>
        </w:rPr>
      </w:pPr>
      <w:r>
        <w:rPr>
          <w:rFonts w:ascii="Times New Roman" w:cs="Times New Roman" w:eastAsia="Times New Roman" w:hAnsi="Times New Roman"/>
          <w:sz w:val="18"/>
          <w:szCs w:val="18"/>
          <w:color w:val="auto"/>
        </w:rPr>
        <w:t>Scientific Officer, David Bredt, M.D., Ph.D., pioneered the discovery of RAPs and their targeting by small molecules at Janssen Pharmaceutical NV (“Janssen”).</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August 2022, we entered into a license agreement with Janssen (the “Janssen License”) for the research, development and commercialization of certain TARP 8 products, including RAP-219, as well as nAChR projects created by Dr. Bredt and his colleagues at Janssen. We are furthering development of these assets and extending discovery efforts into novel areas. Under the terms of the Janssen License, certain TARP 8 and nAChR patents, materials and know-how were transferred to us. All discovery and development efforts related to our pipeline programs are herein referred to as “ours,” although some of these preclinical efforts were completed at Janssen prior to the Janssen License. In many cases, these efforts were made by certain of the same personnel who have since joined Rapport.</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to Dr. Bredt, we have a seasoned leadership team with deep expertise in building novel therapeutic platforms, bringing therapeutics to market and supporting the growth of public biopharmaceutical and biotechnology companies, such as Abraham N. Ceesay, M.B.A., our Chief Executive Officer and a member of our board of directors, Troy Ignelzi, our Chief Financial Officer, Jeffrey Sevigny, M.D., our Chief Medical Officer, Cheryl Gault, our Chief Operating Officer, Swamy Yeleswaram, Ph.D., our Chief Development Officer, Kathy Wilkinson, our Chief People Officer, and Karina Chmielewski, our Chief Information Officer.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Leveraging our RAP technology platform, we strive to become a leader in precision neuroscience through the discovery and development of transformational small molecule medicines for patients with neurological or psychiatric disorders. As key elements of our strategy, we intend to:</w:t>
      </w:r>
    </w:p>
    <w:p>
      <w:pPr>
        <w:spacing w:after="0" w:line="50" w:lineRule="exact"/>
        <w:rPr>
          <w:sz w:val="20"/>
          <w:szCs w:val="20"/>
          <w:color w:val="auto"/>
        </w:rPr>
      </w:pPr>
    </w:p>
    <w:p>
      <w:pPr>
        <w:ind w:left="1020" w:right="16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RAP-219 Phase 3 clinical development in FOS. </w:t>
      </w:r>
      <w:r>
        <w:rPr>
          <w:rFonts w:ascii="Times New Roman" w:cs="Times New Roman" w:eastAsia="Times New Roman" w:hAnsi="Times New Roman"/>
          <w:sz w:val="18"/>
          <w:szCs w:val="18"/>
          <w:color w:val="auto"/>
        </w:rPr>
        <w:t>RAP-219 has demonstrated robust antiseizure activity in preclinical epilepsy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models and in a clinical Phase 2a proof-of-concept trial in patients with drug-resistant FOS, and the emerging data suggest a potential differentiated profile. Following the end-of-phase-2 meeting with the FDA in December 2025, we are accelerating our efforts to initiate our Phase 3 program in FOS in the second quarter of 2026.</w:t>
      </w:r>
    </w:p>
    <w:p>
      <w:pPr>
        <w:spacing w:after="0" w:line="68" w:lineRule="exact"/>
        <w:rPr>
          <w:rFonts w:ascii="Times New Roman" w:cs="Times New Roman" w:eastAsia="Times New Roman" w:hAnsi="Times New Roman"/>
          <w:sz w:val="18"/>
          <w:szCs w:val="18"/>
          <w:color w:val="auto"/>
        </w:rPr>
      </w:pPr>
    </w:p>
    <w:p>
      <w:pPr>
        <w:ind w:left="1020" w:right="6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the potential of RAP-219 in additional neurological and psychiatric indications</w:t>
      </w:r>
      <w:r>
        <w:rPr>
          <w:rFonts w:ascii="Times New Roman" w:cs="Times New Roman" w:eastAsia="Times New Roman" w:hAnsi="Times New Roman"/>
          <w:sz w:val="18"/>
          <w:szCs w:val="18"/>
          <w:color w:val="auto"/>
        </w:rPr>
        <w:t>. As a NAM of TARPg8, RAP-219 modulates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activity of AMPARs within specific CNS regions, creating the potential for clinical applications in neurological indications beyond FOS. RAP-219 is currently being tested in a Phase 2 proof-of-concept trial in patients with bipolar mania and we plan to initiate a Phase 3 trial in patients with PGTCS in the first half of 2027.</w:t>
      </w:r>
    </w:p>
    <w:p>
      <w:pPr>
        <w:spacing w:after="0" w:line="68" w:lineRule="exact"/>
        <w:rPr>
          <w:rFonts w:ascii="Times New Roman" w:cs="Times New Roman" w:eastAsia="Times New Roman" w:hAnsi="Times New Roman"/>
          <w:sz w:val="18"/>
          <w:szCs w:val="18"/>
          <w:color w:val="auto"/>
        </w:rPr>
      </w:pPr>
    </w:p>
    <w:p>
      <w:pPr>
        <w:jc w:val="both"/>
        <w:ind w:left="1020" w:right="12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Extend the life cycle of RAP-219 and expand the TARP 8 franchise. </w:t>
      </w:r>
      <w:r>
        <w:rPr>
          <w:rFonts w:ascii="Times New Roman" w:cs="Times New Roman" w:eastAsia="Times New Roman" w:hAnsi="Times New Roman"/>
          <w:sz w:val="18"/>
          <w:szCs w:val="18"/>
          <w:color w:val="auto"/>
        </w:rPr>
        <w:t>We continue to develop a LAI candidate formulation of RAP-219,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we believe will expand the potential clinical utility across RAP-219’s indications and potentially extend the molecule’s lifecycle. We have initiated IND-enabling activities to support a Phase 1 PK clinical study in healthy volunteers, with initial results expected in 2027.</w:t>
      </w:r>
    </w:p>
    <w:p>
      <w:pPr>
        <w:spacing w:after="0" w:line="62" w:lineRule="exact"/>
        <w:rPr>
          <w:rFonts w:ascii="Times New Roman" w:cs="Times New Roman" w:eastAsia="Times New Roman" w:hAnsi="Times New Roman"/>
          <w:sz w:val="18"/>
          <w:szCs w:val="18"/>
          <w:color w:val="auto"/>
        </w:rPr>
      </w:pPr>
    </w:p>
    <w:p>
      <w:pPr>
        <w:ind w:left="1020" w:right="60" w:hanging="503"/>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development of our RAP-enabled nAChR programs. </w:t>
      </w:r>
      <w:r>
        <w:rPr>
          <w:rFonts w:ascii="Times New Roman" w:cs="Times New Roman" w:eastAsia="Times New Roman" w:hAnsi="Times New Roman"/>
          <w:sz w:val="18"/>
          <w:szCs w:val="18"/>
          <w:color w:val="auto"/>
        </w:rPr>
        <w:t>Our RAP platform has enabled identification of small molecules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nAChR drug targets we find compelling. We believe that our a6β4 nAChR program may deliver clinical benefits in chronic pain and migraine while avoiding the AEs associated with non-selective nAChR agonists. We have initiated IND-enabling activities for our a6ß4 nAChR agonist development candidate. We also believe that compounds specific to the a9a10 receptor could provide therapeutic benefit in hearing and vestibular disorders. We are optimizing molecules for our a9a10 program in anticipation of selecting a lead candidate to advance into the clinic.</w:t>
      </w:r>
    </w:p>
    <w:p>
      <w:pPr>
        <w:spacing w:after="0" w:line="74" w:lineRule="exact"/>
        <w:rPr>
          <w:rFonts w:ascii="Times New Roman" w:cs="Times New Roman" w:eastAsia="Times New Roman" w:hAnsi="Times New Roman"/>
          <w:sz w:val="18"/>
          <w:szCs w:val="18"/>
          <w:color w:val="auto"/>
        </w:rPr>
      </w:pPr>
    </w:p>
    <w:p>
      <w:pPr>
        <w:ind w:left="1020" w:right="40" w:hanging="503"/>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Fortify our leadership position in RAP-enabled drug discovery to expand our pipeline of transformative precision neuroscience therapies for patients. </w:t>
      </w:r>
      <w:r>
        <w:rPr>
          <w:rFonts w:ascii="Times New Roman" w:cs="Times New Roman" w:eastAsia="Times New Roman" w:hAnsi="Times New Roman"/>
          <w:sz w:val="18"/>
          <w:szCs w:val="18"/>
          <w:color w:val="auto"/>
        </w:rPr>
        <w:t>We believe the science underpinning our RAP technology platform can serve as the foundation for a broad portfolio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precision neuroscience product candidates that have the potential to transform the current treatment armamentarium for many neurological and psychiatric disorders. We are committed to leveraging our expertise in RAP biology to develop a portfolio of small molecule therapies to deliver potentially more effective, better tolerated and safer treatments to large and underserved neurological and psychiatric patient populations.</w:t>
      </w:r>
    </w:p>
    <w:p>
      <w:pPr>
        <w:spacing w:after="0" w:line="74" w:lineRule="exact"/>
        <w:rPr>
          <w:rFonts w:ascii="Times New Roman" w:cs="Times New Roman" w:eastAsia="Times New Roman" w:hAnsi="Times New Roman"/>
          <w:sz w:val="18"/>
          <w:szCs w:val="18"/>
          <w:color w:val="auto"/>
        </w:rPr>
      </w:pPr>
    </w:p>
    <w:p>
      <w:pPr>
        <w:ind w:left="1020" w:right="28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Pursue strategic partnerships opportunistically</w:t>
      </w:r>
      <w:r>
        <w:rPr>
          <w:rFonts w:ascii="Times New Roman" w:cs="Times New Roman" w:eastAsia="Times New Roman" w:hAnsi="Times New Roman"/>
          <w:sz w:val="18"/>
          <w:szCs w:val="18"/>
          <w:color w:val="auto"/>
        </w:rPr>
        <w:t>. We currently have exclusive global rights to use our technology platform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 our product candidates. If we believe that partnerships can accelerate the development or maximize the market potential of our product candidates, we will consider entering into product, target and/or geographic specific strategic partnerships on an opportunistic basis.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Our RAP Technology Platform</w:t>
      </w:r>
    </w:p>
    <w:p>
      <w:pPr>
        <w:spacing w:after="0" w:line="229"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Our founders are pioneers of RAP biology who made key discoveries related to RAP functions. Their findings form the basis of our RAP technology platform, which can potentially provide a differentiated approach to generate precision small molecule product candidates.</w:t>
      </w:r>
    </w:p>
    <w:p>
      <w:pPr>
        <w:spacing w:after="0" w:line="16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Due to the complexities of studying drug activity in the brain, a standard approach to discovery and optimization of neurology drugs is through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cellular assays involving recombinant receptors. This approach often fails to replicate the function of relevant targets in their natural contexts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resulted in the approval of neurology drugs that are not designed to be selective for specific forms of their targets, which can contribute to unwanted toxicities and limit therapeutic indexes.</w:t>
      </w:r>
    </w:p>
    <w:p>
      <w:pPr>
        <w:spacing w:after="0" w:line="18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leveraging RAPs can overcome many limitations of conventional neurology drug discovery. RAPs have defining characteristics that we believe make them ideal tools in the development of precision neuromedicines. First, because RAPs play critical roles in modulating receptor assembly and function, understanding RAP biology provides powerful insights into neuronal signaling. Second, because RAPs can be differentially expressed in specific brain regions, we believe they can serve as drug targets with neuroanatomical specificity.</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Using two distinct strategies, we are leveraging our expertise in RAP biology to develop a portfolio of precision neuroscience product candidates that we believe will transform the treatment of many neurological and psychiatric disorders. One strategy uses a RAP as a direct target, which can be more precise than drugging a receptor itself. RAP-219 exemplifies this, as it has been shown in preclinical studies to bind to an AMPA RAP, TARP 8, which is enriched in brain regions where FOS originates or propagates.</w:t>
      </w:r>
    </w:p>
    <w:p>
      <w:pPr>
        <w:spacing w:after="0" w:line="180"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7"/>
          <w:szCs w:val="17"/>
          <w:color w:val="auto"/>
        </w:rPr>
        <w:t xml:space="preserve">A second strategy uses RAPs to “unlock” receptors for potentially first-in-class drug discovery programs. Many receptors cannot function without their RAPs, and such receptors have therefore been inaccessible to study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Our discovery platform integrates cutting-edge genetics with functional proteomics to discover RAPs that are regionally localized and involved in disease-related signaling. We have designed our platform to prosecute a wide range of validated therapeutic targets. This second strategy enabled our advanced discovery stage nAChR programs, which focus on  6ß4 and  9 10.</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RAP-219, Our TARP  8 Specific Product Candidate</w:t>
      </w:r>
    </w:p>
    <w:p>
      <w:pPr>
        <w:spacing w:after="0" w:line="22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Ionotropic receptors for glutamate (“iGluR”) are ligand gated ion channels activated by the neurotransmitter glutamate. These receptors mediate most excitatory synaptic transmission throughout the CNS. iGluRs comprise four subtypes based on their ligand binding properties: AMPARs, kainate receptors, N-methyl-D-aspartate (“NMDA”) receptors and delta receptors. The glutamate signaling pathway is targeted by FDA approved drugs for indications such as epilepsy, schizophrenia, Alzheimer’s disease and Parkinson’s disease. However, these glutamate medicines are associated with numerous side effects, such as sedation, ataxia, cognitive impairment and neuropsychiatric symptoms. These undesired effects may be exacerbated by the impact of these drugs on glutamate receptors throughout the brain.</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AMPARs are cation, or positively charged ion, channels that open to permit the influx of sodium ions (Na+) to depolarize postsynaptic membranes. In preclinical epilepsy models, RAP-219 reduced seizures without inducing sedation or motoric impairment, which are side effects that plague most existing ASMs. Owing to pharmacology studies in animal models as well as expression of TARP 8 in the limbic system, we believe RAP-219 may also potentially treat bipolar disorder. The initial formulation of RAP-219 is planned to be a once-per-day oral tablet. We also continue to develop a LAI candidate formulation amenable to subcutaneous administration, which we believe will result in better adherence and patient outcomes.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to Focal Onset Seizures</w:t>
      </w:r>
    </w:p>
    <w:p>
      <w:pPr>
        <w:spacing w:after="0" w:line="229"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7"/>
          <w:szCs w:val="17"/>
          <w:color w:val="auto"/>
        </w:rPr>
        <w:t>Epilepsy is a chronic neurological disorder characterized by spontaneous recurrence of sudden abnormal bursts of brain electrical activity that disrupt brain function and cause seizures. Epilepsy is estimated to affect 50 million people worldwide including 3.0 million adults in the United States. Epilepsy is the third most common neurological disorder, with almost 10 percent of people experiencing a seizure during their lives. The annual direct costs, including outpatient, inpatient, emergency care and treatment costs, of epilepsy in the United States are estimated to be $28 billion.</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Epilepsy can be divided into subgroups defined by the types of seizures that occur:</w:t>
      </w:r>
    </w:p>
    <w:p>
      <w:pPr>
        <w:spacing w:after="0" w:line="333" w:lineRule="exact"/>
        <w:rPr>
          <w:sz w:val="20"/>
          <w:szCs w:val="20"/>
          <w:color w:val="auto"/>
        </w:rPr>
      </w:pPr>
    </w:p>
    <w:p>
      <w:pPr>
        <w:ind w:left="1020" w:right="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Generalized epilepsy is characterized by seizures which involve both hemispheres of the brain and have classically been considered bilateral from seizure onset, Generalized epilepsies account for as much as 40 percent of all epilepsy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 w:name="page12"/>
    <w:bookmarkEnd w:id="11"/>
    <w:p>
      <w:pPr>
        <w:ind w:left="1020" w:right="620"/>
        <w:spacing w:after="0" w:line="266" w:lineRule="auto"/>
        <w:rPr>
          <w:sz w:val="20"/>
          <w:szCs w:val="20"/>
          <w:color w:val="auto"/>
        </w:rPr>
      </w:pPr>
      <w:r>
        <w:rPr>
          <w:rFonts w:ascii="Times New Roman" w:cs="Times New Roman" w:eastAsia="Times New Roman" w:hAnsi="Times New Roman"/>
          <w:sz w:val="18"/>
          <w:szCs w:val="18"/>
          <w:color w:val="auto"/>
        </w:rPr>
        <w:t>diagnoses. The most clinically apparent and severe type is known as PGTCS, which involves sudden loss of consciousness and body stiffening followed by rhythmic shaking (a “convulsion"). This seizure type is present in 25%-35% of all epilepsy patients which conservatively represents approximately 0.8M patients in the United States experiencing PGTCS.</w:t>
      </w:r>
    </w:p>
    <w:p>
      <w:pPr>
        <w:spacing w:after="0" w:line="284" w:lineRule="exact"/>
        <w:rPr>
          <w:sz w:val="20"/>
          <w:szCs w:val="20"/>
          <w:color w:val="auto"/>
        </w:rPr>
      </w:pPr>
    </w:p>
    <w:p>
      <w:pPr>
        <w:ind w:left="1020" w:hanging="503"/>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 are characterized by seizures affecting more restricted areas of the brain. FOS, which sometimes results in loss of consciousness or awareness, can lead to changes in the way things look, smell, feel, taste or sound. These seizures may be accompanied by involuntary jerking of a body part or by repetitive movements such as hand rubbing, chewing, or swallowing, and can even spread to become secondarily generalized seizures. Focal epilepsies account for 60 percent of all epilepsies. Figure 1 below illustrates the prevalence of FOS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128270</wp:posOffset>
            </wp:positionV>
            <wp:extent cx="4183380" cy="2468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8338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Figure 1. The prevalence of FOS in the United States is estimated to be 1.8 million patients</w:t>
      </w:r>
    </w:p>
    <w:p>
      <w:pPr>
        <w:spacing w:after="0" w:line="22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unpredictable nature of epilepsy has a profound negative impact on patient quality of life. Patients often limit their social engagement and physical activity for fear of seizures. Epilepsy also limits patients’ ability to function independently. For instance, in some U.S. states, individuals with epilepsy are required to have a record of being seizure-free for 3 to 12 months in order to drive. Epilepsy is often associated with depression, anxiety and psychosis and doubles the incidence of mental health disorders. Furthermore, epilepsy also presents serious mortality risk with approximately one percent of patients suffering sudden unexpected death in epilepsy (“SUDEP”). Having uncontrolled seizures increases the risk of SUDEP. Both treatment and indirect costs for individuals with uncontrolled epilepsy are significantly higher than for those with stable epilepsy.</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Current Standard of Care and Limitations</w:t>
      </w:r>
    </w:p>
    <w:p>
      <w:pPr>
        <w:spacing w:after="0" w:line="22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Treatment strategies for FOS can include both medical and surgical options, which strive to achieve seizure control with minimal AEs. Although there are over 20 FDA approved ASMs, 30 to 40 percent of patients have drug-resistant epilepsy and continue to experience uncontrolled seizures despite taking two or more ASMs. First-line treatment for FOS is monotherapy, prescribing one ASM which is selected based on a patient’s seizure type, medical history and their physician’s experience with a drug’s efficacy, tolerability and convenience.</w:t>
      </w:r>
    </w:p>
    <w:p>
      <w:pPr>
        <w:spacing w:after="0" w:line="18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Approved ASMs have many mechanisms of action, and most work by either inhibiting neuronal excitation or augmenting neuronal inhibition. Some ASMs blunt excitation by inhibiting voltage sensitive sodium or calcium channels or by blocking excitatory AMPA or NMDA receptors. Alternatively, some ASMs augment inhibition by enhancing -aminobutyric acid type A (“GABA</w:t>
      </w:r>
      <w:r>
        <w:rPr>
          <w:rFonts w:ascii="Times New Roman" w:cs="Times New Roman" w:eastAsia="Times New Roman" w:hAnsi="Times New Roman"/>
          <w:sz w:val="24"/>
          <w:szCs w:val="24"/>
          <w:color w:val="auto"/>
          <w:vertAlign w:val="subscript"/>
        </w:rPr>
        <w:t>A</w:t>
      </w:r>
      <w:r>
        <w:rPr>
          <w:rFonts w:ascii="Times New Roman" w:cs="Times New Roman" w:eastAsia="Times New Roman" w:hAnsi="Times New Roman"/>
          <w:sz w:val="18"/>
          <w:szCs w:val="18"/>
          <w:color w:val="auto"/>
        </w:rPr>
        <w:t>”) receptors or voltage-gated potassium channels. In addition, there are some ASMs for which the precise mechanism of action is not known and some which engage multiple targets. Most ASMs bind to targets expressed throughout the brain, and we believe this broad pharmacology can drive their side effects.</w:t>
      </w:r>
    </w:p>
    <w:p>
      <w:pPr>
        <w:spacing w:after="0" w:line="19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If a single ASM fails to prevent seizures, physicians often prescribe a different ASM or begin polypharmacy. When a prescribing physician decides which ASM to add to a drug-resistant patient’s drug regimen, one important factor is the desire to add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2" w:name="page13"/>
    <w:bookmarkEnd w:id="12"/>
    <w:p>
      <w:pPr>
        <w:spacing w:after="0" w:line="255" w:lineRule="auto"/>
        <w:rPr>
          <w:sz w:val="20"/>
          <w:szCs w:val="20"/>
          <w:color w:val="auto"/>
        </w:rPr>
      </w:pPr>
      <w:r>
        <w:rPr>
          <w:rFonts w:ascii="Times New Roman" w:cs="Times New Roman" w:eastAsia="Times New Roman" w:hAnsi="Times New Roman"/>
          <w:sz w:val="18"/>
          <w:szCs w:val="18"/>
          <w:color w:val="auto"/>
        </w:rPr>
        <w:t>a new ASM with a different mechanism of action from those ASMs the patient is already taking. The process of polypharmacy involves trial and error which can elevate risk of AEs and drug-drug interactions. Tolerability issues can lead patients to take suboptimal doses to minimize side effects or can lead to treatment discontinuation, which occurs in 30 to 40 percent of patients. AEs commonly reported with ASMs include systemic effects such as nausea and vomiting, neurologic effects such as sedation, cognitive effects, ataxia and dizziness. In addition, some ASMs are associated with severe medical safety risks, for example, rare idiosyncratic reactions such as the life- threatening multi-organ hypersensitivity reaction known as Drug Rash with Eosinophilia and Systemic Symptoms (DRESS), serious skin reactions such as Stevens-Johnson syndrome and toxic epidermal necrolysis, bone marrow suppression, significant liver and kidney abnormalities, and cardiac arrhythmias.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Antiseizure Therapy Through Modulation of Glutamate Signaling</w:t>
      </w:r>
    </w:p>
    <w:p>
      <w:pPr>
        <w:spacing w:after="0" w:line="22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Glutamate is the major excitatory neurotransmitter in the brain. Glutamate is released from presynaptic nerve terminals, and the activation of postsynaptic glutamate receptors is critical for neurotransmission. Accordingly, processes associated with glutamate release and its downstream signaling are highly regulated. Elevation in extracellular glutamate levels can lead to seizures, and ASMs blunt glutamate-dependent signaling through diverse mechanisms. Drugs such as phenytoin, carbamazepine, lamotrigine and lacosamide block voltage-gated sodium channels and inhibit action potentials from reaching the glutamate release machinery. Other drugs such as ethosuximide and ezogabine modulate voltage-gated calcium and potassium channels, respectively, which also can prevent the release of glutamate. Figure 2 below shows the mechanisms of currently approved ASMs, including many that modulate glutamate signaling.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268605</wp:posOffset>
            </wp:positionV>
            <wp:extent cx="5186045" cy="3634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8604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Created with Biorender.com. Bialer M, White HS. (2010). Key factors in the discovery and development of new antiepileptic drugs. Nature Reviews Drug Discovery, 9(1):68–82. doi:</w:t>
      </w:r>
    </w:p>
    <w:p>
      <w:pPr>
        <w:spacing w:after="0" w:line="226" w:lineRule="auto"/>
        <w:rPr>
          <w:sz w:val="20"/>
          <w:szCs w:val="20"/>
          <w:color w:val="auto"/>
        </w:rPr>
      </w:pPr>
      <w:r>
        <w:rPr>
          <w:rFonts w:ascii="Times New Roman" w:cs="Times New Roman" w:eastAsia="Times New Roman" w:hAnsi="Times New Roman"/>
          <w:sz w:val="14"/>
          <w:szCs w:val="14"/>
          <w:color w:val="auto"/>
        </w:rPr>
        <w:t>10.1038/nrd2997. Löscher W, Klein P. (2021). The Pharmacology and Clinical Efficacy of Antiseizure Medications: From Bromide Salts to Cenobamate and Beyond. CNS Drugs (2021) 35:935</w:t>
      </w:r>
    </w:p>
    <w:p>
      <w:pPr>
        <w:spacing w:after="0"/>
        <w:rPr>
          <w:sz w:val="20"/>
          <w:szCs w:val="20"/>
          <w:color w:val="auto"/>
        </w:rPr>
      </w:pPr>
      <w:r>
        <w:rPr>
          <w:rFonts w:ascii="Times New Roman" w:cs="Times New Roman" w:eastAsia="Times New Roman" w:hAnsi="Times New Roman"/>
          <w:sz w:val="14"/>
          <w:szCs w:val="14"/>
          <w:color w:val="auto"/>
        </w:rPr>
        <w:t>-963. doi: 10.1007/s40263-021-00827- 8.</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Figure 2. Mechanistic cartography of currently approved ASMs acting on the excitatory synapse (Left) and the inhibitor synapse (Right).</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3" w:name="page14"/>
    <w:bookmarkEnd w:id="13"/>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After being released into the synaptic cleft, glutamate can bind to AMPARs on postsynaptic neurons. This process permeates sodium and other cations, triggering a series of events that can ultimately lead to the generation of an action potential and the propagation of neuronal signals. Perampanel directly blocks the gating of all AMPARs, while other drugs, such as phenobarbital and tiagabine, oppose glutamate signaling by increasing the activity of inhibitory synaptic signaling driven by the GABAA receptors. Figure 2 above shows the mechanistic cartography of some existing ASMs, including many that modulate glutamate signaling in the excitatory synapse.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Supportive of RAP-219</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Preclinical studies have demonstrated RAP-219’s pharmacology and pharmacodynamic properties, as summarized below. In addition, preclinical studies have been conducted with third-party and earlier generation TARP 8 NAMs by us and third-parties, the results of which we believe are supportive of RAP-219 because these third-party and earlier generation TARP 8 NAMs share the same binding site and have similar pharmacological effects as RAP-219.</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RAP-219 was Found to Modulate Selectively TARP 8 Containing AMPA Receptors</w:t>
      </w:r>
    </w:p>
    <w:p>
      <w:pPr>
        <w:spacing w:after="0" w:line="227"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TARP 8 is expressed in specific brain regions, being most enriched in the neocortex and mesial temporal lobe. We believe this makes for an attractive drug target because most FOS initiate in these TARPγ8-enriched forebrain structures.</w:t>
      </w:r>
    </w:p>
    <w:p>
      <w:pPr>
        <w:spacing w:after="0" w:line="162"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Janssen tested RAP-219’s effect on recombinant human GluA1-TARP 8 complexes. The study found that RAP-219 inhibited the function of GluA1-TARP 8 receptors with half maximal effect, referred to as the IC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 at a concentration of approximately 100 pM, demonstrating RAP-219’s potency. By contrast, RAP-219 was found to be far less potent on complexes of GluA1 with other relevant TARP isoforms, including  2,  3,  4 or  7 or on other receptor types, such as NMDA receptors, G protein-coupled receptors (“GPCRs”), enzymes or and kinases.</w:t>
      </w:r>
    </w:p>
    <w:p>
      <w:pPr>
        <w:spacing w:after="0" w:line="20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corneal kindling induced seizure model in mice is considered to be a valid model in FOS. In this model studied by Janssen, repeated application of an electrical stimulus, which is initially subconvulsive, resulted in alterations in brain function that led to progressive sensitization to seizures. As illustrated in Figure 3 below, in fully kindled mice, oral administration of a single dose of RAP-219 at doses of 0.02 mg/kg to 3 mg/kg prevented seizures with an estimated half maximal effective concentration (“EC50”) occurring at 2.3 ng/mL plasma concentration. Immediately prior to the corneal kindling test, the same mice were assessed with a rotarod test. This is a performance test widely used to assess motor impairment and sedation in rodents. The lack of motoric impairment with RAP-219, even at approximately 100-fold higher exposures, is consistent with the lack of expression of TARP 8 in brain regions involved in motor coordination and sedation, such as the hindbrain. We believe that this preclinical data highlights one potential advantage of the precision targeting observed with RAP-219 in preclinical models is a wide therapeutic index that may be achieved by avoiding AMPAR modulation in the hindbrain. RAP-219’s potentially wider therapeutic index could translate to patients, providing sustained therapeutic benefit without intolerable side effects, improving upon the traditional ASMs.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1485265</wp:posOffset>
            </wp:positionH>
            <wp:positionV relativeFrom="page">
              <wp:posOffset>706120</wp:posOffset>
            </wp:positionV>
            <wp:extent cx="4577715" cy="3634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457771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Figure 3. RAP-219 had an estimated EC50 of 2.3 ng/mL in the corneal kindling mouse model of FOS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RAP-219 Preclinical Toxicity Studies</w:t>
      </w:r>
    </w:p>
    <w:p>
      <w:pPr>
        <w:spacing w:after="0" w:line="227"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toxicity of RAP-219 has been evaluated through multiple toxicology studies as recommended in ICH guidance. Based on the preclinical toxicology data collected to date, we believe RAP-219 has a favorable tolerability profile. These data support continued development of once-daily oral dosing of RAP-219.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RAP-219 Phase 1 Trials in Healthy Adult Volunteers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Several Phase 1 trials have been completed with finalized results, including a SAD trial, a first MAD trial, a MAD-2 trial, and a human PET trial.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more than 100 healthy volunteers have been exposed to RAP-219 at single doses up to 3 mg and multiple doses up to 1.75 mg.</w:t>
      </w:r>
    </w:p>
    <w:p>
      <w:pPr>
        <w:spacing w:after="0" w:line="20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SAD trial had two parts. Part 1 was randomized, double-blind and placebo-controlled; and evaluated doses from 0.25 mg to 3 mg; and Part 2 was an open label single cohort evaluation of the effect of a high-fat meal on the pharmacokinetics of a 1 mg single dose of RAP-219. There were five cohorts in the Phase 1 SAD trial Part 1 and each cohort consisted of six participants who received RAP-219 and two who received placebo. The pharmacokinetics of RAP-219 in the SAD Part 1 trial were characterized by low clearance and a long terminal elimination half-life of approximately 8 to 15 days. The maximum exposures (Cmax) at the 2 mg and 3 mg doses exceed 70 percent RO based on observations in the human PET trial. In Part 1 of the SAD trial, all dose levels were generally well tolerated with all drug related TEAEs rated as mild (grade 1) or moderate (grade 2). The most common TEAEs across the active treatment groups in Part 1 (occurred in ≥2 participants who received RAP-219) were sinus tachycardia (n=5 [16.7%]); anxiety and amnesia, (n=4 [13.3%] each); dizziness, paraesthesia, and palpitations (n=3 [10.0%] each). These TEAEs occurred mostly in participants receiving 2 or 3 mg. The majority of events resolved within 1 day. In Part 2, there were six subjects who received 1 mg of RAP-219. A modest increase in overall exposure (25% increase in area under the curve) and maximum exposure (42% increase in Cmax) were observed when RAP-219 was dosed with a high-fat, high-calorie meal.</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ind w:right="60" w:firstLine="499"/>
        <w:spacing w:after="0" w:line="282" w:lineRule="auto"/>
        <w:rPr>
          <w:sz w:val="20"/>
          <w:szCs w:val="20"/>
          <w:color w:val="auto"/>
        </w:rPr>
      </w:pPr>
      <w:r>
        <w:rPr>
          <w:rFonts w:ascii="Times New Roman" w:cs="Times New Roman" w:eastAsia="Times New Roman" w:hAnsi="Times New Roman"/>
          <w:sz w:val="18"/>
          <w:szCs w:val="18"/>
          <w:color w:val="auto"/>
        </w:rPr>
        <w:t>The MAD trial was a randomized, double-blind, placebo-controlled trial evaluating once-daily doses of RAP-219 ranging from 0.25 mg to 1.25 mg over two or four weeks. Each of the five cohorts consisted of six participants receiving RAP-219 and two receiving a placebo.</w:t>
      </w:r>
    </w:p>
    <w:p>
      <w:pPr>
        <w:spacing w:after="0" w:line="162"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The MAD-2 trial was a randomized, double-blind, placebo-controlled trial evaluating once-daily doses of RAP-219 ranging from 0.5 mg to 1.75 mg over 8 or 28 days. Each of the three cohorts consisted of six participants receiving RAP-219 and two receiving a placebo.</w:t>
      </w:r>
    </w:p>
    <w:p>
      <w:pPr>
        <w:spacing w:after="0" w:line="162" w:lineRule="exact"/>
        <w:rPr>
          <w:sz w:val="20"/>
          <w:szCs w:val="20"/>
          <w:color w:val="auto"/>
        </w:rPr>
      </w:pPr>
    </w:p>
    <w:p>
      <w:pPr>
        <w:jc w:val="both"/>
        <w:ind w:right="140" w:firstLine="499"/>
        <w:spacing w:after="0" w:line="266" w:lineRule="auto"/>
        <w:rPr>
          <w:sz w:val="20"/>
          <w:szCs w:val="20"/>
          <w:color w:val="auto"/>
        </w:rPr>
      </w:pPr>
      <w:r>
        <w:rPr>
          <w:rFonts w:ascii="Times New Roman" w:cs="Times New Roman" w:eastAsia="Times New Roman" w:hAnsi="Times New Roman"/>
          <w:sz w:val="18"/>
          <w:szCs w:val="18"/>
          <w:color w:val="auto"/>
        </w:rPr>
        <w:t>Multiple dose pharmacokinetics was marked by an approximate 8-fold accumulation in overall exposure (AUCtau) following 28 days of dosing at 0.75 mg and by approximately 3- to 4-fold increases in Cmax after 1.25 mg and 1.75 mg dosing, respectively, compared to the highest single dose of 3.0 mg. Similar to single dose pharmacokinetics, a long elimination half-life was also observed after multiple doses (mean of 492 to 960 hours).</w:t>
      </w:r>
    </w:p>
    <w:p>
      <w:pPr>
        <w:spacing w:after="0" w:line="176" w:lineRule="exact"/>
        <w:rPr>
          <w:sz w:val="20"/>
          <w:szCs w:val="20"/>
          <w:color w:val="auto"/>
        </w:rPr>
      </w:pPr>
    </w:p>
    <w:p>
      <w:pPr>
        <w:ind w:right="60" w:firstLine="499"/>
        <w:spacing w:after="0" w:line="261" w:lineRule="auto"/>
        <w:rPr>
          <w:sz w:val="20"/>
          <w:szCs w:val="20"/>
          <w:color w:val="auto"/>
        </w:rPr>
      </w:pPr>
      <w:r>
        <w:rPr>
          <w:rFonts w:ascii="Times New Roman" w:cs="Times New Roman" w:eastAsia="Times New Roman" w:hAnsi="Times New Roman"/>
          <w:sz w:val="18"/>
          <w:szCs w:val="18"/>
          <w:color w:val="auto"/>
        </w:rPr>
        <w:t>The PET trial was an open label trial using a companion PET radiotracer to confirm neuroanatomical distribution TARPg8 expression and to determine dose-exposure-brain TARPg8 RO across a range of dosing and exposure levels. Cohort 1 was given the same dosing regimen used in the Phase 2a trial (0.75 mg daily for 5 days, followed by 1.25 mg daily for 9 days); Cohort 2 was given 0.25 mg daily for 14 days; Cohort 3 was given 0.25 mg daily for 7 days, followed by 0.5 mg daily for 7 days.</w:t>
      </w:r>
    </w:p>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Figures 4 &amp; 5 show the distribution of TARPg8 binding sites in the brain. These images show that TARPg8 binding sites are enriched in the</w:t>
      </w:r>
    </w:p>
    <w:p>
      <w:pPr>
        <w:spacing w:after="0" w:line="27"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8"/>
          <w:szCs w:val="18"/>
          <w:color w:val="auto"/>
        </w:rPr>
        <w:t>neocortex and mesial temporal lobe with minimal levels in areas such as the brainstem and cerebellum. Calculated volume of distribution (V</w:t>
      </w:r>
      <w:r>
        <w:rPr>
          <w:rFonts w:ascii="Times New Roman" w:cs="Times New Roman" w:eastAsia="Times New Roman" w:hAnsi="Times New Roman"/>
          <w:sz w:val="24"/>
          <w:szCs w:val="24"/>
          <w:color w:val="auto"/>
          <w:vertAlign w:val="subscript"/>
        </w:rPr>
        <w:t>T</w:t>
      </w:r>
      <w:r>
        <w:rPr>
          <w:rFonts w:ascii="Times New Roman" w:cs="Times New Roman" w:eastAsia="Times New Roman" w:hAnsi="Times New Roman"/>
          <w:sz w:val="18"/>
          <w:szCs w:val="18"/>
          <w:color w:val="auto"/>
        </w:rPr>
        <w:t>) parameters for different brain regions further confirmed that TARPg8 binding sites are quantitatively enriched in the neocortex and mesial temporal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137795</wp:posOffset>
            </wp:positionV>
            <wp:extent cx="5580380" cy="1971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8038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i w:val="1"/>
          <w:iCs w:val="1"/>
          <w:color w:val="auto"/>
        </w:rPr>
        <w:t>Figure 4. Pre- and 14 Day Post-Dose Average Baseline PET Scans Across All Subjects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2359660</wp:posOffset>
            </wp:positionH>
            <wp:positionV relativeFrom="page">
              <wp:posOffset>637540</wp:posOffset>
            </wp:positionV>
            <wp:extent cx="3300730" cy="3488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3300730" cy="348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Figure 5. Clinical TARPg8 PET Images</w:t>
      </w:r>
    </w:p>
    <w:p>
      <w:pPr>
        <w:spacing w:after="0" w:line="33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Figure 6 below shows the relationship between Day 14 observed plasma concentrations (drawn ~4 hours post-dose) and observed TARP</w:t>
      </w:r>
      <w:r>
        <w:rPr>
          <w:rFonts w:ascii="Times New Roman" w:cs="Times New Roman" w:eastAsia="Times New Roman" w:hAnsi="Times New Roman"/>
          <w:sz w:val="18"/>
          <w:szCs w:val="18"/>
          <w:i w:val="1"/>
          <w:iCs w:val="1"/>
          <w:color w:val="auto"/>
        </w:rPr>
        <w:t>g8</w:t>
      </w:r>
      <w:r>
        <w:rPr>
          <w:rFonts w:ascii="Times New Roman" w:cs="Times New Roman" w:eastAsia="Times New Roman" w:hAnsi="Times New Roman"/>
          <w:sz w:val="18"/>
          <w:szCs w:val="18"/>
          <w:color w:val="auto"/>
        </w:rPr>
        <w:t xml:space="preserve"> RO. This relationship represents a presumed sigmoidal shape with approximately 50%, 70% and 80% RO being associated with plasma concentrations of ~2.0 ng/mL, 3.7 ng/mL, and 6.4 ng/mL, respectively. The range of plasma concentration values associated with 50% to 70% RO (range of maximal efficacy based on the preclinical corneal kindling model) was lower than expected based on predictions from preclinical RO assessments in multiple species. Based on the RO observed on Day 14 and the long half-life of TARP</w:t>
      </w:r>
      <w:r>
        <w:rPr>
          <w:rFonts w:ascii="Times New Roman" w:cs="Times New Roman" w:eastAsia="Times New Roman" w:hAnsi="Times New Roman"/>
          <w:sz w:val="18"/>
          <w:szCs w:val="18"/>
          <w:i w:val="1"/>
          <w:iCs w:val="1"/>
          <w:color w:val="auto"/>
        </w:rPr>
        <w:t>g8,</w:t>
      </w:r>
      <w:r>
        <w:rPr>
          <w:rFonts w:ascii="Times New Roman" w:cs="Times New Roman" w:eastAsia="Times New Roman" w:hAnsi="Times New Roman"/>
          <w:sz w:val="18"/>
          <w:szCs w:val="18"/>
          <w:color w:val="auto"/>
        </w:rPr>
        <w:t xml:space="preserve"> RO is anticipated to increase gradually with repeated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-6985</wp:posOffset>
            </wp:positionV>
            <wp:extent cx="5246370" cy="3060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4637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left="3020"/>
        <w:spacing w:after="0"/>
        <w:rPr>
          <w:sz w:val="20"/>
          <w:szCs w:val="20"/>
          <w:color w:val="auto"/>
        </w:rPr>
      </w:pPr>
      <w:r>
        <w:rPr>
          <w:rFonts w:ascii="Times New Roman" w:cs="Times New Roman" w:eastAsia="Times New Roman" w:hAnsi="Times New Roman"/>
          <w:sz w:val="18"/>
          <w:szCs w:val="18"/>
          <w:i w:val="1"/>
          <w:iCs w:val="1"/>
          <w:color w:val="auto"/>
        </w:rPr>
        <w:t>Figure 6. Relationship between RAP-219 Plasma Concentrations and TARPγ8 RO</w:t>
      </w:r>
    </w:p>
    <w:p>
      <w:pPr>
        <w:spacing w:after="0" w:line="119"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Overall, sixty-four healthy volunteers were exposed to multiples doses of RAP-219 in the MAD, MAD-2 and PET Phase 1 trials. RAP-219 was generally well-tolerated in all studies. TEAEs occurring at an incidence of &gt;5% in the aggregated dataset were headache (12 participants [18.75%]), dry mouth (5 participants [7.81%]), brain fog (5 participants [7.81%]), fatigue (5 participants [7.81%]), sinus tachycardia (4 participants [6.25%]), insomnia (4 participants [6.25%]), decreased appetite (4 participants [6.25%]), diarrhea (4 participants [6.25%]), vision blurred (4 participants [6.25%]), medical device site reaction (3 participants [4.69%]), constipation (3 participants [4.69%]), disturbance in attention (3 participants [4.69%]), catheter site hematoma (3 participants [4.69%]), back pain (3 participants [4.69%]), abnormal dreams (3 participants [4.69%]), and bowel movement irregularity (3 participants</w:t>
      </w:r>
    </w:p>
    <w:p>
      <w:pPr>
        <w:spacing w:after="0" w:line="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[4.69%]). Among those TEAEs observed at an incidence of &gt;5% in the participants exposed to RAP-219, those observed in the placebo group (n=16) were brain fog, decreased appetite, medical device site reaction, and constipation (each observed in 1 participant [6.25%]).</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Proof-of-Concept Approach for RAP-219 in Drug-Resistant Focal Onset Seizures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For the Phase 2a proof-of-concept, open label trial of RAP-219, we enrolled 30 participants who have previously been implanted with an intracranial RNS system, marketed by NeuroPace, Inc. (“NeuroPace”), to monitor and manage their epilepsy. Additional key participant eligibility criteria include implantation of the RNS system at least 15 months before screening, stable device configuration, stimulation and detection settings (including the duration of “long episodes” (“LEs”) recorded by the RNS system) for at least eight weeks before screening, at least an average of eight LEs per 4-week interval and at least one clinical seizure in the 8-week retrospective eligibility period, treatment with a maximum of four concomitant medications and no generalized onset seizures in the past ten years. Participants in this trial received a dose of 0.75 mg per day for 5 days, followed by 1.25 mg per day for the remainder of the treatment period. Our Phase 2a proof-of-concept trial design is further detailed in Figure 7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131445</wp:posOffset>
            </wp:positionV>
            <wp:extent cx="4894580" cy="934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9458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Figure 7. Phase 2a Proof-of-Concept Trial Schema.</w:t>
      </w:r>
    </w:p>
    <w:p>
      <w:pPr>
        <w:spacing w:after="0" w:line="227"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The primary endpoint of our Phase 2a proof-of-concept trial was a reduction in frequency of LEs recorded by the RNS system, specifically the change in LE frequency during the treatment period (weeks 1-8) compared to baseline frequency (frequency per 28 days determined across 8-week retrospective and 4-week prospective baseline intervals). The primary analysis was both a responder analysis to determine the proportion of participants who experience a greater than or equal to 30% decrease in long episode frequency per 28 days and median percent change from baseline in long episode frequency. The key secondary endpoints of this proof-of-concept trial included median percent change in clinical seizure frequency (measured using patient-recorded paper diaries) and the proportion of participants who experienced a greater than or equal to 50% decrease in clinical seizure frequency during the treatment period.</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November 2023, we established a collaboration with NeuroPace to leverage the RNS system’s data to track responses of patients receiving RAP-219 in our Phase 2a proof-of-concept trial. This collaboration allowed us to more rapidly identify study sites and efficiently screen appropriate patients in the recruitment of our Phase 2a proof-of-concept trial. We believe access to NeuroPace’s data collection and analysis capabilities enabled us to efficiently prepare our proof-of-concept data package.</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RNS system is FDA approved for the treatment of drug-resistant FOS. The RNS system involves a surgeon implanting a small battery-powered device called a responsive neurostimulator in the patient’s skull. The neurostimulator is connected to thin wires, or electrodes, that the surgeon places in areas of the brain where the patient’s seizures originate. The device continuously records the brain’s electrical activity for abnormal epileptiform patterns. Abnormal brain electrical activity detected by the RNS system that could likely lead to a seizure is referred to as a LE. When abnormal activity is detected, the device delivers a pulse of electrical stimulation that may halt the seizure and prevent it from spreading to other brain regions.</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Patients with the implanted RNS system typically also receive ASMs, and additional oral therapies may be prescribed to optimize treatment since many patients continue to have seizures after implantation of the device. Two retrospective studies published in peer reviewed epilepsy journals have demonstrated that when new ASMs are added to an RNS system patient’s treatment regimen, LE changes detected by the RNS system within one to four weeks of new ASM treatment initiation are predictive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18" w:name="page19"/>
    <w:bookmarkEnd w:id="18"/>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of long-term clinical response (i.e., a clinically meaningful reduction in focal seizures) to the new ASM. In addition, other iEEG measures obtained from the RNS system have also been shown to be predictive of clinical response, such as detections or episode starts, spike frequency and spectral power, and were used as secondary or exploratory endpoints in this trial.</w:t>
      </w:r>
    </w:p>
    <w:p>
      <w:pPr>
        <w:spacing w:after="0" w:line="176"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Testing RAP-219 in patients with the RNS system provided the opportunity to objectively quantify changes in LE frequency as a potential biomarker of efficacy. Because LEs have been shown to provide an early and objective indicator of clinical response to an ASM, and because the population of patients with the RNS system is representative of the drug-resistant FOS patient population that will be the focus of future registrational trials, quantifying LEs after the addition of RAP-219 may provide a clearer perspective on the potential of RAP-219 to provide clinical benefit in future FOS trials. We enrolled patients who were treated with an RNS system for at least 15 months, had stable device configuration settings, stimulation and detection settings (including LE duration) for at least eight weeks before screening and continued to have seizures while also on a stable ASM regimen.</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RNS proof-of-concept protocol was chosen after discussions with key opinion leaders, consultants, and clinical advisory boards, and it was determined that it provided the best chance of translatability to registrational trial outcomes in FOS.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from Phase 2a proof-of-concept study of RAP-219 in Focal Onset Seizures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Thirty participants were enrolled in the Phase 2a proof-of-concept study and received at least one dose of RAP-219. Twenty-six participants (86.7%) completed dosing. The primary reasons for discontinuation of RAP-219 were AE (3 participants [10.0%]) and Other (1 participant [3.3%]).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Efficacy Results</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Efficacy findings from the Phase 2a trial demonstrated statistically significant results for primary long episode (“LE”) endpoints and key secondary endpoints of clinical seizures. In the 8-week treatment period, 85.2% of patients achieved ≥30% reduction in LEs from baseline (p&lt;0.0001), 72.0% achieved ≥50% reduction in clinical seizures from baseline (p&lt;0.0001), and 24% of patients achieved seizure freedom for the 8-week treatment period (p&lt;0.0001). Topline efficacy data are shown in the following table.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tbl>
      <w:tblPr>
        <w:tblLayout w:type="fixed"/>
        <w:tblInd w:w="650" w:type="dxa"/>
        <w:tblCellMar>
          <w:top w:w="0" w:type="dxa"/>
          <w:left w:w="0" w:type="dxa"/>
          <w:bottom w:w="0" w:type="dxa"/>
          <w:right w:w="0" w:type="dxa"/>
        </w:tblCellMar>
      </w:tblPr>
      <w:tr>
        <w:trPr>
          <w:trHeight w:val="341"/>
        </w:trPr>
        <w:tc>
          <w:tcPr>
            <w:tcW w:w="856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Outcome Measures for 8-Week Treatment Period</w:t>
            </w:r>
          </w:p>
        </w:tc>
        <w:tc>
          <w:tcPr>
            <w:tcW w:w="1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RAP-219</w:t>
            </w:r>
          </w:p>
        </w:tc>
        <w:tc>
          <w:tcPr>
            <w:tcW w:w="0" w:type="dxa"/>
            <w:vAlign w:val="bottom"/>
          </w:tcPr>
          <w:p>
            <w:pPr>
              <w:spacing w:after="0"/>
              <w:rPr>
                <w:sz w:val="1"/>
                <w:szCs w:val="1"/>
                <w:color w:val="auto"/>
              </w:rPr>
            </w:pPr>
          </w:p>
        </w:tc>
      </w:tr>
      <w:tr>
        <w:trPr>
          <w:trHeight w:val="165"/>
        </w:trPr>
        <w:tc>
          <w:tcPr>
            <w:tcW w:w="3360" w:type="dxa"/>
            <w:vAlign w:val="bottom"/>
            <w:tcBorders>
              <w:left w:val="single" w:sz="8" w:color="auto"/>
              <w:bottom w:val="single" w:sz="8" w:color="auto"/>
            </w:tcBorders>
          </w:tcPr>
          <w:p>
            <w:pPr>
              <w:spacing w:after="0"/>
              <w:rPr>
                <w:sz w:val="14"/>
                <w:szCs w:val="14"/>
                <w:color w:val="auto"/>
              </w:rPr>
            </w:pPr>
          </w:p>
        </w:tc>
        <w:tc>
          <w:tcPr>
            <w:tcW w:w="520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33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Long Episodes (LEs)—</w:t>
            </w:r>
          </w:p>
        </w:tc>
        <w:tc>
          <w:tcPr>
            <w:tcW w:w="5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Patients with ≥30% reduction in LEs from baseline</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29"/>
        </w:trPr>
        <w:tc>
          <w:tcPr>
            <w:tcW w:w="3360" w:type="dxa"/>
            <w:vAlign w:val="bottom"/>
            <w:tcBorders>
              <w:right w:val="single" w:sz="8" w:color="auto"/>
            </w:tcBorders>
            <w:vMerge w:val="continue"/>
          </w:tcPr>
          <w:p>
            <w:pPr>
              <w:spacing w:after="0"/>
              <w:rPr>
                <w:sz w:val="19"/>
                <w:szCs w:val="19"/>
                <w:color w:val="auto"/>
              </w:rPr>
            </w:pPr>
          </w:p>
        </w:tc>
        <w:tc>
          <w:tcPr>
            <w:tcW w:w="5200" w:type="dxa"/>
            <w:vAlign w:val="bottom"/>
            <w:tcBorders>
              <w:right w:val="single" w:sz="8" w:color="auto"/>
            </w:tcBorders>
            <w:vMerge w:val="continue"/>
          </w:tcPr>
          <w:p>
            <w:pPr>
              <w:spacing w:after="0"/>
              <w:rPr>
                <w:sz w:val="19"/>
                <w:szCs w:val="19"/>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(p&lt;0.0001)</w:t>
            </w:r>
          </w:p>
        </w:tc>
        <w:tc>
          <w:tcPr>
            <w:tcW w:w="0" w:type="dxa"/>
            <w:vAlign w:val="bottom"/>
          </w:tcPr>
          <w:p>
            <w:pPr>
              <w:spacing w:after="0"/>
              <w:rPr>
                <w:sz w:val="1"/>
                <w:szCs w:val="1"/>
                <w:color w:val="auto"/>
              </w:rPr>
            </w:pPr>
          </w:p>
        </w:tc>
      </w:tr>
      <w:tr>
        <w:trPr>
          <w:trHeight w:val="135"/>
        </w:trPr>
        <w:tc>
          <w:tcPr>
            <w:tcW w:w="33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primary efficacy endpoint</w:t>
            </w:r>
          </w:p>
        </w:tc>
        <w:tc>
          <w:tcPr>
            <w:tcW w:w="5200" w:type="dxa"/>
            <w:vAlign w:val="bottom"/>
            <w:tcBorders>
              <w:right w:val="single" w:sz="8" w:color="auto"/>
            </w:tcBorders>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Borders>
              <w:right w:val="single" w:sz="8" w:color="auto"/>
            </w:tcBorders>
            <w:vMerge w:val="continue"/>
          </w:tcPr>
          <w:p>
            <w:pPr>
              <w:spacing w:after="0"/>
              <w:rPr>
                <w:sz w:val="11"/>
                <w:szCs w:val="11"/>
                <w:color w:val="auto"/>
              </w:rPr>
            </w:pPr>
          </w:p>
        </w:tc>
        <w:tc>
          <w:tcPr>
            <w:tcW w:w="520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3360" w:type="dxa"/>
            <w:vAlign w:val="bottom"/>
            <w:tcBorders>
              <w:right w:val="single" w:sz="8" w:color="auto"/>
            </w:tcBorders>
            <w:vMerge w:val="continue"/>
          </w:tcPr>
          <w:p>
            <w:pPr>
              <w:spacing w:after="0"/>
              <w:rPr>
                <w:sz w:val="6"/>
                <w:szCs w:val="6"/>
                <w:color w:val="auto"/>
              </w:rPr>
            </w:pPr>
          </w:p>
        </w:tc>
        <w:tc>
          <w:tcPr>
            <w:tcW w:w="5200" w:type="dxa"/>
            <w:vAlign w:val="bottom"/>
            <w:tcBorders>
              <w:right w:val="single" w:sz="8" w:color="auto"/>
            </w:tcBorders>
          </w:tcPr>
          <w:p>
            <w:pPr>
              <w:spacing w:after="0"/>
              <w:rPr>
                <w:sz w:val="6"/>
                <w:szCs w:val="6"/>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43"/>
        </w:trPr>
        <w:tc>
          <w:tcPr>
            <w:tcW w:w="33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mITT: N=27</w:t>
            </w:r>
          </w:p>
        </w:tc>
        <w:tc>
          <w:tcPr>
            <w:tcW w:w="5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Median reduction in LE frequency from baseline</w:t>
            </w: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3360" w:type="dxa"/>
            <w:vAlign w:val="bottom"/>
            <w:tcBorders>
              <w:right w:val="single" w:sz="8" w:color="auto"/>
            </w:tcBorders>
            <w:vMerge w:val="continue"/>
          </w:tcPr>
          <w:p>
            <w:pPr>
              <w:spacing w:after="0"/>
              <w:rPr>
                <w:sz w:val="9"/>
                <w:szCs w:val="9"/>
                <w:color w:val="auto"/>
              </w:rPr>
            </w:pPr>
          </w:p>
        </w:tc>
        <w:tc>
          <w:tcPr>
            <w:tcW w:w="5200" w:type="dxa"/>
            <w:vAlign w:val="bottom"/>
            <w:tcBorders>
              <w:right w:val="single" w:sz="8" w:color="auto"/>
            </w:tcBorders>
            <w:vMerge w:val="continue"/>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360" w:type="dxa"/>
            <w:vAlign w:val="bottom"/>
            <w:tcBorders>
              <w:right w:val="single" w:sz="8" w:color="auto"/>
            </w:tcBorders>
          </w:tcPr>
          <w:p>
            <w:pPr>
              <w:spacing w:after="0"/>
              <w:rPr>
                <w:sz w:val="5"/>
                <w:szCs w:val="5"/>
                <w:color w:val="auto"/>
              </w:rPr>
            </w:pPr>
          </w:p>
        </w:tc>
        <w:tc>
          <w:tcPr>
            <w:tcW w:w="5200" w:type="dxa"/>
            <w:vAlign w:val="bottom"/>
            <w:tcBorders>
              <w:right w:val="single" w:sz="8" w:color="auto"/>
            </w:tcBorders>
            <w:vMerge w:val="continue"/>
          </w:tcPr>
          <w:p>
            <w:pPr>
              <w:spacing w:after="0"/>
              <w:rPr>
                <w:sz w:val="5"/>
                <w:szCs w:val="5"/>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(p=0.0001)</w:t>
            </w:r>
          </w:p>
        </w:tc>
        <w:tc>
          <w:tcPr>
            <w:tcW w:w="0" w:type="dxa"/>
            <w:vAlign w:val="bottom"/>
          </w:tcPr>
          <w:p>
            <w:pPr>
              <w:spacing w:after="0"/>
              <w:rPr>
                <w:sz w:val="1"/>
                <w:szCs w:val="1"/>
                <w:color w:val="auto"/>
              </w:rPr>
            </w:pPr>
          </w:p>
        </w:tc>
      </w:tr>
      <w:tr>
        <w:trPr>
          <w:trHeight w:val="189"/>
        </w:trPr>
        <w:tc>
          <w:tcPr>
            <w:tcW w:w="3360" w:type="dxa"/>
            <w:vAlign w:val="bottom"/>
            <w:tcBorders>
              <w:right w:val="single" w:sz="8" w:color="auto"/>
            </w:tcBorders>
          </w:tcPr>
          <w:p>
            <w:pPr>
              <w:spacing w:after="0"/>
              <w:rPr>
                <w:sz w:val="16"/>
                <w:szCs w:val="16"/>
                <w:color w:val="auto"/>
              </w:rPr>
            </w:pPr>
          </w:p>
        </w:tc>
        <w:tc>
          <w:tcPr>
            <w:tcW w:w="5200" w:type="dxa"/>
            <w:vAlign w:val="bottom"/>
            <w:tcBorders>
              <w:right w:val="single" w:sz="8" w:color="auto"/>
            </w:tcBorders>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60" w:type="dxa"/>
            <w:vAlign w:val="bottom"/>
            <w:tcBorders>
              <w:bottom w:val="single" w:sz="8" w:color="auto"/>
              <w:right w:val="single" w:sz="8" w:color="auto"/>
            </w:tcBorders>
          </w:tcPr>
          <w:p>
            <w:pPr>
              <w:spacing w:after="0"/>
              <w:rPr>
                <w:sz w:val="11"/>
                <w:szCs w:val="11"/>
                <w:color w:val="auto"/>
              </w:rPr>
            </w:pPr>
          </w:p>
        </w:tc>
        <w:tc>
          <w:tcPr>
            <w:tcW w:w="520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3360" w:type="dxa"/>
            <w:vAlign w:val="bottom"/>
            <w:tcBorders>
              <w:right w:val="single" w:sz="8" w:color="auto"/>
            </w:tcBorders>
          </w:tcPr>
          <w:p>
            <w:pPr>
              <w:spacing w:after="0"/>
              <w:rPr>
                <w:sz w:val="24"/>
                <w:szCs w:val="24"/>
                <w:color w:val="auto"/>
              </w:rPr>
            </w:pPr>
          </w:p>
        </w:tc>
        <w:tc>
          <w:tcPr>
            <w:tcW w:w="5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Patients with ≥50% reduction in clinical seizures from baseline</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176"/>
        </w:trPr>
        <w:tc>
          <w:tcPr>
            <w:tcW w:w="3360" w:type="dxa"/>
            <w:vAlign w:val="bottom"/>
            <w:tcBorders>
              <w:right w:val="single" w:sz="8" w:color="auto"/>
            </w:tcBorders>
          </w:tcPr>
          <w:p>
            <w:pPr>
              <w:spacing w:after="0"/>
              <w:rPr>
                <w:sz w:val="15"/>
                <w:szCs w:val="15"/>
                <w:color w:val="auto"/>
              </w:rPr>
            </w:pPr>
          </w:p>
        </w:tc>
        <w:tc>
          <w:tcPr>
            <w:tcW w:w="5200" w:type="dxa"/>
            <w:vAlign w:val="bottom"/>
            <w:tcBorders>
              <w:right w:val="single" w:sz="8" w:color="auto"/>
            </w:tcBorders>
            <w:vMerge w:val="continue"/>
          </w:tcPr>
          <w:p>
            <w:pPr>
              <w:spacing w:after="0"/>
              <w:rPr>
                <w:sz w:val="15"/>
                <w:szCs w:val="15"/>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(p&lt;0.0001)</w:t>
            </w:r>
          </w:p>
        </w:tc>
        <w:tc>
          <w:tcPr>
            <w:tcW w:w="0" w:type="dxa"/>
            <w:vAlign w:val="bottom"/>
          </w:tcPr>
          <w:p>
            <w:pPr>
              <w:spacing w:after="0"/>
              <w:rPr>
                <w:sz w:val="1"/>
                <w:szCs w:val="1"/>
                <w:color w:val="auto"/>
              </w:rPr>
            </w:pPr>
          </w:p>
        </w:tc>
      </w:tr>
      <w:tr>
        <w:trPr>
          <w:trHeight w:val="189"/>
        </w:trPr>
        <w:tc>
          <w:tcPr>
            <w:tcW w:w="3360" w:type="dxa"/>
            <w:vAlign w:val="bottom"/>
            <w:tcBorders>
              <w:right w:val="single" w:sz="8" w:color="auto"/>
            </w:tcBorders>
          </w:tcPr>
          <w:p>
            <w:pPr>
              <w:spacing w:after="0"/>
              <w:rPr>
                <w:sz w:val="16"/>
                <w:szCs w:val="16"/>
                <w:color w:val="auto"/>
              </w:rPr>
            </w:pPr>
          </w:p>
        </w:tc>
        <w:tc>
          <w:tcPr>
            <w:tcW w:w="5200" w:type="dxa"/>
            <w:vAlign w:val="bottom"/>
            <w:tcBorders>
              <w:right w:val="single" w:sz="8" w:color="auto"/>
            </w:tcBorders>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Clinical Seizures (CS)—</w:t>
            </w:r>
          </w:p>
        </w:tc>
        <w:tc>
          <w:tcPr>
            <w:tcW w:w="520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60" w:type="dxa"/>
            <w:vAlign w:val="bottom"/>
            <w:tcBorders>
              <w:right w:val="single" w:sz="8" w:color="auto"/>
            </w:tcBorders>
            <w:vMerge w:val="continue"/>
          </w:tcPr>
          <w:p>
            <w:pPr>
              <w:spacing w:after="0"/>
              <w:rPr>
                <w:sz w:val="11"/>
                <w:szCs w:val="11"/>
                <w:color w:val="auto"/>
              </w:rPr>
            </w:pPr>
          </w:p>
        </w:tc>
        <w:tc>
          <w:tcPr>
            <w:tcW w:w="5200" w:type="dxa"/>
            <w:vAlign w:val="bottom"/>
            <w:tcBorders>
              <w:right w:val="single" w:sz="8" w:color="auto"/>
            </w:tcBorders>
          </w:tcPr>
          <w:p>
            <w:pPr>
              <w:spacing w:after="0"/>
              <w:rPr>
                <w:sz w:val="11"/>
                <w:szCs w:val="11"/>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89"/>
        </w:trPr>
        <w:tc>
          <w:tcPr>
            <w:tcW w:w="33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key secondary endpoint</w:t>
            </w:r>
          </w:p>
        </w:tc>
        <w:tc>
          <w:tcPr>
            <w:tcW w:w="5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Patients who achieved seizure freedom</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60" w:type="dxa"/>
            <w:vAlign w:val="bottom"/>
            <w:tcBorders>
              <w:right w:val="single" w:sz="8" w:color="auto"/>
            </w:tcBorders>
            <w:vMerge w:val="continue"/>
          </w:tcPr>
          <w:p>
            <w:pPr>
              <w:spacing w:after="0"/>
              <w:rPr>
                <w:sz w:val="15"/>
                <w:szCs w:val="15"/>
                <w:color w:val="auto"/>
              </w:rPr>
            </w:pPr>
          </w:p>
        </w:tc>
        <w:tc>
          <w:tcPr>
            <w:tcW w:w="5200" w:type="dxa"/>
            <w:vAlign w:val="bottom"/>
            <w:tcBorders>
              <w:right w:val="single" w:sz="8" w:color="auto"/>
            </w:tcBorders>
            <w:vMerge w:val="continue"/>
          </w:tcPr>
          <w:p>
            <w:pPr>
              <w:spacing w:after="0"/>
              <w:rPr>
                <w:sz w:val="15"/>
                <w:szCs w:val="15"/>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(p&lt;0.0001)</w:t>
            </w:r>
          </w:p>
        </w:tc>
        <w:tc>
          <w:tcPr>
            <w:tcW w:w="0" w:type="dxa"/>
            <w:vAlign w:val="bottom"/>
          </w:tcPr>
          <w:p>
            <w:pPr>
              <w:spacing w:after="0"/>
              <w:rPr>
                <w:sz w:val="1"/>
                <w:szCs w:val="1"/>
                <w:color w:val="auto"/>
              </w:rPr>
            </w:pPr>
          </w:p>
        </w:tc>
      </w:tr>
      <w:tr>
        <w:trPr>
          <w:trHeight w:val="189"/>
        </w:trPr>
        <w:tc>
          <w:tcPr>
            <w:tcW w:w="33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mITT-CS: N=25</w:t>
            </w:r>
          </w:p>
        </w:tc>
        <w:tc>
          <w:tcPr>
            <w:tcW w:w="5200" w:type="dxa"/>
            <w:vAlign w:val="bottom"/>
            <w:tcBorders>
              <w:right w:val="single" w:sz="8" w:color="auto"/>
            </w:tcBorders>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60" w:type="dxa"/>
            <w:vAlign w:val="bottom"/>
            <w:tcBorders>
              <w:right w:val="single" w:sz="8" w:color="auto"/>
            </w:tcBorders>
            <w:vMerge w:val="continue"/>
          </w:tcPr>
          <w:p>
            <w:pPr>
              <w:spacing w:after="0"/>
              <w:rPr>
                <w:sz w:val="11"/>
                <w:szCs w:val="11"/>
                <w:color w:val="auto"/>
              </w:rPr>
            </w:pPr>
          </w:p>
        </w:tc>
        <w:tc>
          <w:tcPr>
            <w:tcW w:w="520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3360" w:type="dxa"/>
            <w:vAlign w:val="bottom"/>
            <w:tcBorders>
              <w:right w:val="single" w:sz="8" w:color="auto"/>
            </w:tcBorders>
          </w:tcPr>
          <w:p>
            <w:pPr>
              <w:spacing w:after="0"/>
              <w:rPr>
                <w:sz w:val="24"/>
                <w:szCs w:val="24"/>
                <w:color w:val="auto"/>
              </w:rPr>
            </w:pPr>
          </w:p>
        </w:tc>
        <w:tc>
          <w:tcPr>
            <w:tcW w:w="5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Median reduction in clinical seizure frequency from baseline</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176"/>
        </w:trPr>
        <w:tc>
          <w:tcPr>
            <w:tcW w:w="3360" w:type="dxa"/>
            <w:vAlign w:val="bottom"/>
            <w:tcBorders>
              <w:right w:val="single" w:sz="8" w:color="auto"/>
            </w:tcBorders>
          </w:tcPr>
          <w:p>
            <w:pPr>
              <w:spacing w:after="0"/>
              <w:rPr>
                <w:sz w:val="15"/>
                <w:szCs w:val="15"/>
                <w:color w:val="auto"/>
              </w:rPr>
            </w:pPr>
          </w:p>
        </w:tc>
        <w:tc>
          <w:tcPr>
            <w:tcW w:w="5200" w:type="dxa"/>
            <w:vAlign w:val="bottom"/>
            <w:tcBorders>
              <w:right w:val="single" w:sz="8" w:color="auto"/>
            </w:tcBorders>
            <w:vMerge w:val="continue"/>
          </w:tcPr>
          <w:p>
            <w:pPr>
              <w:spacing w:after="0"/>
              <w:rPr>
                <w:sz w:val="15"/>
                <w:szCs w:val="15"/>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(p=0.01)</w:t>
            </w:r>
          </w:p>
        </w:tc>
        <w:tc>
          <w:tcPr>
            <w:tcW w:w="0" w:type="dxa"/>
            <w:vAlign w:val="bottom"/>
          </w:tcPr>
          <w:p>
            <w:pPr>
              <w:spacing w:after="0"/>
              <w:rPr>
                <w:sz w:val="1"/>
                <w:szCs w:val="1"/>
                <w:color w:val="auto"/>
              </w:rPr>
            </w:pPr>
          </w:p>
        </w:tc>
      </w:tr>
      <w:tr>
        <w:trPr>
          <w:trHeight w:val="189"/>
        </w:trPr>
        <w:tc>
          <w:tcPr>
            <w:tcW w:w="3360" w:type="dxa"/>
            <w:vAlign w:val="bottom"/>
            <w:tcBorders>
              <w:right w:val="single" w:sz="8" w:color="auto"/>
            </w:tcBorders>
          </w:tcPr>
          <w:p>
            <w:pPr>
              <w:spacing w:after="0"/>
              <w:rPr>
                <w:sz w:val="16"/>
                <w:szCs w:val="16"/>
                <w:color w:val="auto"/>
              </w:rPr>
            </w:pPr>
          </w:p>
        </w:tc>
        <w:tc>
          <w:tcPr>
            <w:tcW w:w="5200" w:type="dxa"/>
            <w:vAlign w:val="bottom"/>
            <w:tcBorders>
              <w:right w:val="single" w:sz="8" w:color="auto"/>
            </w:tcBorders>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60" w:type="dxa"/>
            <w:vAlign w:val="bottom"/>
            <w:tcBorders>
              <w:bottom w:val="single" w:sz="8" w:color="auto"/>
              <w:right w:val="single" w:sz="8" w:color="auto"/>
            </w:tcBorders>
          </w:tcPr>
          <w:p>
            <w:pPr>
              <w:spacing w:after="0"/>
              <w:rPr>
                <w:sz w:val="11"/>
                <w:szCs w:val="11"/>
                <w:color w:val="auto"/>
              </w:rPr>
            </w:pPr>
          </w:p>
        </w:tc>
        <w:tc>
          <w:tcPr>
            <w:tcW w:w="520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-2973705</wp:posOffset>
            </wp:positionV>
            <wp:extent cx="6343650" cy="383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43650" cy="3831590"/>
                    </a:xfrm>
                    <a:prstGeom prst="rect">
                      <a:avLst/>
                    </a:prstGeom>
                    <a:noFill/>
                  </pic:spPr>
                </pic:pic>
              </a:graphicData>
            </a:graphic>
          </wp:anchor>
        </w:drawing>
      </w:r>
    </w:p>
    <w:p>
      <w:pPr>
        <w:spacing w:after="0" w:line="70" w:lineRule="exact"/>
        <w:rPr>
          <w:sz w:val="20"/>
          <w:szCs w:val="20"/>
          <w:color w:val="auto"/>
        </w:rPr>
      </w:pPr>
    </w:p>
    <w:p>
      <w:pPr>
        <w:ind w:left="760" w:right="800"/>
        <w:spacing w:after="0" w:line="258" w:lineRule="auto"/>
        <w:rPr>
          <w:sz w:val="20"/>
          <w:szCs w:val="20"/>
          <w:color w:val="auto"/>
        </w:rPr>
      </w:pPr>
      <w:r>
        <w:rPr>
          <w:rFonts w:ascii="Times New Roman" w:cs="Times New Roman" w:eastAsia="Times New Roman" w:hAnsi="Times New Roman"/>
          <w:sz w:val="18"/>
          <w:szCs w:val="18"/>
          <w:color w:val="auto"/>
        </w:rPr>
        <w:t>mITT: patients with ≥3 weeks or treatment, ≥70% adherence, and no RNS system detection or stimulation setting changes. mITT-CS: mITT with clinical seizures in prospective baseline. Statistical methods: For responder analysis for LEs, clinical seizure reduction ≥50%, and seizure freedom, two-tailed p-values were calculated using a one-sample exact binomial of proportions against a null hypothesis of 10%, 20%, and 1.5% respectively. For median reduction from baseline in LEs and clinical seizures, two-tailed p-values were calculated from the Wilcoxon signed rank test against a null hypothesis of 0% and 20%, respectively.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Safety and Tolerability Results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Thirty patients entered the 8-week treatment period of the Phase 2a trial and were dosed with RAP-219. There were four discontinuations during the treatment period, three of which were attributed to treatment-emergent adverse events (“TEAEs”). The safety population comprised all 30 patients receiving at least one dose of RAP-219. In the Phase 2a trial, RAP-219 was generally well-tolerated, with the majority of TEAEs being mild and a low discontinuation rate:</w:t>
      </w:r>
    </w:p>
    <w:p>
      <w:pPr>
        <w:spacing w:after="0" w:line="72"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serious adverse events were reported during the treatment period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TEAEs reported were mild (78.5%) or moderate (21.5%) in severity (Grades 1 or 2) during the treatment period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(10%) patients discontinued treatment due to TEAEs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common TEAEs reported (≥ 10% incidence) were dizziness (n= 8, 26.7%), headache (n = 5, 16.7%), fatigue (n = 4, 13.3%), fall (n = 3, 10.0%), nausea (n = 3, 10.0%), and somnolence (n = 3, 10.0%).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Trial Demographics and Baseline Characteristics</w:t>
      </w:r>
    </w:p>
    <w:p>
      <w:pPr>
        <w:spacing w:after="0" w:line="229" w:lineRule="exact"/>
        <w:rPr>
          <w:sz w:val="20"/>
          <w:szCs w:val="20"/>
          <w:color w:val="auto"/>
        </w:rPr>
      </w:pPr>
    </w:p>
    <w:p>
      <w:pPr>
        <w:ind w:right="220" w:firstLine="562"/>
        <w:spacing w:after="0" w:line="261" w:lineRule="auto"/>
        <w:rPr>
          <w:sz w:val="20"/>
          <w:szCs w:val="20"/>
          <w:color w:val="auto"/>
        </w:rPr>
      </w:pPr>
      <w:r>
        <w:rPr>
          <w:rFonts w:ascii="Times New Roman" w:cs="Times New Roman" w:eastAsia="Times New Roman" w:hAnsi="Times New Roman"/>
          <w:sz w:val="18"/>
          <w:szCs w:val="18"/>
          <w:color w:val="auto"/>
        </w:rPr>
        <w:t>The demographics and baseline characteristics of patients enrolled in the Phase 2a study are consistent with that of patients expected in future registrational trials. The trial enrolled 12 women and 18 men, and the mean age of patients enrolled was 40.1 years. The mean age of enrolled patients at the time of their first seizure was 16.6 years. Patients were taking a median of 3 concomitant antiseizure medications, with the highest proportion of patients taking lamotrigine (50%), levetiracetam (40%), and cenobamate (37%) medications.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Planned Phase 3 Trial in Focal Onset Seizures</w:t>
      </w:r>
    </w:p>
    <w:p>
      <w:pPr>
        <w:spacing w:after="0" w:line="121" w:lineRule="exact"/>
        <w:rPr>
          <w:sz w:val="20"/>
          <w:szCs w:val="20"/>
          <w:color w:val="auto"/>
        </w:rPr>
      </w:pPr>
    </w:p>
    <w:p>
      <w:pPr>
        <w:ind w:right="60" w:firstLine="569"/>
        <w:spacing w:after="0" w:line="266" w:lineRule="auto"/>
        <w:rPr>
          <w:sz w:val="20"/>
          <w:szCs w:val="20"/>
          <w:color w:val="auto"/>
        </w:rPr>
      </w:pPr>
      <w:r>
        <w:rPr>
          <w:rFonts w:ascii="Times New Roman" w:cs="Times New Roman" w:eastAsia="Times New Roman" w:hAnsi="Times New Roman"/>
          <w:sz w:val="18"/>
          <w:szCs w:val="18"/>
          <w:color w:val="auto"/>
        </w:rPr>
        <w:t>Based on the successful outcome of our Phase 2a proof-of-concept clinical trial, we completed an end of Phase 2 meeting with the FDA in December 2025, where we received feedback supporting advancement into two parallel Phase 3 trials of RAP-219 in patients with drug-resistant FOS. We will be accelerating our efforts to initiate the Phase 3 program in the second quarter of 2026.</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20" w:name="page21"/>
    <w:bookmarkEnd w:id="20"/>
    <w:p>
      <w:pPr>
        <w:ind w:firstLine="569"/>
        <w:spacing w:after="0" w:line="256" w:lineRule="auto"/>
        <w:rPr>
          <w:sz w:val="20"/>
          <w:szCs w:val="20"/>
          <w:color w:val="auto"/>
        </w:rPr>
      </w:pPr>
      <w:r>
        <w:rPr>
          <w:rFonts w:ascii="Times New Roman" w:cs="Times New Roman" w:eastAsia="Times New Roman" w:hAnsi="Times New Roman"/>
          <w:sz w:val="18"/>
          <w:szCs w:val="18"/>
          <w:color w:val="auto"/>
        </w:rPr>
        <w:t>The Phase 3 program will include two global, multicenter, randomized, double-blind, and placebo-controlled Phase 3 trials (RAP-219-FOS-301 and RAP-219-FOS-302). Each trial will enroll more than 300 adults with drug-resistant FOS. The trials will evaluate RAP-219 over a 14-week total treatment period, consisting of a 2-week titration period and a12-week maintenance treatment period. In RAP-219-FOS-301, subjects will be randomized in a 1:1:1 ratio to one of three treatment arms: RAP-219 0.75 mg, RAP-219 1.25 mg, or placebo. In RAP-219-FOS-302, subjects will be randomized in a 1:1:1 ratio to one of three treatment arms: RAP-219 0.25 mg, RAP-219 0.75 mg, or placebo. The primary endpoint for both trials will be the median percent change from baseline in clinical seizure frequency per 28 days during the double-blind treatment period, based on clinical seizure e-diaries.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Opportunities to Expand the Potential for RAP-219 in Epilepsy - Primary Generalized Tonic-Clonic Seizures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PGTCS is present in 25%-35% of all epilepsy patients which conservatively represents approximately 0.8 million patients in the United States experiencing PGTCS. Therapies that have demonstrated efficacy in FOS have a high probability of demonstrating efficacy in PGTCS. Building on the robust clinical data from RAP-219’s Phase 2a proof-of-concept trial in FOS, Rapport is expanding its epilepsy portfolio into PGTCS, the most common type of generalized seizure and an important next step in addressing unmet need across the epilepsy spectrum. AMPAR is a validated target for the treatment of PGTCS, based on the clinical efficacy results in this patient population reported with perampanel. With proof-of-concept established in FOS, Rapport plans to advance RAP-219 into a Phase 3 trial in PGTCS in the first half of 2027. Figure 8 below illustrates the prevalence of PGTCS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105410</wp:posOffset>
            </wp:positionV>
            <wp:extent cx="3943350" cy="2322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4335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Figure 8. The prevalence of PGTCS in the United States is estimated to be 0.8 million patients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Bipolar Disorder Background and TARPg8 as a Potential Treatment</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Many ASMs blunt excitatory neurotransmission in the CNS and some have been shown to provide clinical benefit in other indications, including psychiatric diseases. However, the same issues that are problematic in ASMs used to treat epilepsy, such as intolerable AEs and drug-drug interactions, are also present when treating these other indications. Because monotherapy also commonly fails in the treatment of psychiatric conditions, polypharmacy is a widespread practice.</w:t>
      </w:r>
    </w:p>
    <w:p>
      <w:pPr>
        <w:spacing w:after="0" w:line="72" w:lineRule="exact"/>
        <w:rPr>
          <w:sz w:val="20"/>
          <w:szCs w:val="20"/>
          <w:color w:val="auto"/>
        </w:rPr>
      </w:pPr>
    </w:p>
    <w:p>
      <w:pPr>
        <w:ind w:right="100" w:firstLine="495"/>
        <w:spacing w:after="0" w:line="255" w:lineRule="auto"/>
        <w:rPr>
          <w:sz w:val="20"/>
          <w:szCs w:val="20"/>
          <w:color w:val="auto"/>
        </w:rPr>
      </w:pPr>
      <w:r>
        <w:rPr>
          <w:rFonts w:ascii="Times New Roman" w:cs="Times New Roman" w:eastAsia="Times New Roman" w:hAnsi="Times New Roman"/>
          <w:sz w:val="18"/>
          <w:szCs w:val="18"/>
          <w:color w:val="auto"/>
        </w:rPr>
        <w:t>Bipolar disorder is characterized by alternating episodes of depression and either mania (bipolar I) or hypomania (bipolar II). Bipolar Mania is characterized by discrete periods of elevated or irritable mood, increased energy, and heightened activity that represent a noticeable change from previous behavior. In bipolar I, manic symptoms are sufficient to require inpatient treatment whereas bipolar II typically involves milder hypomanic episodes that don’t require inpatient treatment. Depressive symptoms in patients with bipolar depression include symptoms such as persistent sad or irritable mood, loss of interest or pleasure in nearly all activities, feelings of worthlessness or excessive guilt, diminished ability to think or concentrate, and recurrent thoughts of death or suicide. Previous manic or hypomanic symptoms in a patient with depressive symptoms defines the diagnosis of bipolar disorder; with some patients experiencing both manic and depressive symptoms in the same episode.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firstLine="509"/>
        <w:spacing w:after="0" w:line="256" w:lineRule="auto"/>
        <w:rPr>
          <w:sz w:val="20"/>
          <w:szCs w:val="20"/>
          <w:color w:val="auto"/>
        </w:rPr>
      </w:pPr>
      <w:r>
        <w:rPr>
          <w:rFonts w:ascii="Times New Roman" w:cs="Times New Roman" w:eastAsia="Times New Roman" w:hAnsi="Times New Roman"/>
          <w:sz w:val="18"/>
          <w:szCs w:val="18"/>
          <w:color w:val="auto"/>
        </w:rPr>
        <w:t>Bipolar disorder affects 2.8 percent of the adult population in the United States, or approximately 7.2 million adults. Due to a low rate of diagnosis, it is estimated that 2.9 million patients have obtained a diagnosis of bipolar I or bipolar II disorder and approximately 1.5 million patients are diagnosed with bipolar mania. The global bipolar disorder market was approximately $1.4 billion in 2022, and sales are expected to grow to over $4 billion by 2028. Bipolar disorder is often treated with antipsychotic medications as a monotherapy or in combination with mood stabilizers. The side effects and safety risks associated with antipsychotic drugs in patients with bipolar disorder include dizziness, sedation, weight gain, movement disorders and agitation. Figure 9 below illustrates the prevalence of biploar disorder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130810</wp:posOffset>
            </wp:positionV>
            <wp:extent cx="4620260" cy="25114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2026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i w:val="1"/>
          <w:iCs w:val="1"/>
          <w:color w:val="auto"/>
        </w:rPr>
        <w:t>Figure 9. The prevalence of bipolar disorder in the United States is estimated to be 7.2 million patients</w:t>
      </w:r>
    </w:p>
    <w:p>
      <w:pPr>
        <w:spacing w:after="0" w:line="22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believe that RAP-219 has the potential to provide a clinical benefit to patients with bipolar disorder for multiple reasons. First, there are several ASMs, including valproate, lamotrigine, and carbamazepine, that have shown clinical benefit in epilepsy and bipolar disorder and are FDA approved for both indications. The corneal kindling model of epilepsy is also believed by some experts to be predictive of bipolar treatments. Second, third- party functional neuro-imaging studies in patients with bipolar disorder typically show that the hippocampus, a brain region where TARP 8 is expressed, exhibits abnormal activation and hyperactivity as well as elevated responses to emotional stimuli, attentional activities and memory tasks. Finally, a third-party genome-wide association study of 40,000 patients with bipolar disorder reported that bipolar disorder risk alleles were enriched in genes in synaptic signaling pathways and brain-expressed genes, particularly those with high specificity of expression in neurons of the neocortex and mesial temporal lobe. We believe that by selectively targeting TARP 8 and blunting abnormal hippocampal activity, RAP-219 may normalize these responses and thereby improve the symptoms of bipolar disorder.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Long-Acting Injectable Background and TARP 8 as a Potential Treatment</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ultimate goal of antiseizure therapy is complete freedom from seizures and improvement in patient quality of life. We believe that RAP-219 has the potential to significantly reduce or possibly eliminate FOS while avoiding many of the common intolerable AEs associated with many approved ASMs. The differentiated target and mechanism of action of RAP-219 in combination with its neuroanatomical precision within the most common seizure onset-zones as demonstrated in preclinical models provides the opportunity for potentially superior clinical activity compared to currently approved ASMs. Certain patients who are refractory to treatment with other ASMs have been found to respond favorably to combination therapies, especially when rational polypharmacy is employed. We believe that the unique proposed mechanism of RAP-219 and its potential for reduced drug-drug interactions, if approved, would make it a drug of choice for rational polypharmacy by improving clinical benefit without changing drug levels of other ASMs.</w:t>
      </w:r>
    </w:p>
    <w:p>
      <w:pPr>
        <w:spacing w:after="0" w:line="14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identified an LAI candidate formulation of RAP-219 with the goal of improving adherence and thereby offering the potential for long-term seizure control. For many patients, nonadherence to prescribed ASMs is a major issue in optimizing benefit from pharmacotherapy. This non-adherence rate can be up to approximately 50 percent. One study found that patients who were not adherent to their ASMs had less seizure control as compared with patients who were adherent. We believe that the properties of RAP-219, including its high potency and long half-life, each observed to date in our clinical studies, offer the opportunity to create a</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2" w:name="page23"/>
    <w:bookmarkEnd w:id="22"/>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LAI formulation. In addition, we believe a once-monthly LAI formulation of RAP-219 could improve adherence and offer an important and attractive alternative dosage form for patients. A long-acting formulation of RAP-219 has the potential to be the first LAI ASM. We have initiated IND-enabling activities to support a Phase 1 clinical study in healthy volunteers, with initial PK results expected in 2027.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nAChR Programs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have a portfolio of discovery projects that leverage RAPs for nAChRs that we believe have potential for generating product candidates. Neuronal AChRs are transmembrane ligand-gated ion channels composed of five subunits of  /  subtypes. These receptors are excitatory acetylcholine gated ion channels and are expressed throughout the CNS as well as the periphery. They have critical roles in diverse aspects of neuronal signaling in the central and autonomic nervous system.</w:t>
      </w:r>
    </w:p>
    <w:p>
      <w:pPr>
        <w:spacing w:after="0" w:line="28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i w:val="1"/>
          <w:iCs w:val="1"/>
          <w:color w:val="auto"/>
        </w:rPr>
        <w:t>Our</w:t>
      </w:r>
      <w:r>
        <w:rPr>
          <w:sz w:val="20"/>
          <w:szCs w:val="20"/>
          <w:color w:val="auto"/>
        </w:rPr>
        <w:tab/>
      </w:r>
      <w:r>
        <w:rPr>
          <w:rFonts w:ascii="Times New Roman" w:cs="Times New Roman" w:eastAsia="Times New Roman" w:hAnsi="Times New Roman"/>
          <w:sz w:val="17"/>
          <w:szCs w:val="17"/>
          <w:b w:val="1"/>
          <w:bCs w:val="1"/>
          <w:i w:val="1"/>
          <w:iCs w:val="1"/>
          <w:color w:val="auto"/>
        </w:rPr>
        <w:t>6β4 nAChR Program</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are developing agonists of the α6β4 nAChR to treat chronic pain states that may include chronic pain and migraine. In third-party clinical trials, pan-nAChR agonists have been shown to significantly reduce pain, but these agonists were associated with side effects that limited their development. Our RAP platform technology allowed identification of agonists selective for α6β4 nAChRs that have potential clinical activity in chronic pain and migraine with improved tolerability.</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 6β4 nAChR as a Potential Target in Chronic Pain and Migraine</w:t>
      </w:r>
    </w:p>
    <w:p>
      <w:pPr>
        <w:spacing w:after="0" w:line="11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Nicotine and certain nAChR agonists have analgesic properties, but their development for chronic pain has been unsuccessful. ABT-594, an investigational third-party pan-nAChR agonist studied by Abbott, demonstrated significant improvements in patients with neuropathic pain in a Phase 2 randomized placebo-controlled study, but up to 66 percent of patients withdrew from the trial due to AEs such as nausea, dizziness, vomiting, abnormal dreams and asthenia (weakness or lack of energy). Following these results, further development of ABT-594 was discontinued. There are currently no approved drugs for pain that specifically target nAChRs.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Third-party animal and human studies have implicated the α6β4 nAChR as a potential target for chronic pain. The α6β4 nAChR subtype is enriched in sensory neurons of dorsal root ganglia (“DRG”), and α6β4 nAChR activity is associated with reduced pain. Mouse strains with increased levels of α6β4 in DRG showed reduced pain in a spared nerve injury (“SNI”) model of neuropathic pain. Conversely, complete inactivation of the gene for α6β4 in mice blocked the analgesic effects of nicotinic compounds. In humans, genetic variants with reduced α6β4 nAChR activity showed increased levels of postoperative pain.</w:t>
      </w:r>
    </w:p>
    <w:p>
      <w:pPr>
        <w:spacing w:after="0" w:line="183"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In addition to its expression in DRG, the α6β4 nAChR is expressed in sensory neurons of the trigeminal ganglia, which play central roles in neurogenic inflammation, vasodilation, and pain signaling associated with migraine.</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Although the potential for selective α6 agonists as a therapeutic agent in diverse pain states is acknowledged, discovery efforts have been hampered by challenges in establishing functional assays for α6β4 containing nAChRs in cell lines. Recombinant α6β4 does not assemble into functional multi-subunit nAChRs; therefore, α6β4 activity could not be measured in cell lines used for drug discovery. Our Chief Scientific Officer, Dr. Bredt, and his colleagues, overcame this impediment through the identification of RAPs, which serve as chaperones and auxiliary subunits that drive the assembly of functional α6β4 nAChRs. This has enabled us to functionally express α6β4 nAChR and discover a series of α6β4-selective agonists that we believe have the potential to alleviate chronic pain while avoiding the AEs that have precluded development of earlier non-selective nAChRs agonists.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Validation of Our Approach</w:t>
      </w:r>
    </w:p>
    <w:p>
      <w:pPr>
        <w:spacing w:after="0" w:line="22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Using high throughput screening on cell lines expressing α6β4 nAChR and medicinal chemistry, we discovered novel small molecules that selectively activate α6β4 nAChRs. These agonists were characterized in patch clamp assays where they were shown to be selective modulators of α6β4 compared to nAChRs that did not contain the α6β4 subunit, including the more ubiquitously expressed α4β2 and α3β4 nAChRs. One of these agonists, RAP-641, is a potent activator of α6β4 and had minimal activity on α4β2 and α3β4 nAChR subtypes.</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tested RAP-641 in multiple peripheral nerve injury models. In these models, damage to the sciatic nerve results in hypersensitivity of the rat hind paw. It was observed that RAP-641 mitigated this hypersensitivity. We believe this demonstrates the potential for α6β4 to be a therapeutic target in chronic pain.</w:t>
      </w:r>
    </w:p>
    <w:p>
      <w:pPr>
        <w:spacing w:after="0" w:line="17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also tested RAP-641 in a nitroglycerin model that recapitulates key features of human migraine, including trigeminal activation, meningeal vasodilation, and orofacial allodynia. In this model, α6β4-selective agonists reduced nitroglycerin-induced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3" w:name="page24"/>
    <w:bookmarkEnd w:id="23"/>
    <w:p>
      <w:pPr>
        <w:ind w:right="80"/>
        <w:spacing w:after="0" w:line="266" w:lineRule="auto"/>
        <w:rPr>
          <w:sz w:val="20"/>
          <w:szCs w:val="20"/>
          <w:color w:val="auto"/>
        </w:rPr>
      </w:pPr>
      <w:r>
        <w:rPr>
          <w:rFonts w:ascii="Times New Roman" w:cs="Times New Roman" w:eastAsia="Times New Roman" w:hAnsi="Times New Roman"/>
          <w:sz w:val="18"/>
          <w:szCs w:val="18"/>
          <w:color w:val="auto"/>
        </w:rPr>
        <w:t>vasodilation and attenuated pain-associated behaviors, including facial allodynia and grimace. In a different model of CGRP-mediated vasodilation, α6β4-selective agonists also reduced capsaicin-evoked dermal vasodilation. These findings further support α6β4 nAChR as a modulator of sensory neuron– mediated pain and suggest potential applicability across multiple pain indications.</w:t>
      </w:r>
    </w:p>
    <w:p>
      <w:pPr>
        <w:spacing w:after="0" w:line="176"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have initiated IND-enabling activities for RAP-641, our development candidate agonist of the α6β4 nAChR which we are pursuing as a potential novel non-opioid, non-CNS approach for chronic pain and migraine.</w:t>
      </w:r>
    </w:p>
    <w:p>
      <w:pPr>
        <w:spacing w:after="0" w:line="26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i w:val="1"/>
          <w:iCs w:val="1"/>
          <w:color w:val="auto"/>
        </w:rPr>
        <w:t>Our</w:t>
        <w:tab/>
        <w:t>9  10 nAChR Program</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developing agonists of the α9α10 nAChR for treatment of hearing disorders, which may include age-related hearing loss, acoustic trauma and tinnitus, as well as for treatment of vestibular disorders. Targeting the α9α10 receptor represents a potential precision medicine approach, as this receptor is only detectable functionally in auditory and vestibular hair cells. Third-party genetic studies in mice have shown that augmenting the α9 nAChR pathway can help prevent hearing loss associated with aging and acoustic trauma. Conversely, genetic loss of this receptor makes mice more susceptible to hearing loss. These α9 knockout mice also display worsened symptoms and delayed recovery following vestibular lesions. Taken together these preclinical data suggest that α9α10 activity may be beneficial in auditory or vestibular disorders. Despite this genetic validation, discovery of selective α9α10 nAChR agonists has been challenging because recombinant expression of α9α10 in cell lines does not create a functional receptor. Our ability to identify α9α10 selective agonists was made possible by the application of our RAP platform technology. We are currently working on oral therapeutic drug candidates targeting the α9α10 nAChR, which we believe has a high potential target in hearing and vestibular disorders.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Background to Hearing and Vestibular Disorders</w:t>
      </w:r>
    </w:p>
    <w:p>
      <w:pPr>
        <w:spacing w:after="0" w:line="119" w:lineRule="exact"/>
        <w:rPr>
          <w:sz w:val="20"/>
          <w:szCs w:val="20"/>
          <w:color w:val="auto"/>
        </w:rPr>
      </w:pPr>
    </w:p>
    <w:p>
      <w:pPr>
        <w:ind w:right="180" w:firstLine="554"/>
        <w:spacing w:after="0" w:line="261" w:lineRule="auto"/>
        <w:rPr>
          <w:sz w:val="20"/>
          <w:szCs w:val="20"/>
          <w:color w:val="auto"/>
        </w:rPr>
      </w:pPr>
      <w:r>
        <w:rPr>
          <w:rFonts w:ascii="Times New Roman" w:cs="Times New Roman" w:eastAsia="Times New Roman" w:hAnsi="Times New Roman"/>
          <w:sz w:val="18"/>
          <w:szCs w:val="18"/>
          <w:color w:val="auto"/>
        </w:rPr>
        <w:t>Approximately one third of people aged 65 to 74 and nearly half aged 75 and older have age-related hearing loss. Acoustic trauma affects approximately five percent of the global population, and surveys estimate that 10 to 25 percent of adults in the United States have tinnitus. Many hearing disorder patients start their treatment by using a hearing aid, with cochlear implantation given to the most severely affected patients. Despite this high prevalence, there are few pharmacotherapeutic treatments to prevent or reverse hearing disorders.</w:t>
      </w:r>
    </w:p>
    <w:p>
      <w:pPr>
        <w:spacing w:after="0" w:line="180"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Vestibular disorders impact a substantial portion of the population and increase markedly with age. Epidemiologic studies estimate that up to 35 percent of adults over age 40 have experienced vestibular dysfunction, with dizziness and balance disorders representing a leading cause of falls in older adults. Patients commonly suffer from vertigo, chronic dizziness, imbalance, and visual instability, often resulting in significant functional impairment. Current pharmacologic options are limited to symptomatic treatments—such as vestibular suppressants and antiemetics—that are frequently associated with sedation, cognitive impairment, and worsening balance, particularly in older patients. As a result, management often relies on avoidance and compensation rather than restoration of normal vestibular function, underscoring the need for well-tolerated therapies that directly address the underlying biology of vestibular disorders.</w:t>
      </w:r>
    </w:p>
    <w:p>
      <w:pPr>
        <w:spacing w:after="0" w:line="295" w:lineRule="exact"/>
        <w:rPr>
          <w:sz w:val="20"/>
          <w:szCs w:val="20"/>
          <w:color w:val="auto"/>
        </w:rPr>
      </w:pPr>
    </w:p>
    <w:p>
      <w:pPr>
        <w:ind w:left="520"/>
        <w:spacing w:after="0"/>
        <w:tabs>
          <w:tab w:leader="none" w:pos="860" w:val="left"/>
        </w:tabs>
        <w:rPr>
          <w:sz w:val="20"/>
          <w:szCs w:val="20"/>
          <w:color w:val="auto"/>
        </w:rPr>
      </w:pPr>
      <w:r>
        <w:rPr>
          <w:rFonts w:ascii="Times New Roman" w:cs="Times New Roman" w:eastAsia="Times New Roman" w:hAnsi="Times New Roman"/>
          <w:sz w:val="18"/>
          <w:szCs w:val="18"/>
          <w:i w:val="1"/>
          <w:iCs w:val="1"/>
          <w:color w:val="auto"/>
        </w:rPr>
        <w:t>9</w:t>
      </w:r>
      <w:r>
        <w:rPr>
          <w:sz w:val="20"/>
          <w:szCs w:val="20"/>
          <w:color w:val="auto"/>
        </w:rPr>
        <w:tab/>
      </w:r>
      <w:r>
        <w:rPr>
          <w:rFonts w:ascii="Times New Roman" w:cs="Times New Roman" w:eastAsia="Times New Roman" w:hAnsi="Times New Roman"/>
          <w:sz w:val="17"/>
          <w:szCs w:val="17"/>
          <w:i w:val="1"/>
          <w:iCs w:val="1"/>
          <w:color w:val="auto"/>
        </w:rPr>
        <w:t>10 nAChR as a Potential Target in Hearing and Vestibular Disorders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role of the α9α10 nAChR in hearing loss has been demonstrated by third-party genetic experiments. Gain and loss of function mutations to the gene encoding α9 demonstrated its role in experimentally induced hearing loss, as measured with auditory brain stem responses. In these experiments, a noise trauma that typically induces a temporary hearing loss in wild type, persisted in mice with a null mutation of the gene encoding α9, demonstrating increased vulnerability to hearing loss. By contrast, mice with a gain-of-function mutation in the gene for α9 were protected from temporary and persistent hearing loss from the same noise trauma. Activation of α9α10 nAChRs is therefore expected to protect against noise induced hearing loss.</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Third-party genetic studies also implicate the α9α10 nAChR in vestibular disorders. In a mouse model of unilateral vestibular loss, deletion of the α9 subunit disrupted efferent vestibular signaling and significantly altered vestibular compensation, including delayed suppression of spontaneous nystagmus and abnormal recovery of vestibulo-ocular reflex dynamics. Activation of α9α10 nAChRs is therefore expected to normalize vestibular signaling, and accelerate functional recovery, supporting α9α10 agonism as a rational therapeutic strategy for vestibular disorders.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Validation of Our Approach</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vitro studies of α9α10 nAChR physiology have been challenging because this receptor could not be functionally expressed in recombinant cell lines in the absence of it RAPs. Through a genome-wide screen using our discovery platform, RAPs that drive the assembly of functional α9α10 nAChRs were identified by Janssen. Expression of these RAPs along with the α9 and α10 subunits enabled functional α9α10 nAChR expression in cell lines that we believe are suitable for drug discovery.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4" w:name="page25"/>
    <w:bookmarkEnd w:id="24"/>
    <w:p>
      <w:pPr>
        <w:ind w:firstLine="509"/>
        <w:spacing w:after="0" w:line="261" w:lineRule="auto"/>
        <w:rPr>
          <w:sz w:val="20"/>
          <w:szCs w:val="20"/>
          <w:color w:val="auto"/>
        </w:rPr>
      </w:pPr>
      <w:r>
        <w:rPr>
          <w:rFonts w:ascii="Times New Roman" w:cs="Times New Roman" w:eastAsia="Times New Roman" w:hAnsi="Times New Roman"/>
          <w:sz w:val="18"/>
          <w:szCs w:val="18"/>
          <w:color w:val="auto"/>
        </w:rPr>
        <w:t>Janssen conducted a high throughput screen of cells engineered to express α9α10 nAChR and identified several small molecule agonists of α9α10. Through our medicinal chemistry efforts, α9α10 agonists with low nanomolar potency, inner ear penetration and high selectivity versus other nAChR family members have been identified and are being optimized. The use of these orally administered molecules in models of hearing and vestibular disorders may demonstrate the potential of α9α10 agonists to address these unmet needs.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have engaged, and expect to continue to rely on, well-established third-party contract manufacturing organizations (“CMOs”) to supply our product candidates for use in our preclinical studies and clinical trials. Because we rely on contract manufacturers, we employ personnel with extensive technical, manufacturing, analytical, and quality experience to oversee contract manufacturing and testing activities, and to compile manufacturing and quality information for our regulatory submissions. We believe our current manufacturers have the scale, systems, and experience to supply our currently planned clinical trials.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Additionally, we rely on third-party CMOs for late-stage development and intend to rely on third-party CMOs for commercial manufacturing if our product candidates receive marketing approval. As our lead product candidates advance through clinical development, we expect to enter into longer-term commercial supply agreements to fulfill and secure our production needs. While the drug substances used in our product candidates are manufactured by more than one supplier, the number of manufacturers is limited. In the event it is necessary or advisable to acquire supplies from an alternative supplier, we might not be able to obtain them on commercially reasonable terms, if at all. It could also require significant time and expense to redesign our manufacturing processes to work with another company. If we need to change manufacturers during the clinical or development stage for product candidates or after commercialization for our product candidates, if approved, the FDA and corresponding foreign regulatory agencies must approve these new manufacturers in advance, which will involve testing and additional inspections to ensure compliance with FDA regulations and standards and may require significant lead times and delay.</w:t>
      </w:r>
    </w:p>
    <w:p>
      <w:pPr>
        <w:spacing w:after="0" w:line="188"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To adequately meet our projected commercial manufacturing needs, our CMOs will need to scale-up production, or we will need to secure additional suppliers. Processes for producing drug substances and drug products for commercial supply are currently being developed, with the goal of achieving reliable, reproducible, and cost-effective production. We believe the drug substance and drug product processes for our current product candidates can be appropriately scaled.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While we believe our product candidates, platform, knowledge, experience and scientific personnel provide us with competitive advantages, we face potential competition from many different sources, including large and small pharmaceutical and biotechnology companies, academic institutions and governmental agencies as well as public and private research institutions. Any product candidates that we successfully develop and commercialize, including RAP-219, may compete with existing therapies and new therapies that may become available in the future.</w:t>
      </w:r>
    </w:p>
    <w:p>
      <w:pPr>
        <w:spacing w:after="0" w:line="183"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Mergers and acquisitions in the biotechnology and pharmaceutical industries may result in even more resources being concentrated among a smaller number of competitors.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key competitive factors affecting the success of RAP-219, and any other product candidates that we develop to address FOS and other neurological and psychiatric disorders, if approved, are likely to be efficacy, safety, convenience, price, the level of generic competition and the availability of reimbursement from government and other third-party payors.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Focal Onset Seizures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the field of FOS, we face competition from a variety of currently marketed therapies such as generic anticonvulsants, ASMs, sodium channel modulators and benzodiazepines, devices such as deep brain stimulation like the RNS system as well as brain surgeries in patients who have failed polypharmacy. RAP-219 may face competition from currently marketed therapies such as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220"/>
        <w:spacing w:after="0" w:line="258" w:lineRule="auto"/>
        <w:rPr>
          <w:sz w:val="20"/>
          <w:szCs w:val="20"/>
          <w:color w:val="auto"/>
        </w:rPr>
      </w:pPr>
      <w:r>
        <w:rPr>
          <w:rFonts w:ascii="Times New Roman" w:cs="Times New Roman" w:eastAsia="Times New Roman" w:hAnsi="Times New Roman"/>
          <w:sz w:val="18"/>
          <w:szCs w:val="18"/>
          <w:color w:val="auto"/>
        </w:rPr>
        <w:t>XCOPRI (cenobamate), which was developed by SK Life Science Inc. and approved by the FDA in November 2019; BRIVIACT (brivaracetam), which was developed by UCB S.A. and approved by the FDA in 2016; and FYCOMPA (perampanel), which was developed by Eisai Co. Ltd. and approved by the FDA in 2012. Our competition for RAP-219 may also include therapies in clinical development, such as XEN1101 being developed by Xenon Pharmaceuticals Inc., BHV-7000 being developed by Biohaven Ltd. (“Biohaven”), PRAX-628 being developed by Praxis Precision Medicines, Inc., ES-481 being developed by ES Therapeutics Australia Pty Ltd., and SPN-817 being developed by Supernus Pharmaceuticals, Inc.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Bipolar Disorder</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the field of bipolar disorder, RAP-219 faces competition from mood stabilizers (e.g. lithium and Lamictal) and antidepressants (e.g. selective serotonin reuptake inhibitors and serotonin and norepinephrine reuptake inhibitors). Our competition may also include other programs in clinical development for the treatment of disorder in bipolar disorder, such as KarXT by Bristol Meyers Squibb.</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may also rely on trademarks, copyrights and trade secrets relating to our proprietary technology platform and on know-how, continuing technological innovation and in-licensing opportunities to develop, strengthen and maintain our proprietary and intellectual property position. We additionally may rely on regulatory and other protections afforded through data exclusivity, market exclusivity and patent term extensions, where available.</w:t>
      </w:r>
    </w:p>
    <w:p>
      <w:pPr>
        <w:spacing w:after="0" w:line="183"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Our commercial success depends in part upon our ability to obtain and maintain patent and other proprietary protection for commercially important technologies, inventions and trade secrets related to our business, defend and enforce our intellectual property rights, particularly our patent rights, preserve the confidentiality of our trade secrets and operate without infringing valid and enforceable intellectual property rights of others.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patent positions for biotechnology and pharmaceutical companies like us are generally uncertain and can involve complex legal, scientific and factual issues. In addition, the coverage claimed in a patent application can be significantly reduced before a patent is issued, and its scope can be reinterpreted and even challenged after issuance. As a result, we cannot guarantee that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293"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TARP</w:t>
        <w:tab/>
        <w:t>8 Program</w:t>
      </w:r>
    </w:p>
    <w:p>
      <w:pPr>
        <w:spacing w:after="0" w:line="119"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We own six patent families directed to TARP 8 modulators. A first patent family is directed to compositions of matter of certain TARP 8 modulators, including RAP-219, and methods of use and expires in 2036, without taking a potential patent term extension into account. As of March 1, 2026, this patent family has two U.S. patents, one European patent, validated in 40 states, over 25 patents in various other foreign jurisdictions, one U.S. pending application, and over 10 applications pending in foreign jurisdictions. A second patent family is directed to compositions of matter of certain TARP 8 modulators and methods of use and expires in 2037, without taking a potential patent term extension into account. As of March 1, 2026, this patent family has one U.S. patent. A third patent family is directed to compositions of matter of certain TARP 8 modulators and methods of use and expires in 2037, without taking a potential patent term extension into account. As of March 1, 2026, this patent family has one U.S. patent, one European patent, validated in eight states, and over 10 patents in various other foreign jurisdictions. A fourth patent family is directed to compositions of matter of certain TARP 8 modulators and methods of use and expires in 2037, without taking a potential patent term extension into account. As of March 1, 2026, this patent family has one U.S. patent, one European patent, validated in six states, more than 10 patents in various other foreign jurisdictions, and three applications pending in foreign jurisdictions. A fifth patent family is directed to crystalline forms of a TARP 8 modulator and methods of use and expires in 2045, if granted, without taking a potential patent term extension into account. As of March 1, 2026, this patent family has one pending international application filed under the Patent Cooperation Treaty. A sixth patent family is directed to pharmaceutical formulations and methods of use and oral doses of a TARP 8 modulator and expires in 2045, if granted, without taking a potential patent term extension into account. As of March 1, 2026, this patent family has one pending PCT application. A seventh patent family is directed to methods of use of a TARPg8 modulator and expires in 2046, if granted, without taking a potential patent term extension into account. As of March 1, 2026, this patent family has one pending U.S. provisional application.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i w:val="1"/>
          <w:iCs w:val="1"/>
          <w:color w:val="auto"/>
        </w:rPr>
        <w:t>nAChR Program</w:t>
      </w:r>
    </w:p>
    <w:p>
      <w:pPr>
        <w:spacing w:after="0" w:line="22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own one patent family directed to nAChR modulators. This patent family is directed to compositions of matter of certain nAChR modulators and methods of use and expires in 2046, if granted, without taking a potential patent term extension into account. As of March 1, 2026, this patent family has one pending international application filed under the Patent Cooperation Treaty.</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also non-exclusively in-licensed from Janssen Pharmaceutica NV three patent families directed to recombinant cells for the expression of nAChRs. A first patent family is directed to expression systems for the  9 10 nicotinic acetylcholine receptor and methods of use and expires in 2040, without taking a potential patent term extension into account. As of March 1, 2026, this patent family has one U.S. issued patent and three applications pending in foreign jurisdictions. A second patent family is directed to expression systems for the  2 5 2 nicotinic acetylcholine receptor and methods of use and expires in 2042, if granted, without taking a potential patent term extension into account. As of March 1, 2026, this patent family has one U.S. pending application and multiple applications in foreign jurisdictions. A third patent family is directed to  6 4 nicotinic acetylcholine receptor and methods of use and expires in 2042, if granted, without taking a potential patent term extension into account. As of March 1, 2026, this patent family has one U.S. pending application and multiple applications in foreign jurisdictions.</w:t>
      </w:r>
    </w:p>
    <w:p>
      <w:pPr>
        <w:spacing w:after="0" w:line="19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16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the term of a patent covering an FDA-approved drug may be eligible for a patent term extension under the Drug Price Competition and Patent Term Restoration Act of 1984 (the “Hatch-Waxman Act”) as compensation for the loss of patent term during the FDA regulatory review process. The period of extension may be up to five years beyond the expiration of the patent, but cannot extend the remaining term of a patent beyond a total of 14 years from the date of product approval. Only one patent among those eligible for an extension may be extended, and a given patent may only be extended once. Similar provisions are available in Europe and in certain other jurisdictions to extend the term of a patent that covers an approved drug. If our product candidates receive FDA approval, we intend to apply for patent term extensions, if available, to extend the term of patents that cover the approved product candidates. We also intend to seek patent term extensions in any jurisdictions where they are available, however, there is no guarantee that the applicable authorities, including the FDA, will agree with our assessment of whether such extensions should be granted, and even if granted, the length of such extensions.</w:t>
      </w:r>
    </w:p>
    <w:p>
      <w:pPr>
        <w:spacing w:after="0" w:line="18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to patent protection, we also rely on know-how and trade secret protection for our proprietary information to develop and maintain our proprietary position. However, trade secrets can be difficult to protect. Although we take steps to protect our proprietary information, including restricting access to our premises and our confidential information, as well as entering into agreements with our employees, consultants, advisors and potential collaborators, third parties may independently develop the same or similar proprietary information or may otherwise gain access to our proprietary information. As a result, we may be unable to meaningfully protect our know-how, trade secrets, and other proprietary information.</w:t>
      </w:r>
    </w:p>
    <w:p>
      <w:pPr>
        <w:spacing w:after="0" w:line="18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addition, we plan to rely on regulatory protection based on drug exclusivities, data exclusivities, and market exclusivities. See the section titled “—</w:t>
      </w:r>
      <w:r>
        <w:rPr>
          <w:rFonts w:ascii="Times New Roman" w:cs="Times New Roman" w:eastAsia="Times New Roman" w:hAnsi="Times New Roman"/>
          <w:sz w:val="18"/>
          <w:szCs w:val="18"/>
          <w:i w:val="1"/>
          <w:iCs w:val="1"/>
          <w:color w:val="auto"/>
        </w:rPr>
        <w:t>Government Regulation</w:t>
      </w:r>
      <w:r>
        <w:rPr>
          <w:rFonts w:ascii="Times New Roman" w:cs="Times New Roman" w:eastAsia="Times New Roman" w:hAnsi="Times New Roman"/>
          <w:sz w:val="18"/>
          <w:szCs w:val="18"/>
          <w:color w:val="auto"/>
        </w:rPr>
        <w:t>”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and License Agreement with Janssen Pharmaceutical NV</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August 2022, we entered into an option and license agreement with Janssen Pharmaceutical NV, as amended on April 3, 2023, April 18, 2023, May 2, 2023, October 2, 2023, and April 9, 2024 (collectively, the “Janssen License”), under which we received an exclusive option to obtain from Janssen</w:t>
      </w:r>
    </w:p>
    <w:p>
      <w:pPr>
        <w:ind w:right="60" w:firstLine="8"/>
        <w:spacing w:after="0" w:line="253"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exclusive license for the research, development, and commercialization of transmembrane TARP 8 AMPAR products for the diagnosis, treatment, prophylaxis or palliation of any disease or condition in humans or other animals (the “Field”) and (b) an assignment of certain patents related to TARP 8, in each case of (a)-(b), subject to certain retained rights by Janssen. Pursuant to the Janssen License, we also received a worldwide, royalty-free, non-exclusive license (exclusive under certain joint patents) for the research, development, and commercialization of certain neuronal nicotinic acetylcholine (“nACh”) products in the Field.</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made a non-refundable, non-creditable upfront payment of $1.0 million to Janssen after we entered into the Janssen License. In October 2022, we exercised the option and paid a non-refundable, non-creditable option fee of $4.0 million to Janssen. If we succeed in developing and commercializing TARP 8 products, Janssen will be eligible to receive (i) up to $76.0 million in development milestone payments and up to $40.0 million in sales milestone payments for the product containing the lead TARP 8 development candidate, and (ii) up to $25.0 million in development milestone payments and up to $42.0 million sales milestone payments for other TARP 8 products containing a non-lead TARP 8 development candidate.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27" w:name="page28"/>
    <w:bookmarkEnd w:id="27"/>
    <w:p>
      <w:pPr>
        <w:ind w:firstLine="509"/>
        <w:spacing w:after="0" w:line="254" w:lineRule="auto"/>
        <w:rPr>
          <w:sz w:val="20"/>
          <w:szCs w:val="20"/>
          <w:color w:val="auto"/>
        </w:rPr>
      </w:pPr>
      <w:r>
        <w:rPr>
          <w:rFonts w:ascii="Times New Roman" w:cs="Times New Roman" w:eastAsia="Times New Roman" w:hAnsi="Times New Roman"/>
          <w:sz w:val="18"/>
          <w:szCs w:val="18"/>
          <w:color w:val="auto"/>
        </w:rPr>
        <w:t>Janssen is also eligible to receive (a) royalties ranging from mid to high-single digit percentages on worldwide net sales of any products containing a TARP 8 development candidate and (b) royalties ranging from low to mid-single digit percentages for other TARP 8 products that do not contain a TARP 8 development candidate, in each case of (a) and (b), subject to potential reductions following the expiration of valid claims and regulatory exclusivity covering such TARP 8 products, the launch of certain generic products and the application of certain anti-stacking reductions for third party intellectual property payments, subject to a customary reduction floor. The royalties for any TARP 8 product will expire on a country-by-country basis upon the latest to occur of (i) the expiration of all valid patent claims covering such product in such country, (ii) the expiration of all regulatory exclusivities in such country, and (iii) a specified number of years following the first commercial sale of such product in such country. The Janssen License provides us with certain other exclusive rights with respect to small molecules with activity against TARP 8 and nAChR.</w:t>
      </w:r>
    </w:p>
    <w:p>
      <w:pPr>
        <w:spacing w:after="0" w:line="84"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have the right to terminate the Janssen License for any or no reason upon providing prior written notice to Janssen upon ninety (90) days’ prior written notice to Janssen. Either party may terminate the license agreement in its entirety for the other party’s material breach if such party fails to cure the breach or upon certain insolvency events involving the other party.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NeuroPace Master Services Agreement and Statement of Work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2023, we entered into a master services agreement (the “NeuroPace Agreement”) with NeuroPace Inc. (“NeuroPace”), the manufacturer and distributor of the responsive neurostimulation (“RNS”) system. Pursuant to the NeuroPace Agreement and in accordance with statement of work agreements entered into from time to time, NeuroPace provides us with certain services with respect to data from the RNS systems used in our clinical trials. The NeuroPace Agreement also grants us a royalty-free, worldwide, exclusive, non-transferable license to all data collected by the RNS systems in our RAP-219 clinical trials in drug-resistant FOS and the outcomes of algorithms that are applied to such data, as well as the ability to publish the outcomes of algorithms, subject to certain conditions. The consideration we will pay to NeuroPace for such services is set out in each statement of work agreement.</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NeuroPace Agreement, the parties also entered into an initial statement of work, as amended in March 2024, and a second SOW in July 2025 (collectively, the “NeuroPace SOWs”) under the NeuroPace Agreement, pursuant to which NeuroPace agreed to provide services related to our RAP-219 Phase 2a proof-of-concept clinical trial and planned open-label long term safety trial in RAP-219 for FOS, including, among other things, clinical trial readiness support, identification of potential patients satisfying the enrollment criteria and RNS system data reporting and data analysis. Pursuant to the payment schedule set out in the NeuroPace SOWs, the Company will pay NeuroPace an aggregate of up to $5.3 million over a period of approximately four years in connection with NeuroPace’s provision of services and achievement of certain patient enrollment and deliverable milestones.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(“EU”),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require the expenditure of substantial time and financial resources.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Drugs in the United States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 FDA regulates drugs under the U.S. Federal Food, Drug, and Cosmetic Act (“FDCA”) and its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seizures, total or partial suspension of production or distribution, injunctions, fines, refusals of government contracts, restitution, disgorgement of profits, or civil or criminal investigations and penalties brought by the FDA and the U.S. Department of Justice or other governmental entities. In addition, an applicant may need to recall a product.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 applicant seeking approval to market and distribute a new drug product in the United States must typically undertake the following:</w:t>
      </w:r>
    </w:p>
    <w:p>
      <w:pPr>
        <w:spacing w:after="0" w:line="117" w:lineRule="exact"/>
        <w:rPr>
          <w:sz w:val="20"/>
          <w:szCs w:val="20"/>
          <w:color w:val="auto"/>
        </w:rPr>
      </w:pPr>
    </w:p>
    <w:p>
      <w:pPr>
        <w:ind w:left="1020" w:right="6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or preclinical, laboratory tests, animal studies and formulation studies in compliance with the FDA’s GLP regulations;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which must take effect before human clinical trials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representing each clinical site before each clinical trial may be initiated at that site;</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(“GCPs”) to establish the safety and efficacy of the proposed drug product for each indication;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New Drug Application (“NDA”) and payment of user fees;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product, or components thereof, are produced to assess compliance with current Good Manufacturing Practices (“cGMP”) requirements and to assure that the facilities, methods and controls are adequate to preserve the product’s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audits of clinical trial sites to assure compliance with GCPs and the integrity of the clinical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and</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risk evaluation and mitigation strategies (“REMS”) and post-approval studies required by the FDA.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Before an applicant begins testing a compound in humans, the drug candidate enters the preclinical testing stage. Preclinical studies include laboratory evaluation of the purity and stability of the manufactured drug substance or active pharmaceutical ingredient (“API”) and the formulated drug or drug product,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safety and activity of the drug for initial testing in humans and to establish a rationale for therapeutic use. The conduct of preclinical studies is subject to federal regulations and requirements, including GLP regulations. Some long-term preclinical testing, such as animal tests of reproductive adverse effects and carcinogenicity, may continue after the IND is submitted.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 and IRB Processes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drug to be shipped in interstate commerce for use in an investigational clinical trial and a request for FDA authorization to administer such investigational drug to humans. Such authorization must be secured prior to interstate shipment and administration of the investigational drug. In an IND, applicants must submit a protocol for each clinical trial and any subsequent protocol amendments. In addition, the results of the preclinical tests, manufacturing information, analytical data, any available clinical data or literature and plans for clinical trials, among other things, are submitted to the FDA as part of an IND. An IND automatically becomes effective 30 days after receipt by the FDA, unless before that time, the FDA raises concerns or questions related to one or more proposed clinical trials and places the trial on clinical hold. The FDA also may impose a clinical hold or partial clinical hold after commencement of a clinical trial under an IND.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(or full investigation in the case of a partial clinical hold)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trial under an IND. When a foreign clinical trial is conducted under an IND, all FDA IND requirements must be met unless waived. When the foreign clinical trial is not conducted under an IND, the sponsor must ensure that the study is conducted in accordance with GCP, including review and approval by an independent ethics committee (“IEC”) and informed consent from subjects. The GCP requirements are intended to help ensure the protection of human subjects enrolled in non-IND foreign clinical trials, as well as the quality and integrity of the resulting data. FDA must also be able to validate the data from the study through an on-site inspection if necessary.</w:t>
      </w:r>
    </w:p>
    <w:p>
      <w:pPr>
        <w:spacing w:after="0" w:line="18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9" w:name="page30"/>
    <w:bookmarkEnd w:id="29"/>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review of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study. The FDA or the sponsor may suspend or terminate a clinical trial at any time on various grounds, including a finding that the research subjects are being exposed to an unacceptable health risk. Other reasons for suspension or termination may be made by us based on evolving business objectives and/or competitive climate.</w:t>
      </w:r>
    </w:p>
    <w:p>
      <w:pPr>
        <w:spacing w:after="0" w:line="183"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National Institutes of Health (“NIH”) for public dissemination on its ClinicalTrials.gov website.</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an NDA</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among other things, the requirement that all research subjects, or their legal representative,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w:t>
      </w:r>
    </w:p>
    <w:p>
      <w:pPr>
        <w:spacing w:after="0" w:line="115" w:lineRule="exact"/>
        <w:rPr>
          <w:sz w:val="20"/>
          <w:szCs w:val="20"/>
          <w:color w:val="auto"/>
        </w:rPr>
      </w:pPr>
    </w:p>
    <w:p>
      <w:pPr>
        <w:ind w:left="1020" w:right="80" w:hanging="503"/>
        <w:spacing w:after="0" w:line="267"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drug is initially introduced into healthy human subjects or, in certain indications such as cancer, patients with the target disease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condition and tested for safety, dosage tolerance, absorption, metabolism, distribution, excretion and, if possible, to gain an early indication of its effectiveness and to determine maximal dosage.</w:t>
      </w:r>
    </w:p>
    <w:p>
      <w:pPr>
        <w:spacing w:after="0" w:line="65" w:lineRule="exact"/>
        <w:rPr>
          <w:rFonts w:ascii="Times New Roman" w:cs="Times New Roman" w:eastAsia="Times New Roman" w:hAnsi="Times New Roman"/>
          <w:sz w:val="18"/>
          <w:szCs w:val="18"/>
          <w:color w:val="auto"/>
        </w:rPr>
      </w:pPr>
    </w:p>
    <w:p>
      <w:pPr>
        <w:ind w:left="1020" w:right="480" w:hanging="503"/>
        <w:spacing w:after="0" w:line="284"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drug is administered to a limited patient population to identify possible AEs and safety risks, to preliminarily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for specific targeted diseases and to determine dosage tolerance and optimal dosage.</w:t>
      </w:r>
    </w:p>
    <w:p>
      <w:pPr>
        <w:spacing w:after="0" w:line="50" w:lineRule="exact"/>
        <w:rPr>
          <w:rFonts w:ascii="Times New Roman" w:cs="Times New Roman" w:eastAsia="Times New Roman" w:hAnsi="Times New Roman"/>
          <w:sz w:val="18"/>
          <w:szCs w:val="18"/>
          <w:color w:val="auto"/>
        </w:rPr>
      </w:pPr>
    </w:p>
    <w:p>
      <w:pPr>
        <w:ind w:left="1020" w:right="180" w:hanging="503"/>
        <w:spacing w:after="0" w:line="267"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The drug is administered to an expanded patient population, generally at geographically dispersed clinical trial sites, in well-controlled clinical trials to generate enough data to evaluate the efficacy and safety of the product for approval, to establish the overall risk-benefit profile of the product and to provide adequate information for the labeling of the product.</w:t>
      </w:r>
    </w:p>
    <w:p>
      <w:pPr>
        <w:spacing w:after="0" w:line="175"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Post-approval studies, often referred to as Phase 4 studies, may be conducted after initial regulatory approval. These studies are used to gain additional experience from the treatment of patients in the intended therapeutic indication.</w:t>
      </w:r>
    </w:p>
    <w:p>
      <w:pPr>
        <w:spacing w:after="0" w:line="162"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must be submitted at least annually to the FDA. In addition, within 15 calendar days after the sponsor determines that the information qualifies for reporting,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drug; and any clinically important increase in the case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the applicant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Review of an NDA by the FDA</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 significant application user fee as well as annual prescription drug product program fees. These fees are typically increased annually. Certain exceptions and waivers are available for some of these fees.</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an NDA within 60 days of its receipt, before accepting the NDA for filing,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Applications for drugs containing new molecular entities are meant to be reviewed within 10 months from the date of filing, and applications for “priority review” products containing new molecular entities are meant to be reviewed within 6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During its review of an NDA, the FDA typically will inspect the facility or facilities where the product is or will be manufactured. These pre-approval inspections may cover all facilities associated with an NDA, including drug component manufacturing (such as active pharmaceutical ingredients (“APIs”)), finished drug product manufacturing, and control testing laboratories. The FDA will not approve an NDA unless it determines that the manufacturing processes and facilities are in compliance with cGMP requirements and adequate to assure consistent production of the product within required specifications.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AEs, and whether the product is a new molecular entity. REMS can include medication guides, physician communication plans for healthcare professionals, and elements to assure safe use (“ETASU”). ETASU may include, but are not limited to, special training or certification for prescribing or dispensing, dispensing only under certain circumstances, special monitoring, and the use of patient registries.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FDA may require a REMS before approval or post-approval if it becomes aware of a serious risk associated with use of the product.</w:t>
      </w:r>
    </w:p>
    <w:p>
      <w:pPr>
        <w:spacing w:after="0" w:line="225"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Fast Track, Breakthrough Therapy, and Priority Review</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FDA has a number of programs intended to facilitate and expedite development and review of new drugs if they are intended to address an unmet medical need in the treatment of a serious or life-threatening disease or condition. Three of these programs are referred to as Fast Track Designation, Breakthrough Therapy Designation, and priority review designation.</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1" w:name="page32"/>
    <w:bookmarkEnd w:id="31"/>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Third, the FDA may designate an NDA review for a priority review if it is for a product that treats a serious or life-threatening disease or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10 months to 6 months.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or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8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accelerated approval pathway is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Under the Food and Drug Omnibus Reform Act of 2022 (“FDORA”), the FDA is now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the FDA generally requires, unless otherwise informed by the agency, pre-approval of promotional materials for product candidates approved under accelerated regulations, which could adversely impact the timing of the commercial launch of the product.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FDA’s Decision on an NDA</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the basis of the FDA’s evaluation of the NDA and accompanying information, including the results of the inspection of the manufacturing facilities and select clinical trial sites,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2" w:name="page33"/>
    <w:bookmarkEnd w:id="32"/>
    <w:p>
      <w:pPr>
        <w:ind w:right="20"/>
        <w:spacing w:after="0" w:line="258" w:lineRule="auto"/>
        <w:rPr>
          <w:sz w:val="20"/>
          <w:szCs w:val="20"/>
          <w:color w:val="auto"/>
        </w:rPr>
      </w:pPr>
      <w:r>
        <w:rPr>
          <w:rFonts w:ascii="Times New Roman" w:cs="Times New Roman" w:eastAsia="Times New Roman" w:hAnsi="Times New Roman"/>
          <w:sz w:val="18"/>
          <w:szCs w:val="18"/>
          <w:color w:val="auto"/>
        </w:rPr>
        <w:t>information in order for the FDA to reconsider the application. If a complete response letter is issued, the applicant may resubmit the NDA to address all of the deficiencies identified in the letter, withdraw the application, or request a hearing. If the applicant resubmits the NDA, the FDA will issue an approval letter only when the deficiencies have been addressed to the FDA’s satisfaction. The FDA has committed to reviewing such resubmissions in 2 or 6 months depending on the type of information included. Even with submission of this additional information, the FDA ultimately may decide that the application does not satisfy the regulatory criteria for approval.</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or effectiveness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reporting of adverse experiences with the product and applicable product tracking and tracing requirements. After approval, many changes to the approved product, such as adding new indications or other labeling claims, are subject to prior FDA review and approval. There also are annual prescription drug product program fee requirements for certain marketed products.</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NDA holder and any third-party manufacturers that the NDA holder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5" w:lineRule="exact"/>
        <w:rPr>
          <w:sz w:val="20"/>
          <w:szCs w:val="20"/>
          <w:color w:val="auto"/>
        </w:rPr>
      </w:pPr>
    </w:p>
    <w:p>
      <w:pPr>
        <w:ind w:left="1020" w:right="4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voluntary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agency in ways that may significantly affect the manner in which pharmaceutical products are regulated and marketed.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Hatch-Waxman Amendments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known as a reference listed drug (“RLD”).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Non-Patent Exclusivity</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Under the Hatch-Waxman Amendments, the FDA may not approve (or in some cases accept) an ANDA or 505(b)(2) application until any applicable period of non-patent exclusivity for the RLD has expired. The FDCA provides a period of five years of non-patent data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which states the proposed generic drug will not infringe one or more of the already approved product’s listed patents or that such patents are invalid or unenforceable, in which case the applicant may submit its application four years following the original product approval.</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FDCA also provides for a period of three years of exclusivity for non-NCE drugs if the NDA or a supplement to the NDA includes reports of one or more new clinical investigations, other than bioavailability or bioequivalence studies, that were conducted by or for the applicant and are essential to the approval of the application or supplement. This three-year exclusivity period often protects changes to a previously approved drug product, such as a new dosage form, route of administration, combination or indication, but it generally would not protect the original, unmodified product from generic competition. Unlike five-year NCE exclusivity, an award of three-year exclusivity does not block the FDA from accepting ANDAs seeking approval for generic versions of the drug as of the date of approval of the original drug product; it only prevents FDA from approving such ANDAs.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 drug product can obtain pediatric market exclusivity in the United States. Pediatric exclusivity, if granted, adds 6 months to existing exclusivity periods for all formulations, dosage forms, and indications of the active moiety and to patent terms. This six-month exclusivity, which runs from the end of other exclusivity protection and patent term, may be granted based on the voluntary completion of a pediatric study in accordance with an FDA-issued “Written Request” for such a study, provided that at the time pediatric exclusivity is granted there is not less than 9 months of term remaining.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Hatch-Waxman Patent Certification and the 30-Month Stay</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seeking approval of an NDA or a supplement thereto, NDA sponsors are required to list with the FDA each patent with claims that cover the applicant’s product or an approved method of using the product. Upon approval, each of the patents listed by the NDA sponsor is published in the FDA’s Approved Drug Products with Therapeutic Equivalence Evaluations, commonly known as the Orange Book. Upon submission of an ANDA or 505(b)(2) NDA, an applicant is required to certify to the FDA concerning any patents listed for the RLD in the Orange Book that:</w:t>
      </w:r>
    </w:p>
    <w:p>
      <w:pPr>
        <w:spacing w:after="0" w:line="72"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patent information on the drug product that is the subject of the application has been submitted to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patent has expired;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4" w:name="page35"/>
    <w:bookmarkEnd w:id="34"/>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patent expires; or</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patent is invalid, unenforceable or will not be infringed upon by the manufacture, use, or sale of the drug product for which the application is submitted.</w:t>
      </w:r>
    </w:p>
    <w:p>
      <w:pPr>
        <w:spacing w:after="0" w:line="16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If the drug has NCE exclusivity and the ANDA is submitted four years after approval, the 30-month stay is extended so that it expires seven and a half years after approval of the innovator drug, unless the patent expires or there is a decision in the infringement case that is favorable to the ANDA applicant before then.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Extension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 Waxman Amendments, which permits a patent term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provided the sponsor acted with diligence.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and within 60 days of drug approval. A patent that covers multiple drugs for which approval is sought can only be extended in connection with one of the approvals. The U.S. Patent and Trademark Office (“USPTO”) reviews and approves the application for any patent term extension or restoration in consultation with the FDA.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Medicinal Products in the European Union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similar lines as in the United States. It entails satisfactory completion of preclinical studies and adequate and well-controlled clinical trials to establish the safety and efficacy of the product for each proposed indication. It also requires a submission to the relevant competent authorities of a marketing authorization application (“MAA”) and granting of a marketing authorization by these authorities before the product can be marketed and sold in the EU.</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119"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In the EU, an applicant for authorization of a clinical trial must obtain prior approval from the national competent authority of the EU Member States in which the clinical trial is to be conducted. Furthermore, the applicant may only start a clinical trial at a specific study site after the relevant independent ethics committee has issued a favorable opinion. In April 2014, the Clinical Trials Regulation, (EU) No 536/2014 (the “Clinical Trials Regulation”) was adopted in the EU. The Clinical Trials Regulation is directly applicable in all the EU Member States and repealed the Clinical Trials Directive 2001/20/EC, as of January 31, 2022.</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5" w:name="page36"/>
    <w:bookmarkEnd w:id="35"/>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The Clinical Trials Regulation aims to simplify and streamline the approval of clinical trials in the EU. The main characteristics of the regulation include: a streamlined application procedure via a single entry point, known as the “Clinical Trials Information System”;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an elected Reference Member State, with support of the competent authorities of all EU Member States in which an application for authorization of a clinical trial has been submitted (the “Member States Concerned”). Part II is assessed separately by each Member State Concerned. Strict deadlines have been established for the assessment of clinical trial applications. The role of the relevant ethics committees in the assessment procedure continues to be governed by the national law of the concerned EU Member State, however, overall related timelines are defined by the Clinical Trials Regulation.</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obtain a marketing authorization for a product in the EU, an applicant must submit an MAA either under a centralized procedure administered by the European Medicines Agency (“EMA”) or one of the procedures administered by competent authorities in the EU Member States (decentralized procedure or mutual recognition procedure) for obtaining a marketing authorization in multiple EU Member States. A marketing authorization may be granted only to an applicant established in the European Economic Area (“EEA”) (which is comprised of the EU Member States plus Norway, Iceland and Liechtenstein).</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throughout the EEA. Pursuant to Regulation (EC) No 726/2004, the centralized procedure is compulsory for specific products, including for medicines produced by certain biotechnological processes, products designated as orphan medicinal products, advanced therapy medicinal products (gene therapy, somatic cell therapy and tissue-engineered products) and products with a new active substance indicated for the treatment of certain diseases, including products for the treatment of HIV, AIDS, cancer, diabetes, neurodegenerative diseases,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89"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Committee for Medicinal Products for Human Use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the maximum timeframe for the evaluation of an MAA is 210 days, excluding clock stops, when additional information or written or oral explanation is to be provided by the applicant in response to questions asked by the CHMP. Clock stops may extend the timeframe of evaluation of an MAA considerably beyond 210 days. Accelerated evaluation might be granted by the CHMP in exceptional cases, when a medicinal product is of major interest from a public health perspective and in particular from the point of view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67 days from the date of the CHMP opinion, the European Commission will adopt its final decision on the MAA.</w:t>
      </w:r>
    </w:p>
    <w:p>
      <w:pPr>
        <w:spacing w:after="0" w:line="19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decentralized marketing authorization procedure allows an applicant to apply for simultaneous authorization in more than one EU Member State of medicinal products that have not yet been authorized in any EU Member State and that do not fall within the mandatory scope of the centralized procedure.</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mutual recognition procedure is based on the acceptance by the competent authorities of the EU Member States of the marketing authorization of a medicinal product by the competent authorities of another EU Member State.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11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Regulation (EC) No 1901/2006 provides that prior to obtaining a marketing authorization in the EU, applicants have to demonstrate compliance with all measures included in an EMA-approved Pediatric Investigation Plan (“PIP”) covering all subsets of the pediatric population, unless the EMA has granted (1) a product-specific waiver, (2) a class waiver or (3) a deferral for one or more of the measures included in the PIP. The PIP sets out the timing and measures proposed to generate data to support a pediatric indication of the product for which a marketing authorization is being sought. Products that are granted a marketing authorization with the results of the pediatric clinical trials conducted in accordance with the PIP are eligible for a six-month extension of the protection under a supplementary protection certificate (“SPC”) provided an application for such extension is made at the same time as filing the SPC application for the product, or at any point up to two years before the SPC expires, even where the trial results are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ind w:right="20"/>
        <w:spacing w:after="0" w:line="282" w:lineRule="auto"/>
        <w:rPr>
          <w:sz w:val="20"/>
          <w:szCs w:val="20"/>
          <w:color w:val="auto"/>
        </w:rPr>
      </w:pPr>
      <w:r>
        <w:rPr>
          <w:rFonts w:ascii="Times New Roman" w:cs="Times New Roman" w:eastAsia="Times New Roman" w:hAnsi="Times New Roman"/>
          <w:sz w:val="18"/>
          <w:szCs w:val="18"/>
          <w:color w:val="auto"/>
        </w:rPr>
        <w:t>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11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the EU, innovative medicinal products approved on the basis of a complete and independent data package qualify for eight years of data exclusivity upon marketing authorization and an additional two years of market exclusivity. Data exclusivity prevents applicants for authorization of generics or biosimilars of these innovative products from referencing the innovator’s preclinical and clinical trial data contained in the dossier of the reference product when applying for a generic or biosimilar (abbreviated) marketing authorization, for a period of eight years from the date on which the reference product was first authorized in the EU. During an additional two-year period of market exclusivity, a generic or biosimilar MAA can be submitted,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a marketing authorization based on an MAA with a complete and independent data package of pharmaceutical tests, preclinical tests and clinical trials.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Orphan Designation and Exclusivity</w:t>
      </w:r>
    </w:p>
    <w:p>
      <w:pPr>
        <w:spacing w:after="0" w:line="119"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product can be designated as an orphan medicinal product by the European Commission if its sponsor can establish that: (1) the product is intended for the diagnosis, prevention or treatment of a life-threatening or chronically debilitating condition, (2) either (i) such condition affects no more than five in ten thousand persons in the EU when the application is made, or</w:t>
      </w:r>
    </w:p>
    <w:p>
      <w:pPr>
        <w:spacing w:after="0" w:line="1" w:lineRule="exact"/>
        <w:rPr>
          <w:sz w:val="20"/>
          <w:szCs w:val="20"/>
          <w:color w:val="auto"/>
        </w:rPr>
      </w:pPr>
    </w:p>
    <w:p>
      <w:pPr>
        <w:jc w:val="both"/>
        <w:ind w:right="120" w:firstLine="8"/>
        <w:spacing w:after="0" w:line="255"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benefits derived from orphan status, it is unlikely that the marketing of the product in the EU would generate sufficient return to justify the necessary investment in its development and (3) there exists no satisfactory method of diagnosis, prevention or treatment of the condition in question that has been authorized in the EU or, if such method exists, the product would be of significant benefit to those affected by that condition.</w:t>
      </w:r>
    </w:p>
    <w:p>
      <w:pPr>
        <w:spacing w:after="0" w:line="186"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An orphan designation provides a number of benefits, including fee reductions, regulatory assistance and the possibility to apply for a centralized EU marketing authorization. Marketing authorization for an orphan medicinal product leads to a ten-year period of market exclusivity being granted following marketing approval of the orphan product. During this market exclusivity period, the EMA, the European Commission or the competent authorities of the EU Member States may only grant marketing authorization to a “similar medicinal product” for the same therapeutic indication if: (i) a second applicant can establish that its product, although similar to the authorized orphan product, is safer, more effective or otherwise clinically superior;</w:t>
      </w:r>
    </w:p>
    <w:p>
      <w:pPr>
        <w:spacing w:after="0" w:line="3" w:lineRule="exact"/>
        <w:rPr>
          <w:sz w:val="20"/>
          <w:szCs w:val="20"/>
          <w:color w:val="auto"/>
        </w:rPr>
      </w:pPr>
    </w:p>
    <w:p>
      <w:pPr>
        <w:ind w:firstLine="8"/>
        <w:spacing w:after="0" w:line="252"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authorization holder for the authorized orphan product consents to a second medicinal product application; or (iii) the marketing authorization holder for the authorized orphan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designation because, for example, the product is sufficiently profitable not to justify market exclusivity. Orphan designation must be requested before submitting an application for marketing approval. Orphan designation does not convey any advantage in, or shorten the duration of, the regulatory review and approval process.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 marketing authorization has an initial validity of five years. The marketing authorization may be renewed after five years on the basis of a re-evaluation of the risk-benefit balance by the EMA or by the competent authority of the relevant EU Member State for a nationally authorized product. To this end, the marketing authorization holder must provide the EMA or the competent authority with a consolidated version of the file in respect of quality, safety and efficacy, including all variations introduced since the marketing authorization was granted, at least 9 months before the marketing authorization ceases to be valid. Once renewed, the marketing authorization is valid for an unlimited period, unless the European Commission or the competent authorities of the relevant Member States decide, on justified grounds relating to pharmacovigilance, to proceed with one further five year renewal period. Any authorization which is not followed by the actual placing of the medicinal product on the EU market (for centrally-authorized products) or on the market of the authorizing EU Member State (for nationally-authorized products) within three years after authorization ceases to be valid (the so-called “sunset clause”).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i w:val="1"/>
          <w:iCs w:val="1"/>
          <w:color w:val="auto"/>
        </w:rPr>
        <w:t>Regulatory Requirements after a Marketing Authorization has been Obtained</w:t>
      </w:r>
    </w:p>
    <w:p>
      <w:pPr>
        <w:spacing w:after="0" w:line="11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Where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54" w:lineRule="exact"/>
        <w:rPr>
          <w:sz w:val="20"/>
          <w:szCs w:val="20"/>
          <w:color w:val="auto"/>
        </w:rPr>
      </w:pPr>
    </w:p>
    <w:p>
      <w:pPr>
        <w:ind w:left="1020" w:right="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5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(EU) 2017/1572, Regulation (EC) No 726/2004 and the European Commission Guidelines for Good Manufacturing Practice. These requirements include compliance with EU cGMP standards when manufacturing medicinal products and APIs, including the manufacture of APIs outside of the EU with the intention to import the APIs into the EU.</w:t>
      </w:r>
    </w:p>
    <w:p>
      <w:pPr>
        <w:spacing w:after="0" w:line="75"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products, including industry-sponsored continuing medical education and advertising directed toward the prescribers of products and/or the general public, are strictly regulated in the EU notably under Directive 2001/83/EC, as amended, and EU Member State laws.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of the aforementioned EU rules are generally applicable in the EEA.</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Reform of the Regulatory Framework in the European Union</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United Kingdom (“UK”) ceased being a Member State of the EU on January 31, 2020. As a result of the Northern Ireland Protocol, following Brexit, the EMA remained responsible for approving novel medicines for supply in Northern Ireland under the EU centralized procedure, and a separate authorization was required to supply the same medicine in Great Britain (England, Wales and Scotland). On February 27, 2023, the UK government and the European Commission announced a political agreement in principle to replace the Northern Ireland Protocol with a new set of arrangements, known as the “Windsor Framework.” The Windsor Framework was approved by the EU-UK Joint Committee on March 24, 2023, and the medicines aspects of the Windsor Framework have applied since January 1, 2025. This new framework fundamentally changes the previous system under the Northern Ireland Protocol, including with respect to the regulation of medicinal products in the UK. In particular, the Medicines and Healthcare products Regulatory Agency (“MHRA”) is now responsible for approving all medicinal products destined for the UK market (i.e., Great Britain and Northern Ireland), and the EMA no longer has any role in approving medicinal products destined for Northern Ireland under the EU centralized procedure. A single UK-wide marketing authorization will be granted by the MHRA for all novel medicinal products to be sold in the UK, enabling products to be sold in a single pack and under a single authorization throughout the UK. However, although a separate authorization is now required to market medicinal products in the UK, under an international recognition procedure which was put in place by the MHRA on January 1, 2024, the MHRA may take into account decisions on the approval of a marketing authorization from the EMA (and certain other regulators) when considering an application for a UK marketing authorization.</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There is now no pre-marketing authorization orphan designation in the UK. Instead, the MHRA reviews applications for orphan designation in parallel to the corresponding MAA. The criteria are essentially the same, but have been tailored for the UK market, i.e., the prevalence of the condition in UK (rather than the EU) must not be more than five in 10,000. Should an orphan designation be granted, the period of market exclusivity will be set from the date of first approval of the product in the UK.</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Following the end of the Brexit transition period, the MHRA continues to authorize clinical trials in the UK. The UK has implemented the now-repealed Clinical Trials Directive into national law through the Medicines for Human Use (Clinical Trials) Regulations 2004. However, on December 12, 2024, the UK government introduced a legislative proposal – the Medicines for Human Use (Clinical Trials) (Amendment) Regulations 2024 – that, if implemented, will replace the current regulatory framework for clinical trials in the UK. The legislative proposal aims to provide a more flexible regime to make it easier to conduct trials in the UK and increase the transparency of clinical trials conducted in the UK. This includes a notification scheme to enable lower-risk clinical trials to be automatically approved by the MHRA, where the risk is similar to that of standard medical care (although such trials would still require ethics committee approval). Such Regulations are expected to come into force in early 2026.</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 laws that may affect our ability to operate include, but are not limited to:</w:t>
      </w:r>
    </w:p>
    <w:p>
      <w:pPr>
        <w:spacing w:after="0" w:line="68" w:lineRule="exact"/>
        <w:rPr>
          <w:sz w:val="20"/>
          <w:szCs w:val="20"/>
          <w:color w:val="auto"/>
        </w:rPr>
      </w:pPr>
    </w:p>
    <w:p>
      <w:pPr>
        <w:ind w:left="1020" w:right="60" w:hanging="503"/>
        <w:spacing w:after="0" w:line="25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w:t>
      </w:r>
    </w:p>
    <w:p>
      <w:pPr>
        <w:spacing w:after="0" w:line="80" w:lineRule="exact"/>
        <w:rPr>
          <w:rFonts w:ascii="Times New Roman" w:cs="Times New Roman" w:eastAsia="Times New Roman" w:hAnsi="Times New Roman"/>
          <w:sz w:val="18"/>
          <w:szCs w:val="18"/>
          <w:color w:val="auto"/>
        </w:rPr>
      </w:pPr>
    </w:p>
    <w:p>
      <w:pPr>
        <w:ind w:left="1020" w:hanging="503"/>
        <w:spacing w:after="0" w:line="253"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(“FCA”), which can be enforced through civil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86" w:lineRule="exact"/>
        <w:rPr>
          <w:rFonts w:ascii="Times New Roman" w:cs="Times New Roman" w:eastAsia="Times New Roman" w:hAnsi="Times New Roman"/>
          <w:sz w:val="18"/>
          <w:szCs w:val="18"/>
          <w:color w:val="auto"/>
        </w:rPr>
      </w:pPr>
    </w:p>
    <w:p>
      <w:pPr>
        <w:ind w:left="1020" w:right="40" w:hanging="503"/>
        <w:spacing w:after="0" w:line="273"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these statutes without actual knowledge of the statutes or specific intent to violate them in order to have committed a violation;</w:t>
      </w:r>
    </w:p>
    <w:p>
      <w:pPr>
        <w:spacing w:after="0" w:line="63" w:lineRule="exact"/>
        <w:rPr>
          <w:rFonts w:ascii="Times New Roman" w:cs="Times New Roman" w:eastAsia="Times New Roman" w:hAnsi="Times New Roman"/>
          <w:sz w:val="17"/>
          <w:szCs w:val="17"/>
          <w:color w:val="auto"/>
        </w:rPr>
      </w:pPr>
    </w:p>
    <w:p>
      <w:pPr>
        <w:ind w:left="1020" w:right="360" w:hanging="503"/>
        <w:spacing w:after="0" w:line="25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imposes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80" w:lineRule="exact"/>
        <w:rPr>
          <w:rFonts w:ascii="Times New Roman" w:cs="Times New Roman" w:eastAsia="Times New Roman" w:hAnsi="Times New Roman"/>
          <w:sz w:val="18"/>
          <w:szCs w:val="18"/>
          <w:color w:val="auto"/>
        </w:rPr>
      </w:pPr>
    </w:p>
    <w:p>
      <w:pPr>
        <w:ind w:left="1020" w:right="20" w:hanging="503"/>
        <w:spacing w:after="0" w:line="277"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when HIPAA does not apply, according to the Federal Trade Commission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59" w:lineRule="exact"/>
        <w:rPr>
          <w:rFonts w:ascii="Times New Roman" w:cs="Times New Roman" w:eastAsia="Times New Roman" w:hAnsi="Times New Roman"/>
          <w:sz w:val="17"/>
          <w:szCs w:val="17"/>
          <w:color w:val="auto"/>
        </w:rPr>
      </w:pPr>
    </w:p>
    <w:p>
      <w:pPr>
        <w:ind w:left="1020" w:right="140" w:hanging="503"/>
        <w:spacing w:after="0" w:line="25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created under the Patient Protection and Affordable Care Act, as amended by the Health Care and Education Reconciliation Act (collectively, the “ACA”) and its implementing regulations, which requires manufacturers of drugs, devices, biologicals and medical supplies for which payment is available under Medicare, Medicaid or the Children’s Health Insurance Program (with certain exceptions) to report annually to the Department of Health and Human Services (“HHS”) information related to payments or other transfers of value made to physicians (defined to include doctors, dentists, optometrists, podiatrists and chiropractors), certain other licensed healthcare professionals (i.e., physician assistants, nurse practitioners, clinical nurse specialists, anesthesiologist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9" w:name="page40"/>
    <w:bookmarkEnd w:id="39"/>
    <w:p>
      <w:pPr>
        <w:ind w:left="1020" w:right="140"/>
        <w:spacing w:after="0" w:line="282" w:lineRule="auto"/>
        <w:rPr>
          <w:sz w:val="20"/>
          <w:szCs w:val="20"/>
          <w:color w:val="auto"/>
        </w:rPr>
      </w:pPr>
      <w:r>
        <w:rPr>
          <w:rFonts w:ascii="Times New Roman" w:cs="Times New Roman" w:eastAsia="Times New Roman" w:hAnsi="Times New Roman"/>
          <w:sz w:val="18"/>
          <w:szCs w:val="18"/>
          <w:color w:val="auto"/>
        </w:rPr>
        <w:t>assistants, certified registered nurse anesthetists, and certified nurse midwives), and teaching hospitals, as well as ownership and investment interests held by physicians and their immediate family members;</w:t>
      </w:r>
    </w:p>
    <w:p>
      <w:pPr>
        <w:spacing w:after="0" w:line="54" w:lineRule="exact"/>
        <w:rPr>
          <w:sz w:val="20"/>
          <w:szCs w:val="20"/>
          <w:color w:val="auto"/>
        </w:rPr>
      </w:pPr>
    </w:p>
    <w:p>
      <w:pPr>
        <w:ind w:left="1020" w:right="1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72" w:lineRule="auto"/>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1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such laws or any other governmental regulations that apply, we may be subject to significant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121"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European Union and the United States, such as countries in Eastern Europe, Latin America or Asia, the requirements governing the conduct of preclinical studies, clinical trials, product licensing, manufacturing,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180" w:lineRule="exact"/>
        <w:rPr>
          <w:sz w:val="20"/>
          <w:szCs w:val="20"/>
          <w:color w:val="auto"/>
        </w:rPr>
      </w:pPr>
    </w:p>
    <w:p>
      <w:pPr>
        <w:ind w:right="220" w:firstLine="450"/>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Security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process sensitive data. Accordingly, we are, or may be become, subject to numerous privacy and data security obligations, including global, federal, state, and local laws, regulations, guidance, industry standards, external and internal privacy and security policies, contractual requirements and other obligations related to privacy and data security.</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These privacy and data security laws are evolving and may impose potentially conflicting obligations. Such obligations may include, without limitation, federal health information privacy laws, state information security and data breach notification laws, state health information privacy laws, state and federal regulation and guidance related to artificial intelligence governance and security protocols, and federal and state consumer protection laws (e.g., the Federal Trade Commission Act). In addition, numerous U.S. states have comprehensive privacy laws that impose certain obligations on covered businesses, and similar laws are being considered in several other states, as well as at the federal and state levels. While these states exempt some data processed in the context of clinical trials, these developments may further complicate compliance efforts, and are examples of the increasingly stringent and evolving regulatory frameworks related to personal data processing, as more fully discussed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Annual Report.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to the extent we collect personal data from individuals outside of the United States, through clinical trials or otherwise, we are, or may become, subject to foreign data and data security laws, such as the European Union’s General Data Protection Regulation 2016/679 (“EU GDPR”) the UK equivalent (“UK GDPR”), and other national data protection legislation in force in relevant EEA Member States. Foreign privacy and data security laws impose significant and complex compliance obligations on entities that are subject to those laws, as more fully discussed in the section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included elsewhere in this Annual Report.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Factors payors consider in determining coverage and reimbursement are based on whether the product is:</w:t>
      </w:r>
    </w:p>
    <w:p>
      <w:pPr>
        <w:spacing w:after="0" w:line="75"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 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Even if favorable coverage and reimbursement status is attained for one or more products for which we receive regulatory approval, less favorable coverage policies and reimbursement rates may be implemented in the future.</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41" w:name="page42"/>
    <w:bookmarkEnd w:id="41"/>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 Adoption of price controls and cost-containment measures, and adoption of more restrictive policies in jurisdictions with existing controls and measures, could further limit a company’s revenue generated from the sale of any approved products. Even if we do receive a favorable coverage determination for approved products by third-party payors, coverage policies and third-party payor reimbursement rates may change at any time.</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the U.S. Centers for Medicare &amp; Medicaid Services (“CMS”) may develop new payment and delivery models, such as bundled payment models. In addition, recently there has been heightened governmental scrutiny over the manner in which manufacturers set prices for their commercial products, which has resulted in several U.S.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spacing w:after="0" w:line="18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80"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7"/>
          <w:szCs w:val="17"/>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U.S. Healthcare Reform</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the U.S., there have been a number of legislative and regulatory changes to the healthcare system that could impact our ability to sell our products profitably. For example, in March 2010,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 among other things:</w:t>
      </w:r>
    </w:p>
    <w:p>
      <w:pPr>
        <w:spacing w:after="0" w:line="72" w:lineRule="exact"/>
        <w:rPr>
          <w:sz w:val="20"/>
          <w:szCs w:val="20"/>
          <w:color w:val="auto"/>
        </w:rPr>
      </w:pPr>
    </w:p>
    <w:p>
      <w:pPr>
        <w:ind w:left="1020" w:right="5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 name drugs from 15.1% to 23.1% of the average manufacturer price;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manufacturers to participate in a coverage gap discount program, which was later replaced under the Inflation Reduction Act of</w:t>
      </w:r>
    </w:p>
    <w:p>
      <w:pPr>
        <w:spacing w:after="0" w:line="27" w:lineRule="exact"/>
        <w:rPr>
          <w:rFonts w:ascii="Times New Roman" w:cs="Times New Roman" w:eastAsia="Times New Roman" w:hAnsi="Times New Roman"/>
          <w:sz w:val="18"/>
          <w:szCs w:val="18"/>
          <w:color w:val="auto"/>
        </w:rPr>
      </w:pPr>
    </w:p>
    <w:p>
      <w:pPr>
        <w:ind w:left="10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(“IRA”) with the Medicare Part D manufacturer discount program under which manufacturers were required to offer a 50 percent point-of-sale discount (later increased to 70%) off negotiated prices of applicable brand drugs to eligible beneficiaries during their coverage gap period, as a condition for the manufacturer’s outpatient drugs to be covered under Medicare Part D (later increased to 70%); among other reforms.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Since its enactment, there have been judicial, administrative, executive, and legislative challenges to certain aspects of the ACA as well as executive orders related to the ACA’s implementation. The Trump Administration is also anticipated to use executive powers to address the ACA. It is unclear how other healthcare reform measures of the Trump administration or other efforts, if any, to challenge repeal or replace the ACA, will impact our business.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legislative and regulatory changes have been proposed and adopted in the United States since the ACA was enacted:</w:t>
      </w:r>
    </w:p>
    <w:p>
      <w:pPr>
        <w:spacing w:after="0" w:line="117" w:lineRule="exact"/>
        <w:rPr>
          <w:sz w:val="20"/>
          <w:szCs w:val="20"/>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Budget Control Act of 2011, among other things, included aggregate reductions of Medicare payments to providers of 2% per fiscal year, and, due to subsequent legislative amendments to the statute, will remain in effect until 2032.</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Taxpayer Relief Act of 2012, among other things, further reduced Medicare payments to several types of providers.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Rescue Plan Act of 2021 eliminated the statutory Medicaid drug rebate cap, previously set at 100% of a drug’s average manufacturer price, for single source and innovator multiple source drugs, effective January 1, 2024.</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Statutory Pay-As-You-Go Act of 2010, estimated budget deficit increases resulting from the American Rescue Plan Act of 2021, and subsequent legislation, Medicare payments to providers were further reduced starting on January 1, 2025.</w:t>
      </w:r>
    </w:p>
    <w:p>
      <w:pPr>
        <w:spacing w:after="0" w:line="53" w:lineRule="exact"/>
        <w:rPr>
          <w:rFonts w:ascii="Times New Roman" w:cs="Times New Roman" w:eastAsia="Times New Roman" w:hAnsi="Times New Roman"/>
          <w:sz w:val="18"/>
          <w:szCs w:val="18"/>
          <w:color w:val="auto"/>
        </w:rPr>
      </w:pPr>
    </w:p>
    <w:p>
      <w:pPr>
        <w:ind w:left="1020" w:right="40" w:hanging="503"/>
        <w:spacing w:after="0" w:line="252" w:lineRule="auto"/>
        <w:tabs>
          <w:tab w:leader="none" w:pos="10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for example, included several other provisions that may impact our business to varying degrees, including provisions that create a $2,000 out-of-pocket cap for Medicare Part D beneficiaries, and impose new manufacturer financial liability on all drugs in Medicare Part D. Further,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take effect progressively starting in fiscal year 2023. HHS completed the first and second rounds of price negotiations and has announced the first and second sets of “maximum fair prices,” covering a total of 25 drugs. The Medicare drug price negotiation program is currently subject to legal challenges. It is unclear how the IRA will be implemented but is likely to have a significant impact on the pharmaceutical industry. The One Big Beautiful Bill Act of 2025 (“OBBBA”) imposed significant reductions in Medicaid funding, additional work requirements for Medicaid recipients, and more frequent reenrollment requirements, which are expected to place substantial pressure on state Medicaid budgets, reduce enrollment, and limit covered services, which could decrease utilization of, and reimbursement for, our products, if approved.</w:t>
      </w:r>
    </w:p>
    <w:p>
      <w:pPr>
        <w:spacing w:after="0" w:line="197" w:lineRule="exact"/>
        <w:rPr>
          <w:sz w:val="20"/>
          <w:szCs w:val="20"/>
          <w:color w:val="auto"/>
        </w:rPr>
      </w:pPr>
    </w:p>
    <w:p>
      <w:pPr>
        <w:ind w:firstLine="540"/>
        <w:spacing w:after="0" w:line="266" w:lineRule="auto"/>
        <w:rPr>
          <w:sz w:val="20"/>
          <w:szCs w:val="20"/>
          <w:color w:val="auto"/>
        </w:rPr>
      </w:pPr>
      <w:r>
        <w:rPr>
          <w:rFonts w:ascii="Times New Roman" w:cs="Times New Roman" w:eastAsia="Times New Roman" w:hAnsi="Times New Roman"/>
          <w:sz w:val="18"/>
          <w:szCs w:val="18"/>
          <w:color w:val="auto"/>
        </w:rPr>
        <w:t>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76" w:lineRule="exact"/>
        <w:rPr>
          <w:sz w:val="20"/>
          <w:szCs w:val="20"/>
          <w:color w:val="auto"/>
        </w:rPr>
      </w:pPr>
    </w:p>
    <w:p>
      <w:pPr>
        <w:ind w:right="300" w:firstLine="749"/>
        <w:spacing w:after="0" w:line="256" w:lineRule="auto"/>
        <w:rPr>
          <w:sz w:val="20"/>
          <w:szCs w:val="20"/>
          <w:color w:val="auto"/>
        </w:rPr>
      </w:pPr>
      <w:r>
        <w:rPr>
          <w:rFonts w:ascii="Times New Roman" w:cs="Times New Roman" w:eastAsia="Times New Roman" w:hAnsi="Times New Roman"/>
          <w:sz w:val="18"/>
          <w:szCs w:val="18"/>
          <w:color w:val="auto"/>
        </w:rPr>
        <w:t>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The Trump Administration has issued executive orders and supported proposed regulatory initiatives in 2025 that could have a significant impact on the prices that we, or any collaborators, may receive for any approved products.</w:t>
      </w:r>
    </w:p>
    <w:p>
      <w:pPr>
        <w:spacing w:after="0" w:line="187"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On May 12, 2025, President Trump signed an executive order directing the Secretary of HHS to set and communicate most-favored-nation (“MFN”) price targets to manufacturers and propose a rulemaking plan to impose MFN pricing if “significant progress” is not made, and also directing the federal government to support regulatory paths to allow direct-to-patient sales for companies that meet these targets. The executive order further states that the Administration will take additional action (for example, examining whether marketing approvals should be modified or rescinded or considering individual drug importation waiver authorities) should manufacturers fail to offer American consumers the MFN lowest price. In July 2025, President Trump sent letters to certain pharmaceutical companies demanding that these companies extend MFN pricing to Medicaid and newly launched drugs as well as move to direct-to-consumer models priced at MFN pricing, and soliciting binding commitments by September 29, 2025. Since this time, multiple drug manufacturers have announced plans to, for certain of their drugs, lower prices to reflect similar pricing around the world, and to sell these reduced-price drugs on a direct-to-consumer purchasing platform developed by the federal government; however, it is not known what results will occur to the extent the recipients of these letters do not reduce their U.S. prices.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firstLine="749"/>
        <w:spacing w:after="0" w:line="253" w:lineRule="auto"/>
        <w:rPr>
          <w:sz w:val="20"/>
          <w:szCs w:val="20"/>
          <w:color w:val="auto"/>
        </w:rPr>
      </w:pPr>
      <w:r>
        <w:rPr>
          <w:rFonts w:ascii="Times New Roman" w:cs="Times New Roman" w:eastAsia="Times New Roman" w:hAnsi="Times New Roman"/>
          <w:sz w:val="18"/>
          <w:szCs w:val="18"/>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194"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The effect of these healthcare reform initiatives on our business and the pharmaceutical industry in general is not yet known, but could be substantial and materially adverse to our ability to successfully commercialize our product candidates at profitable price points.</w:t>
      </w:r>
    </w:p>
    <w:p>
      <w:pPr>
        <w:spacing w:after="0" w:line="162"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Individual states have also been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We expect that additional state and federal healthcare reform measures will be adopted in the future, particularly in light of the new presidential administration, any of which could limit the amounts that federal and state governments will pay for healthcare products and services.</w:t>
      </w:r>
    </w:p>
    <w:p>
      <w:pPr>
        <w:spacing w:after="0" w:line="18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Although a number of these and other proposed measures may require authorization through additional legislation to become effective, and the incoming Trump administration may reverse or otherwise change these measures, both the incoming Trump administration and Congress have indicated that they will continue to seek new legislative measures to control drug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we had 84 full-time employees, and approximately 33 of our employees have M.D. or Ph.D. degrees. Within our workforce, 62 employees are engaged in research and development and 22 are engaged in business development, finance, legal, and general management and administration. Our human capital resources objectives include identifying, recruiting, retaining, incentivizing and integrating our existing and new employees, advisors and consultants. None of our employees are represented by a labor union or covered by a collective bargaining agreement. We consider our relationship with our employees to be good.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any amendments to such reports filed or furnished pursuant to Section 13(a) or 15(d) of the Securities Exchange Act of 1934, as amended, are available through the “Investors” portion of our website free of charge on our website, https://investors.rapportrx.com, as soon as reasonably practicable after they are filed with or furnished to the Securities and Exchange Commission (“SEC”). Information on our website is not part of this Annual Report or any of our other securities filings unless specifically incorporated by reference herein or therein. In addition, these reports may be accessed through the SEC’s website,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92"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Our code of business conduct and ethics, corporate governance guidelines and the charters of our audit committee, compensation committee, nominating and corporate governance committee and science technology committee are available on the “Corporate Governance” page of our investor website, https://investors.rapportrx.com.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Our business involves significant risks. Stockholders should carefully consider the risks and uncertainties described below and the other information in this Annual Report on Form 10-K (this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in the other documents that we file with the SEC. Our business, financial condition, results of operations, or prospects could be materially and adversely affected if any of these risks occur, and as a result, the market price of our common stock could decline and stockholders could lose all or part of their investment. This Annual Report also contains forward-looking statements that involve risks and uncertainties not presently known to us or that we currently deem to be immaterial. See “Special Note Regarding Forward-Looking Statements” on page 1 for more information. Our actual results could differ materially and adversely from those anticipated in these forward-looking statements as a result of certain important factors, including those set forth below.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Need for Additional Capital</w:t>
      </w:r>
    </w:p>
    <w:p>
      <w:pPr>
        <w:spacing w:after="0" w:line="117" w:lineRule="exact"/>
        <w:rPr>
          <w:sz w:val="20"/>
          <w:szCs w:val="20"/>
          <w:color w:val="auto"/>
        </w:rPr>
      </w:pPr>
    </w:p>
    <w:p>
      <w:pPr>
        <w:jc w:val="both"/>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biotechnology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We were formed in February 2022 and our operations to date have been limited to organizing and staffing our company, business planning, raising capital, developing our RAP technology platform and technology, identifying potential product candidates, securing intellectual property rights, and planning and undertaking preclinical studies and clinical trials. Substantially all of our product candidates were initially developed by Janssen, which we in-licensed pursuant to the Janssen License, entered into shortly after our formation. We have not yet demonstrated an ability to generate revenues, obtain regulatory approvals, manufacture any product on a commercial scale or arrange for a third party to do so on our behalf or conduct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early-stage biotechnology companies in rapidly evolving fields, and we have not yet demonstrated an ability to successfully overcome such risks and difficulties. If we do not address these risks and difficulties successfully, our business will suffer.</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 candidates based on our RAP technology platform. We do not know whether we will be able to develop any product candidates that succeed through preclinical and clinical development or products of commercial value. We have no products approved for commercial sale and have not generated any revenue from product sales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$111.5 million and $78.3 million for the years ended December 31, 2025 and 2024, respectively. As of December 31, 2025, we have not yet generated revenues and had an accumulated deficit of $235.2 million. We expect to continue to incur significant losses for the foreseeable future, and we expect these losses to increase as we continue our research and development of, and seek regulatory approvals for, our product candidates.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candidates through clinical development, including as we advance RAP-219 into later-stage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medical, scientific and other technical personnel to support the clinical development of our product candidates;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 increase in headcount as we expand our research and development organization and market development and pre-commercial planning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pre-commercial or commercial activities to establish sales, marketing and distribution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preclinical-stage product candidates into clinical development;</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and develop additional product candidates, including through business development efforts to invest in or in-license other technologies or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5" w:name="page46"/>
    <w:bookmarkEnd w:id="45"/>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the Janssen License and any future in-license or collaboration agreements;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interest or other payments due under any future financing or other arrangements with third parties.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Biotechnology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our prospects, factoring in the costs, uncertainties, delays and difficulties frequently encountered by companies in clinical development, especially clinical-stage biotechnology companies such as ours, should be carefully considered. Any predictions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18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Additionally, our expenses could increase beyond our expectations if we are required by the FDA, EMA, MHRA or other comparable regulatory authorities to perform clinical trials in addition to those that we currently expect, or if there are any delays in establishing appropriate manufacturing arrangements for or in completing our clinical trials or the development of any of our product candidates.</w:t>
      </w:r>
    </w:p>
    <w:p>
      <w:pPr>
        <w:spacing w:after="0" w:line="280"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Developing biotechnology products, including conducting preclinical studies and clinical trials, is a very time-consuming, expensive and uncertain process that takes years to complete. We expect our expenses to continue to increase in connection with our ongoing activities, particularly as we conduct clinical trials of, and seek regulatory and marketing approval for, our product candidates. Even if our current or future product candidates are approved for commercial sale, we anticipate incurring significant costs associated with commercializing any approved product candidate. To date, we have funded our operations principally through private financings, our initial public offering (“IPO”) and concurrent private placement, which closed in June 2024, and our underwritten public offering in September 2025. We expect our expenses to increase in connection with our ongoing activities, particularly as we continue the clinical and preclinical development of our product candidates, continue to identify additional targets, commence additional preclinical studies and clinical trials, and continue to identify and develop additional product candidates either through internal development or through acquisitions or in-licensing product candidates.</w:t>
      </w:r>
    </w:p>
    <w:p>
      <w:pPr>
        <w:spacing w:after="0" w:line="18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2025, we had $490.5 million of cash, cash equivalents and short-term investments, excluding restricted cash. Based upon our current operating plan, we believe that our existing cash, cash equivalents and short-term investments will enable us to fund our operating expenses and capital expenditure requirements into the second half of 2029.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future capital requirements will depend on many factors, including but not limited to:</w:t>
      </w:r>
    </w:p>
    <w:p>
      <w:pPr>
        <w:spacing w:after="0" w:line="81" w:lineRule="exact"/>
        <w:rPr>
          <w:sz w:val="20"/>
          <w:szCs w:val="20"/>
          <w:color w:val="auto"/>
        </w:rPr>
      </w:pPr>
    </w:p>
    <w:p>
      <w:pPr>
        <w:ind w:left="1020" w:right="5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costs and results of discovery, preclinical development and clinical trials for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preclinical studies and clinical trials required for regulatory approval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any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our current or future product candidates;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6" w:name="page47"/>
    <w:bookmarkEnd w:id="46"/>
    <w:p>
      <w:pPr>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precision neuroscience approach at identifying target patient populations and utilizing our approach to enrich our patient population in our clinical trials;</w:t>
      </w:r>
    </w:p>
    <w:p>
      <w:pPr>
        <w:spacing w:after="0" w:line="53" w:lineRule="exact"/>
        <w:rPr>
          <w:rFonts w:ascii="Times New Roman" w:cs="Times New Roman" w:eastAsia="Times New Roman" w:hAnsi="Times New Roman"/>
          <w:sz w:val="18"/>
          <w:szCs w:val="18"/>
          <w:color w:val="auto"/>
        </w:rPr>
      </w:pPr>
    </w:p>
    <w:p>
      <w:pPr>
        <w:ind w:left="1020" w:right="660" w:hanging="503"/>
        <w:spacing w:after="0" w:line="312" w:lineRule="auto"/>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31" w:lineRule="exact"/>
        <w:rPr>
          <w:rFonts w:ascii="Times New Roman" w:cs="Times New Roman" w:eastAsia="Times New Roman" w:hAnsi="Times New Roman"/>
          <w:sz w:val="17"/>
          <w:szCs w:val="17"/>
          <w:color w:val="auto"/>
        </w:rPr>
      </w:pPr>
    </w:p>
    <w:p>
      <w:pPr>
        <w:ind w:left="1020" w:right="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attract, hire and retain skilled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commercially viable pricing structure and obtain approval for coverage and adequate reimbursement from third-party and government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trends including inflation and rising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potential supply chain interruptions or delays;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 products and technologies.</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and development of product candidates, we are unable to predict the timing or amount of our working capital requirements. In addition, if we obtain regulatory approval for our product candidates, we expect to incur significant commercialization expenses related to product manufacturing, marketing, sales and distribution which make it difficult to predict when or if we will be able to achieve or maintain profitability. Furthermore, we have incurred and expect to continue to incur additional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w:t>
      </w:r>
    </w:p>
    <w:p>
      <w:pPr>
        <w:spacing w:after="0" w:line="292"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product candidates.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with our existing cash, cash equivalents and short-term investments, any future equity or debt financings, upfront and milestone and royalty payments, if any, received under any future licenses, collaborations, or royalty agreements. If we raise additional capital through the sale of equity or convertible debt securities, or issue any equity or convertible debt securities in connection with a collaboration agreement or other contractual arrangement, the ownership interests of our stockholders will be diluted, and the terms of these securities may include liquidation or other preferences that adversely affect the rights of our stockholders. In addition, the possibility of such issuance may cause the market price of our common stock to decline.</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July 2025, we filed a registration statement on Form S-3 (the “Registration Statement”) pursuant to which we may issue up to $400.0 million in shares of our common stock, preferred stock, debt securities, warrants and/or units. Concurrent with the filing of the Registration Statement, we entered into a common stock sales agreement, dated July 1, 2025, by and between the Company and Leerink Partners LLC and Cantor Fitzgerald &amp; Co., acting as sales agents, which established an at-the-market offering program pursuant to which we may offer and sell shares of our common stock from time to time (the “ATM Program”). In connection with the ATM Program, we also filed a prospectus supplement with the SEC on January 7, 2026, for the offer and sale of up to $110.0 million of shares of common stock from time to time through the sales agents. As of the date of this Annual Report on Form 10-K, we have sold no shares pursuant to our ATM program.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7" w:name="page48"/>
    <w:bookmarkEnd w:id="47"/>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w:t>
      </w:r>
    </w:p>
    <w:p>
      <w:pPr>
        <w:spacing w:after="0" w:line="176"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spacing w:after="0" w:line="291"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from our license agreement with Janssen may be a drain on our cash resources, or may cause us to incur debt obligations or equity dilution to satisfy the payment obligations.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Under the terms of the Janssen License, Janssen is entitled to substantial contingent payments upon the occurrence of certain events. For example, we will be required to pay Janssen up to $76.0 million in development milestone payments and up to $40.0 million sales milestone payments for products containing RAP-219. In order to satisfy our obligations to make these payments, if and when they are triggered, we may need to issue equity or convertible debt securities that may cause dilution to our stockholders, or we may use our existing cash and cash equivalents or incur debt obligations to satisfy the payment obligations in cash, which may adversely affect our financial position. In addition, these obligations may impede our ability to raise money in future public offerings of debt or equity securities or to obtain a third-party line of credit.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product candidates, particularly RAP-219 for FOS. If we are unable to successfully complete clinical development, obtain regulatory approval for or commercialize one or more of our product candidates, or if we experience delays in doing so, our business will be materially harmed.</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To date, as an organization, we have not completed the development of any product candidates and nearly all of our candidates remain in early-stage clinical or preclinical development. Our future success and ability to generate revenue from our product candidates is dependent on our ability to successfully develop, obtain regulatory approval for and commercialize one or more of our product candidates. All of our product candidates will require substantial additional investment for clinical development, regulatory review and approval in one or more jurisdictions. If any of our product candidates, particularly RAP-219, encounter safety or efficacy problems, development delays or regulatory issues or other problems, our development plans and business would be materially harmed.</w:t>
      </w:r>
    </w:p>
    <w:p>
      <w:pPr>
        <w:spacing w:after="0" w:line="187"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We may not have the financial resources to continue development of our product candidates if we experience any issues that delay or prevent regulatory approval of, or our ability to commercialize, our product candidates, including:</w:t>
      </w:r>
    </w:p>
    <w:p>
      <w:pPr>
        <w:spacing w:after="0" w:line="54" w:lineRule="exact"/>
        <w:rPr>
          <w:sz w:val="20"/>
          <w:szCs w:val="20"/>
          <w:color w:val="auto"/>
        </w:rPr>
      </w:pPr>
    </w:p>
    <w:p>
      <w:pPr>
        <w:ind w:left="1020" w:right="6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EMA, MHRA or other comparable regulatory authorities that our product candidates are safe and effective;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our financial and other resources to complete the necessary clinical trials and preclinical studies;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preclinical studies or the clinical trials of others for product candidates similar to ours, leading to a decision or requirement to conduct additional clinical trials or preclinical studies or abandon a program;</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AEs experienced by subjects in our clinical trials, including unexpected toxicity results, or by individuals using drugs or therapeutic biologics similar to our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jc w:val="both"/>
        <w:ind w:left="1020" w:right="76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an IND application or other regulatory submission to the FDA, EMA, MHRA or other comparable regulatory authorities, or delays or failure in obtaining the necessary approvals from regulators to commence a clinical trial or a suspension or termination, or hold, of a clinical trial once commenced;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EMA, MHRA or other comparable regulatory authorities regarding the scope or design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during clinical trials;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than expected performance of control arms, such as placebo groups, which could lead to negative or inconclusive results from our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subjects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candidates or other materials necessary for the conduct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clinical trial or manufacturing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EMA MHRA or comparable regulatory authority inspection and review of our clinical trial sites;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the clinical trial protocol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and guidelines, including the imposition of additional regulatory oversight around clinical testing generally or with respect to our therapies in particular;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EMA, MHRA or other comparable regulatory authorities.</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clinical trials conducted in one country may not be accepted by regulatory authorities in other countries, and regulatory approval in one country does not guarantee regulatory approval in any other country. Although the FDA may accept data from clinical trials conducted outside the United States, acceptance of this data is subject to conditions imposed by the FDA, and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successful development of pharmaceutical products involves a lengthy and expensive process and is highly uncertain.</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Successful development of pharmaceutical products involves a lengthy and expensive process, is highly uncertain, and is dependent on numerous factors, many of which are beyond our control. Product candidates that appear promising in the early phases of development may fail to reach the market for several reasons, including:</w:t>
      </w:r>
    </w:p>
    <w:p>
      <w:pPr>
        <w:spacing w:after="0" w:line="68" w:lineRule="exact"/>
        <w:rPr>
          <w:sz w:val="20"/>
          <w:szCs w:val="20"/>
          <w:color w:val="auto"/>
        </w:rPr>
      </w:pPr>
    </w:p>
    <w:p>
      <w:pPr>
        <w:ind w:left="1020" w:right="3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show the product candidates to be less effective than expected (for example, a clinical trial could fail to meet its primary or key secondary endpoint(s)) or have an unacceptable safety or tolerability profile;</w:t>
      </w:r>
    </w:p>
    <w:p>
      <w:pPr>
        <w:spacing w:after="0" w:line="53"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or NDA or similar foreign application preparation, discussions with the FDA, EMA, MHRA or other comparable regulatory authority an FDA, EMA, MHRA or other comparable regulatory request for additional preclinical or clinical data (such as long-term toxicology studies) or unexpected safety or manufacturing issues;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study results may show the product candidate to be less effective than desired or to have harmful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approval requirements; or</w:t>
      </w:r>
    </w:p>
    <w:p>
      <w:pPr>
        <w:spacing w:after="0" w:line="11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our product candidates from being commercialized.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For example, in the fourth quarter of 2024, we were notified by the FDA that the IND submitted by us for the initiation of a Phase 2 proof-of-concept trial of RAP-219 in diabetic peripheral neuropathic pain (“DPNP”) was placed on clinical hold. The FDA requested additional information and amendments specific to the protocol design. Following further interactions with the FDA in December 2025, the FDA removed its clinical hold on the DPNP IND. Furthermore, 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United States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 Even if we are able to obtain coverage and adequate reimbursement for our products once approved, there may be features or characteristics of our products, such as dose preparation requirements, that prevent our products from achieving market acceptance by the healthcare or patient communities.</w:t>
      </w:r>
    </w:p>
    <w:p>
      <w:pPr>
        <w:spacing w:after="0" w:line="18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cGMPs in manufacturing our products and with GCPs for any clinical trials that we conduct post-approval. In addition, there is always the risk that we, a regulatory authority or a third party might identify previously unknown problems with a product post-approval, such as AEs of unanticipated severity or frequency. Compliance with these requirements is costly, and any failure to comply or other issues with our product candidates post-approval could adversely affect our business, financial condition and results of operations.</w:t>
      </w:r>
    </w:p>
    <w:p>
      <w:pPr>
        <w:spacing w:after="0" w:line="291" w:lineRule="exact"/>
        <w:rPr>
          <w:sz w:val="20"/>
          <w:szCs w:val="20"/>
          <w:color w:val="auto"/>
        </w:rPr>
      </w:pPr>
    </w:p>
    <w:p>
      <w:pPr>
        <w:jc w:val="both"/>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spacing w:after="0" w:line="14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lead product candidate, RAP-219, is in clinical development for FOS, PGTCS and bipolar mania, and we continue to develop an LAI formulation. Additionally, we have two advanced discovery-stage nAChR programs stemming from our RAP technology platform. The first is our α6ß4 nAChR agonist development candidate, RAP-641, a genetically validated precision target that we are pursuing as a potential novel non-opiate, non-CNS approach for chronic pain and migraine, and the second comprises modulators of the α9α10 nAChR which third-party preclinical genetic data suggest could be an attractive target in treating hearing and vestibular disorders.</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disorders of the nervous system,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or investments in new or complementary businesses, products or technologies, through the licensing of products or technologies from third parties or other strategic alliances. The failure to manage acquisitions, investments, licenses or other strategic alliances, or the failure to integrate them with our existing business, could have a material adverse effect on our operating results, dilute our stockholders’ ownership, increase our debt or cause us to incur significant expense.</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on our ability to continually enhance and broaden our product offerings in response to changing clinician and patients’ needs, competitive technologies and market pressures. Accordingly, from time to time we may consider opportunities to acquire, make investments in or license other technologies, products and businesses that may enhance our capabilities, complement our existing products and technologies or expand the breadth of our markets or customer base. Potential and completed acquisitions, strategic investments, licenses and other alliances involve numerous risks, including:</w:t>
      </w:r>
    </w:p>
    <w:p>
      <w:pPr>
        <w:spacing w:after="0" w:line="72"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assimilating or integrating acquired or licensed technologies, products, employees or business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acquisitions or strategic alliances, including the assumption of unknown or contingent liabilities and the incurrence of debt or future write-offs of intangible assets or goodwill;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 and disruption of ongoing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sales agents, health care facilities, surgeons and other health care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losses related to investments in other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compliance costs.</w:t>
      </w:r>
    </w:p>
    <w:p>
      <w:pPr>
        <w:spacing w:after="0" w:line="22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do not know if we will be able to identify acquisitions or strategic relationships we deem suitable, whether we will be able to successfully complete any such transactions on favorable terms, if at all, or whether we will be able to successfully integrate any acquired business, product or technology into our business or retain any key personnel, suppliers, sales agent, health care facilities, physicians or other health care providers.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w:t>
      </w:r>
    </w:p>
    <w:p>
      <w:pPr>
        <w:spacing w:after="0" w:line="18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To finance any acquisitions, investments or strategic alliances, we may choose to issue shares of our common stock as consideration, which could dilute the ownership of our stockholders. If the price of our common stock is low or volatile, we may be unable to consummate any acquisitions, investments or strategic alliances using our common stock as consideration. Additional funds may not be available on terms that are favorable to us, or at all.</w:t>
      </w:r>
    </w:p>
    <w:p>
      <w:pPr>
        <w:spacing w:after="0" w:line="284"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our collaborators and our service providers are, or may become,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p>
    <w:p>
      <w:pPr>
        <w:spacing w:after="0" w:line="7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(such as our third party contract research organizations (“CROs”) and other contractors and consultants)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financial information and data we collect about trial participants in connection with clinical trials (collectively, sensitive data).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legislative and regulatory framework for the processing of personal data worldwide is rapidly evolving and is likely to remain uncertain for the foreseeable future. In the United States, numerous federal, state and local laws and regulations, including federal health information privacy laws, state information security and data breach notification laws, federal and state consumer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1" w:name="page52"/>
    <w:bookmarkEnd w:id="51"/>
    <w:p>
      <w:pPr>
        <w:ind w:right="380"/>
        <w:spacing w:after="0" w:line="282" w:lineRule="auto"/>
        <w:rPr>
          <w:sz w:val="20"/>
          <w:szCs w:val="20"/>
          <w:color w:val="auto"/>
        </w:rPr>
      </w:pPr>
      <w:r>
        <w:rPr>
          <w:rFonts w:ascii="Times New Roman" w:cs="Times New Roman" w:eastAsia="Times New Roman" w:hAnsi="Times New Roman"/>
          <w:sz w:val="18"/>
          <w:szCs w:val="18"/>
          <w:color w:val="auto"/>
        </w:rPr>
        <w:t>protection laws (e.g., Section 5 of the Federal Trade Commission Act), and other similar laws (e.g., wiretapping laws) govern the processing of health-related and other personal data.</w:t>
      </w:r>
    </w:p>
    <w:p>
      <w:pPr>
        <w:spacing w:after="0" w:line="16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numerous U.S. states have enacted comprehensive privacy laws that impose certain obligations on covered businesses, many of which differ from each other in significant ways, thus complicating compliance efforts, including providing specific disclosures in privacy notices and affording individuals certain rights concerning their personal data. For example, in California, the California Consumer Privacy Act, or CCPA, established a comprehensive privacy framework for covered businesses by creating an expanded definition of personal information, establishing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While clinical trial data and information governed by HIPAA are exempt from the CCPA, other personal information may be applicable and periodic changes to the CCPA continue to broaden its scope.</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Similar laws have been passed and proposed in numerous states, as well as at the federal and local levels, and we expect more states to pass similar laws in the future.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makes our compliance obligations more complex and costly and increases the likelihood that we may be subject to enforcement actions or otherwise incur liability for noncompliance. While these states exempt some data processed in the context of clinical trials, these developments may further complicate compliance efforts, and increase legal risk and compliance costs for us and the third parties upon whom we rely.</w:t>
      </w:r>
    </w:p>
    <w:p>
      <w:pPr>
        <w:spacing w:after="0" w:line="18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Additionally, we may be subject to new laws governing the privacy of consumer health data. For example, Washington’s My Health My Data Act, which went into effect on March 31, 2024,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Connecticut and Nevada have also passed similar laws regulating consumer health data. These various privacy and data security laws may impact our business activities, including our identification of research subjects, relationships with business partners and ultimately the marketing and distribution of our products. In addition, other states have proposed and/or passed legislation that regulates the privacy and/or security of certain other specific types of information. For example, a small number of states have passed laws that regulate biometric data specifically. State laws are changing rapidly and there have been a number of proposals in the U.S. Congress for a new comprehensive federal data privacy law to which we may likely become subject to, if enacted.</w:t>
      </w:r>
    </w:p>
    <w:p>
      <w:pPr>
        <w:spacing w:after="0" w:line="188"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Regulators and legislators in the U.S. are increasingly scrutinizing and restricting certain personal data transfers and transactions involving foreign countries. For example, certain regulations prohibit certain transactions involving bulk human ‘omic data or human biospecimens from which human ‘omic data can be derived, as well as data brokerage transactions involving certain sensitive personal data categories, including health data, genetic data, and biospecimens, to countries of concern, including China. These regulations also restrict certain investment agreements, employment agreements and vendor agreements involving such data and countries of concern, absent specified cybersecurity controls and the rule does not exempt key-coded or otherwise anonymized, pseudonymized, de-identified, or encrypted data. Actual or alleged violations of such rules may be punishable by criminal and/or civil sanctions, and may result in exclusion from participation in federal and state programs.</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privacy and data security. For example, the EU GDPR and UK GDPR impose strict requirements for processing personal data.</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EU GDPR and the UK GDPR (together, “GDPR”) establish stringent requirements regarding the processing of personal data, including strict requirements relating to processing sensitive data (such as health data), ensuring there is a legal basis or condition to justify the processing of personal data, obtaining consent from individuals, transparent disclosures about how personal data is to be used, limitations on retention of information, implementing safeguards to protect the security and confidentiality of personal data, providing notification of data breaches, maintaining records of processing activities and documenting data protection impact assessments where there is high risk processing and taking certain measures when engaging third-party processors.</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Under GDPR, companies may face temporary or definitive bans on data processing and other corrective activities, fines of up to €20 million (approximately £17.5 million GBP) or 4% of annual global revenues, whichever is greater, and private litigation related to processing of personal data brought by data subjects or consumer protection organizations authorized at law to represent their interests. Non-compliance could also result in a material adverse effect on our business, financial position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UK have restricted the transfer of personal data to the United States and other countries based on whether those jurisdictions’ privacy laws are considered to provide adequate protection.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spacing w:after="0" w:line="16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European Commission has issued an adequacy decision recognizing the UK as providing adequate data protection and, therefore, transfers of personal data originating in the EEA to the UK remain unrestricted. The UK government has confirmed that personal data transfers from the UK to the EEA remain free flowing.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in the EU, the NIS 2 Directive (“NIS 2”) is replacing the cybersecurity legal framework under the current NIS framework in the EU, aiming to ensure a high level of cybersecurity in the region. NIS 2 brings new medium and large organizations providing services in the EU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a greater supervision ability compliance. The majority of obligations will come into force when national legislation implementing NIS 2 becomes effective in the relevant EU Member State. EU Member States had until October 17,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Under NIS 2 companies may be subject to administrative fines of up to the higher amount of €10 million or 2% of worldwide turnover.</w:t>
      </w:r>
    </w:p>
    <w:p>
      <w:pPr>
        <w:spacing w:after="0" w:line="19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w:t>
      </w:r>
    </w:p>
    <w:p>
      <w:pPr>
        <w:spacing w:after="0" w:line="17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publish privacy policies, and we may publish marketing materials,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Obligations related to privacy and data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such requirements may require us to modify our data processing practices and policies, utilize management’s time and/or divert resources from other initiatives and projects.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privacy and data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and data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94"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and infrastructure, or those of our collaborators and service providers, or our data, may be subject to cyber-attacks, cybersecurity incidents or breaches, compromises or other interruptions, which could result in additional costs, loss of revenue, significant liabilities, harm to our brand, material disruption of our development programs and operations, or other adverse consequences.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sensitive data, and, as a result, we and the third parties upon which we rely face a variety of evolving threats that could cause cyber-attacks, cybersecurity incidents, breaches, compromises, or other interruptions. Although we take steps to develop and maintain systems and controls designed to protect our sensitive data, systems and infrastructure, there can be no assurance that our internal technology systems and infrastructure, or those of third parties upon which we rely, will be sufficient to protect against a cyber-attack, cybersecurity breach, compromise or other incident such as an industrial espionage attack, ransomware, or insider threat attack, which may compromise our system infrastructure or lead to the loss, destruction, alteration or dissemination of, or damage to, our sensitive data.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8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risk of a cyber-attack, cybersecurity incident, breach, compromise, or other interruption has generally increased as the number, intensity and sophistication of attempted attacks and intrusions from around the world have increased. Such risks come from a variety of evolving threats, including but not limited to, social engineering attacks (including through deep fakes, which may be increasingly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artificial intelligence (“AI”), telecommunications failures, earthquakes, fires, floods, and other similar threats. Use of generative AI models in our internal or third-party systems may create new attack surfaces or methods for adversaries, which could impact us and our vendors. Any cybersecurity incidents or data breaches related to our use of AI applications could adversely affect our reputation and results of operations.</w:t>
      </w:r>
    </w:p>
    <w:p>
      <w:pPr>
        <w:spacing w:after="0" w:line="1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Individuals engage in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cyber-attacks, including retaliatory cyber-attacks, that could materially disrupt our systems and operations, supply chain, and ability to produce, sell and distribute our services.</w:t>
      </w:r>
    </w:p>
    <w:p>
      <w:pPr>
        <w:spacing w:after="0" w:line="180"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also face increased risks of a cyber-attack, cybersecurity incident, breach, compromise, or other interruption due to our reliance on internet technology and the number of our employees who work on a hybrid basis at home, in the office, or other public spaces. This may create additional opportunities for cyber criminals to exploit vulnerabilities. Additionally, business transactions (such as acquisitions or integrations) could expose us to additional cybersecurity risks and vulnerabilities, as our systems could be negatively affected by vulnerabilities present in acquired or integrated entities’ systems and technologies that were not found during due diligence of such acquired or integrated entities.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including supply-chain attacks. We rely on third-party service providers and technologies to operate critical business systems to process sensitive data in a variety of contexts and our ability to monitor these third parties’ information security practices is limited. These third parties may not have adequate information security measures in place and if our third-party service providers experience a cyber-attack, cybersecurity incident, breach, compromise,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8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may be unable to detect vulnerabilities in our information technology systems and infrastructure on a timely basis or until after a cyber-attack, cybersecurity incident, breach, compromise, or other interruption has occurred. Further, we may experience delays in developing and deploying remedial measures designed to adequately address any such identified vulnerabilities.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 the past experienced threats and security incidents related to our data and systems, and we may in the future experience additional threats, compromises, breaches or incidents. If we, or a third party upon whom we rely, experience a cyber-attack, cybersecurity incident, breach, compromise, or other interruption, or are perceived to have experienced a cyber-attack, cybersecurity incident, breach, compromise, or other interruption,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individual and group claims); indemnification obligations; negative publicity; reputational harm; monetary fund diversions; interruptions in our operations (including availability of data); financial loss; and other potentially significant harms. Our contracts may not contain limitations of liability, and even where they do, there can be no assurance that limitations of liability in our contracts are sufficient to protect us from liabilities, damages, or claims related to our privacy and data security obligations. Cyber liability insurance may not provide adequate coverage against potential liabilities related to any experienced cybersecurity incident or breach.</w:t>
      </w:r>
    </w:p>
    <w:p>
      <w:pPr>
        <w:spacing w:after="0" w:line="19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Further, applicable privacy and data security obligations may require us to notify relevant stakeholders of a cyber-attack, cybersecurity incident, breach, compromise, or other interruption. Such disclosures are costly, and the disclosure or the failure to comply with such requirements could lead to adverse consequences. In addition, cyber-attacks, cybersecurity incidents, breaches, compromises, or other interruptions may cause stakeholders (including investors and potential customers) to stop supporting our business, deter new customers from using our products, and negatively impact our ability to grow and operate our business.</w:t>
      </w:r>
    </w:p>
    <w:p>
      <w:pPr>
        <w:spacing w:after="0" w:line="18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we were to experience a material cyber-attack, cybersecurity incident, breach, compromise, or other interruption that causes interruptions in our operations, it could result in a material disruption of our product development programs.</w:t>
      </w:r>
    </w:p>
    <w:p>
      <w:pPr>
        <w:spacing w:after="0" w:line="266"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AI and machine learning (“ML”), in our operations, and the operations of third parties upon which we rely, may result in spending additional resources and present new risks and challenges that can impact our business including by posing security and other risks to our sensitive data. As a result, we may be exposed to reputational harm, other adverse consequences, and liability.</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use of new and evolving technologies, such as AI/ML, in our operations, and the operations of third parties upon which we rely presents new risks and challenges that could negatively impact our business, including cybersecurity, data privacy, IT, intellectual property, regulatory, legal, operational, competitive, reputational, and other risks and challenges.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 The use of certain AI/ML technologies can also give rise to intellectual property risks, including compromises to proprietary intellectual property and intellectual property infringement. Additionally, several jurisdictions around the globe, including Europe and certain U.S. states, have proposed, enacted, or are considering, laws governing the development and use of AI/ML. Such laws in the EU impose significant obligations on providers and deployers of high risk artificial intelligence systems, and encourage providers and deployers of artificial intelligence systems to account for EU ethical principles in their development and use of these systems.</w:t>
      </w:r>
    </w:p>
    <w:p>
      <w:pPr>
        <w:spacing w:after="0" w:line="80"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Likewise, such legislative developments in the United States have introduced emerging compliance obligations for companies that develop or deploy AI technologies, which will impose novel risks on AI developers and users. Recently, states have advanced, and in some cases passed, dozens of laws focused on AI governance and regulation, including on deployment of AI in healthcare settings. These state-level initiatives reflect a growing trend toward AI regulation in the absence of federal legislation. As a result, we may face a fragmented and evolving compliance landscape that could increase operational complexity, regulatory scrutiny, and legal exposure associated with our use or development of AI technologies. If we develop or use AI systems governed by these laws or regulations, we will need to meet higher standards of data quality, transparency, monitoring and human oversight, and we would need to adhere to specific and potentially burdensome and costly ethical, accountability,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ind w:right="60"/>
        <w:spacing w:after="0" w:line="255" w:lineRule="auto"/>
        <w:rPr>
          <w:sz w:val="20"/>
          <w:szCs w:val="20"/>
          <w:color w:val="auto"/>
        </w:rPr>
      </w:pPr>
      <w:r>
        <w:rPr>
          <w:rFonts w:ascii="Times New Roman" w:cs="Times New Roman" w:eastAsia="Times New Roman" w:hAnsi="Times New Roman"/>
          <w:sz w:val="18"/>
          <w:szCs w:val="18"/>
          <w:color w:val="auto"/>
        </w:rPr>
        <w:t>administrative requirements, with the potential for significant enforcement or litigation in the event of any perceived non-compliance. Additionally,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retrain our AI/ML, or prevent or limit our use of AI/ML. For example, the Federal Trade Commission has required other companies to turn over (or disgorge) valuable insights or trainings generated through the use of AI/ML where they allege the company has violated privacy and consumer protection laws. If we cannot use AI/ML or that use is restricted, our business may be less efficient, or we may be at a competitive disadvantage.</w:t>
      </w:r>
    </w:p>
    <w:p>
      <w:pPr>
        <w:spacing w:after="0" w:line="18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rapid evolution of AI/ML will require the application of significant resources to design, develop, test and maintain our products and services to help ensure that AI/ML is implemented in accordance with applicable law and regulation and in a socially responsible manner and to minimize any real or perceived unintended harmful impacts. Our vendors may in turn incorporate AI/ML tools into their own offerings, and the providers of these AI/ML tools may not meet existing or rapidly evolving regulatory or industry standards, including with respect to privacy and data security. Further, bad actors around the world use increasingly sophisticated methods, including the use of AI/ML, to engage in cyber-attacks, cyber espionage campaigns, exploitation of expanded attack surfaces, and other illegal activities involving the theft and misuse of sensitive data. Any of these effects could damage our reputation, result in the loss of valuable property and information, cause us to breach applicable laws and regulations, and adversely impact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Current or Future Product Candidates</w:t>
      </w:r>
    </w:p>
    <w:p>
      <w:pPr>
        <w:spacing w:after="0" w:line="117"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MHRA and other comparable regulatory authorities are lengthy, time-consuming and inherently unpredictable, and if we are ultimately unable to obtain regulatory approval for our product candidates, our business will be substantially harmed.</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regulatory approval from the FDA. Foreign regulatory authorities, such as the EMA and MHRA, impose similar requirements. The time required to obtain approval by the FDA, EMA, MHRA or other comparable regulatory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For instance, jurisdictions outside of the United States, such as the European Union or Japan, may have different requirements for regulatory approval, which may require us to conduct additional clinical, nonclinical or chemistry, manufacturing and control studies. Moreover,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To date, we have not submitted an NDA to the FDA or similar drug approval submissions to comparable foreign regulatory authorities for any product candidate. We must complete additional preclinical studies and clinical trials to demonstrate the safety and efficacy of our product candidates in humans before we will be able to obtain these approvals.</w:t>
      </w:r>
    </w:p>
    <w:p>
      <w:pPr>
        <w:spacing w:after="0" w:line="19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cannot guarantee that any clinical trials will be conducted as planned or completed on schedule, if at all. The clinical development of our initial and potential additional product candidates is susceptible to the risk of failure inherent at any stage of development, including failure to demonstrate efficacy in a clinical trial or across a broad population of patients, the occurrence of AEs that are severe or medically or commercially unacceptable, failure to comply with protocols or applicable regulatory requirements and determination by the FDA, EMA, MHRA or other comparable regulatory authorities that a product candidate may not continue development or is not approvable. It is possible that even if any of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AEs or other AEs, as well as tolerability issues, could hinder or prevent market acceptance of the product candidate at issue.</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product candidates could fail to receive regulatory approval for many reasons, including the following:</w:t>
      </w:r>
    </w:p>
    <w:p>
      <w:pPr>
        <w:spacing w:after="0" w:line="117" w:lineRule="exact"/>
        <w:rPr>
          <w:sz w:val="20"/>
          <w:szCs w:val="20"/>
          <w:color w:val="auto"/>
        </w:rPr>
      </w:pPr>
    </w:p>
    <w:p>
      <w:pPr>
        <w:ind w:left="5540" w:right="360" w:hanging="5023"/>
        <w:spacing w:after="0" w:line="532" w:lineRule="auto"/>
        <w:tabs>
          <w:tab w:leader="none" w:pos="10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MHRA or other comparable regulatory authorities may disagree as to the design or implementation of our clinical trials;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left="1020" w:right="3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EMA, MHRA or other comparable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EMA, MHRA or other comparable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MHRA or other comparable regulatory authorities may disagree with our interpretation of data from clinical trials or preclinical studies;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to the FDA or other submission or to obtain regulatory approval in the United States, the European Union, the UK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MHRA or other comparable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MHRA or other comparable regulatory authorities may significantly change in a manner rendering our clinical data insufficient for approval.</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product candidate we develop, which would substantially harm our business, results of operations and prospects. The FDA, EMA, MHRA and other comparable regulatory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EMA, MHRA or other comparable regulatory authorities.</w:t>
      </w:r>
    </w:p>
    <w:p>
      <w:pPr>
        <w:spacing w:after="0" w:line="18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FDA, EMA, MHRA or comparable regulatory authorities may disagree with our regulatory plan for our product candidates.</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general approach for FDA approval of a new drug is dispositive data from two or more adequate and well-controlled clinical trials of the product candidate in the relevant patient population. Adequate and well-controlled clinical trials typically involve a large number of patients, have significant costs and take years to complete. The FDA, EMA, MHRA or other comparable regulatory authorities may disagree with us about whether a clinical trial is adequate and well-controlled or may request that we conduct additional clinical trials prior to regulatory approval. In addition, there is no assurance that the doses, endpoints and trial designs that we intend to use for our planned clinical trials, including those that we have developed based on feedback from regulatory agencies or those that have been used for the approval of similar drugs, will be acceptable for future approvals. For instance, we may seek FDA regulatory flexibility and pursue marketing approval based on data from only one adequate and well-controlled clinical investigation. However, the FDA may be unwilling to apply regulatory flexibility and our clinical trial results may not support approval of our product candidates. In addition, our product candidates could fail to receive regulatory approval, or regulatory approval could be delayed, for many reasons, including the following:</w:t>
      </w:r>
    </w:p>
    <w:p>
      <w:pPr>
        <w:spacing w:after="0" w:line="86" w:lineRule="exact"/>
        <w:rPr>
          <w:sz w:val="20"/>
          <w:szCs w:val="20"/>
          <w:color w:val="auto"/>
        </w:rPr>
      </w:pPr>
    </w:p>
    <w:p>
      <w:pPr>
        <w:ind w:left="1020" w:right="5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MHRA or comparable regulatory authorities may not file or accept our NDA or marketing application for substantive review;</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MHRA or comparable regulatory authorities may disagree with the dosing regimen, design or implementation of our clinical trials;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MHRA or comparable regulatory authorities may determine there is not substantial evidence of effectiveness to support approval;</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EMA, MHRA or comparable regulatory authorities that our product candidates are safe and effective for any of their proposed indications;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7" w:name="page58"/>
    <w:bookmarkEnd w:id="57"/>
    <w:p>
      <w:pPr>
        <w:ind w:left="1020" w:right="7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significance required by the FDA, EMA, MHRA or comparable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MHRA or comparable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EMA, MHRA or comparable regulatory authorities to support the submission of an NDA or other comparable submission in foreign jurisdictions or to obtain regulatory approval in the United States or elsewhere;</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MHRA or comparable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MHRA or comparable regulatory authorities may significantly change in a manner rendering our clinical data insufficient for approval.</w:t>
      </w:r>
    </w:p>
    <w:p>
      <w:pPr>
        <w:spacing w:after="0" w:line="200" w:lineRule="exact"/>
        <w:rPr>
          <w:sz w:val="20"/>
          <w:szCs w:val="20"/>
          <w:color w:val="auto"/>
        </w:rPr>
      </w:pPr>
    </w:p>
    <w:p>
      <w:pPr>
        <w:spacing w:after="0" w:line="282" w:lineRule="exact"/>
        <w:rPr>
          <w:sz w:val="20"/>
          <w:szCs w:val="20"/>
          <w:color w:val="auto"/>
        </w:rPr>
      </w:pPr>
    </w:p>
    <w:p>
      <w:pPr>
        <w:ind w:right="3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third party having accurately generated, collected, interpreted and reported data from certain preclinical studies and clinical trials that were previously conducted for our product candidates.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Substantially all of our product candidates were initially developed by Janssen, which we in-licensed pursuant to the Janssen License shortly after our formation. We entered into this license on the basis of our interpretation of the medical and scientific meaningfulness of Janssen’s initial data. Therefore, we are dependent on Janssen having designed certain preclinical studies and clinical trials; conducted its research and development in accordance with the applicable protocols, legal and regulatory requirements, and scientific standards; having accurately reported the results of all preclinical studies conducted with respect to such product candidates; and having correctly collected and interpreted the data from these studies and trials. These risks also apply to any additional product candidates that we may acquire or in-license in the future. If these activities were not compliant, accurate or correct, the clinical development, regulatory approval or commercialization of our product candidates will be adversely affected and the earlier-reported results may not support data that we generate in our own preclinical or clinical work with those product candidates.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rely in part on preclinical data using earlier generation TARPg8 NAMs and third-party published data with other TARPg8 NAMs for support of RAP-219. While we believe it is an accepted scientific practice to reference preclinical data generated using other molecules of the same class, it is possible that similar studies with RAP-219 would not have generated entirely consistent results and, as such, the studies performed with other molecules of the same class may not be reflective of the therapeutic potential of RAP-219.</w:t>
      </w:r>
    </w:p>
    <w:p>
      <w:pPr>
        <w:spacing w:after="0" w:line="284"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clinical trials fail to replicate positive results from earlier preclinical studies or clinical trials conducted by us or third parties, we may be unable to successfully develop, obtain regulatory approval for or commercialize our product candidates.</w:t>
      </w:r>
    </w:p>
    <w:p>
      <w:pPr>
        <w:spacing w:after="0" w:line="5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results observed from preclinical studies or early-stage clinical trials of our product candidates may not necessarily be predictive of the results of later-stage clinical trials that we conduct. Similarly, positive results from such preclinical studies or early-stage clinical trials may not be replicated in our subsequent preclinical studies or clinical trials. Furthermore, our product candidates may not be able to demonstrate similar activity or adverse event profiles as other product candidates that we believe may have similar profiles.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in our planned future clinical trials, we may utilize clinical trial designs or dosing regimens that have not been tested in prior clinical trials. There can also be no assurance that any of our clinical trials will ultimately be successful or support further clinical development of any of our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effects or AEs.</w:t>
      </w:r>
    </w:p>
    <w:p>
      <w:pPr>
        <w:spacing w:after="0" w:line="187"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Additionally, we have and will continue to utilize an “open-label” clinical trial design in some of our clinical trials. An “open-label” clinical trial is one where both the patient and investigator know whether the patient is receiving the investigational product candidate or either an existing approved drug or placebo. Our Phase 2a proof-of-concept trial in drug-resistant FOS was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spacing w:after="0" w:line="255" w:lineRule="auto"/>
        <w:rPr>
          <w:sz w:val="20"/>
          <w:szCs w:val="20"/>
          <w:color w:val="auto"/>
        </w:rPr>
      </w:pPr>
      <w:r>
        <w:rPr>
          <w:rFonts w:ascii="Times New Roman" w:cs="Times New Roman" w:eastAsia="Times New Roman" w:hAnsi="Times New Roman"/>
          <w:sz w:val="18"/>
          <w:szCs w:val="18"/>
          <w:color w:val="auto"/>
        </w:rPr>
        <w:t>an open label study.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MHRA or comparable foreign regulatory authority approval.</w:t>
      </w:r>
    </w:p>
    <w:p>
      <w:pPr>
        <w:spacing w:after="0" w:line="280"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product candidates, we must demonstrate through extensive preclinical studies and clinical trials that our product candidates are safe and effective in humans. We may experience delays in completing our clinical trials or preclinical studies and initiating or completing additional clinical trials or preclinical studies, including as a result of regulators not allowing or delay in allowing clinical trials to proceed under an IND or similar foreign authorization, or not approving or delaying approval for any clinical trial grant or similar approval we need to initiate a clinical trial. We may also experience numerous unforeseen events during our clinical trials that could delay or prevent our ability to receive marketing approval or commercialize the product candidates we develop, including:</w:t>
      </w:r>
    </w:p>
    <w:p>
      <w:pPr>
        <w:spacing w:after="0" w:line="79" w:lineRule="exact"/>
        <w:rPr>
          <w:sz w:val="20"/>
          <w:szCs w:val="20"/>
          <w:color w:val="auto"/>
        </w:rPr>
      </w:pPr>
    </w:p>
    <w:p>
      <w:pPr>
        <w:ind w:left="1020" w:right="3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ethics committees or other reviewing bodies may not authorize us or our investigators to commence a clinical trial, or to conduct or continue a clinical trial at a prospective or specific trial site;</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challenges or delays in recruiting principal investigators or study sites to lead our clinical trials;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71"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submitted to regulatory authorities or conduct additional studies to reflect changes in regulatory requirements or guidance, which may be required to resubmit to an IRB and regulatory authorities for re-examination;</w:t>
      </w:r>
    </w:p>
    <w:p>
      <w:pPr>
        <w:spacing w:after="0" w:line="53" w:lineRule="exact"/>
        <w:rPr>
          <w:rFonts w:ascii="Times New Roman" w:cs="Times New Roman" w:eastAsia="Times New Roman" w:hAnsi="Times New Roman"/>
          <w:sz w:val="18"/>
          <w:szCs w:val="18"/>
          <w:color w:val="auto"/>
        </w:rPr>
      </w:pPr>
    </w:p>
    <w:p>
      <w:pPr>
        <w:jc w:val="both"/>
        <w:ind w:left="1020" w:right="16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spacing w:after="0" w:line="71"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EMA, MHRA or other comparable regulatory authorities to significantly change in a manner rendering our clinical data insufficient for approval.</w:t>
      </w:r>
    </w:p>
    <w:p>
      <w:pPr>
        <w:spacing w:after="0" w:line="16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EMA, MHRA or other comparable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right="140"/>
        <w:spacing w:after="0" w:line="261" w:lineRule="auto"/>
        <w:rPr>
          <w:sz w:val="20"/>
          <w:szCs w:val="20"/>
          <w:color w:val="auto"/>
        </w:rPr>
      </w:pPr>
      <w:r>
        <w:rPr>
          <w:rFonts w:ascii="Times New Roman" w:cs="Times New Roman" w:eastAsia="Times New Roman" w:hAnsi="Times New Roman"/>
          <w:sz w:val="18"/>
          <w:szCs w:val="18"/>
          <w:color w:val="auto"/>
        </w:rPr>
        <w:t>extent we choose to conduct clinical trials in other indications, could result in changes to or delays in clinical trials of our product candidates in such other indications. We do not know whether any clinical trials that we conduct will demonstrate adequate efficacy and safety to result in regulatory approval to market our product candidates for the indications that we are pursuing. If later-stage clinical trials do not produce favorable results, our ability to obtain regulatory approval for our product candidates will be adversely impacted.</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failure to successfully initiate and complete clinical trials and to demonstrate the efficacy and safety necessary to obtain regulatory approval to market our product candidates would significantly harm our business. Our product candidate development costs will also increase if we experience delays in testing or regulatory approvals and we may be required to obtain additional funds to complete clinical trials. There can be no assurance that our clinical trials will begin as planned or be completed on schedule, if at all, or that we will not need to restructure or otherwise modify our trials after they have begun. For example, in the fourth quarter of 2024, we were notified by the FDA that the IND submitted by us for the initiation of a Phase 2 proof-of-concept trial of RAP-219 in DPNP was placed on clinical hold. The FDA requested additional information and amendments specific to the protocol design. Following further discussions with the FDA in December 2025, the FDA removed its clinical hold on the DPNP IND.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w:t>
      </w:r>
    </w:p>
    <w:p>
      <w:pPr>
        <w:spacing w:after="0" w:line="296"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could cause us or regulatory authorities to interrupt, delay or halt clinical trials and could result in a more restrictive label, the inclusion of a Risk Evaluation and Mitigation Strategy, or the delay or denial of regulatory approval by the FDA, EMA, MHRA or other comparable regulatory authorities.</w:t>
      </w:r>
    </w:p>
    <w:p>
      <w:pPr>
        <w:spacing w:after="0" w:line="6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may observe safety or tolerability issues beyond those we anticipate with our product candidates in ongoing or future RAP-219 clinical trials or in clinical programs for other product candidates. Additionally, it is possible that patients in our trials may experience greater side effects than observed in healthy volunteers. Additionally, adverse safety effects observed with AMPAR-inhibitors could adversely impact future labeling FDA may require for RAP-219. For example, perampanel’s FDA-approved label is accompanied by a black box warning for serious psychiatric and behavioral reactions, including aggression, hostility and homicidal ideation and threats. Furthermore, significant drug-drug interactions were reported for perampanel. The concomitant use with the other ASMs carbamazepine, phenytoin and oxcarbazepine decreased plasma levels of perampanel by approximately 50 to 67 percent. In addition, perampanel at a dose of 12 mg per day reduced exposure of levonorgestrel, an oral contraceptive, by approximately 40 percent. While we believe there are critical differences between perampanel and RAP-219, the FDA could impose similar warnings and labeling requirements on RAP-219, if approved, in the future.</w:t>
      </w:r>
    </w:p>
    <w:p>
      <w:pPr>
        <w:spacing w:after="0" w:line="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We continue to learn more about our product candidates, and unfavorable pharmacology profiles, including extended half-lives, could lead to adverse outcomes or concerns by the FDA, EMA, MHRA or other comparable regulatory authorities.</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Many compounds that initially showed promise in clinical or earlier-stage testing are later found to cause undesirable or unexpected side effects that prevented further development of the compound. Results of future clinical trials of our product candidates could reveal a high and unacceptable severity and prevalence of side effects or unexpected characteristics, despite a favorable tolerability profile observed in earlier-stage testing. At any time, we may decide to terminate or greatly narrow the target population for a clinical development program due to unacceptable side effects or safety concerns.</w:t>
      </w:r>
    </w:p>
    <w:p>
      <w:pPr>
        <w:spacing w:after="0" w:line="180"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7"/>
          <w:szCs w:val="17"/>
          <w:color w:val="auto"/>
        </w:rPr>
        <w:t>If unacceptable side effects arise in the development of our product candidates, we, the FDA, EMA, MHRA or other comparable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EMA, MHRA or other comparable regulatory authorities could order us to cease clinical trials or deny approval of our product candidates for any or all targeted indications. We may be unable to overcome any such suspensions or holds that are placed on our clinical trials.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our product candidates. Any of these occurrences may adversely affect our business, financial condition and prospects significantly.</w:t>
      </w:r>
    </w:p>
    <w:p>
      <w:pPr>
        <w:spacing w:after="0" w:line="225"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spacing w:after="0" w:line="280" w:lineRule="exact"/>
        <w:rPr>
          <w:sz w:val="20"/>
          <w:szCs w:val="20"/>
          <w:color w:val="auto"/>
        </w:rPr>
      </w:pPr>
    </w:p>
    <w:p>
      <w:pPr>
        <w:ind w:right="5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our product candidates.</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Any product candidate we develop and the activities associated with its development and commercialization, including its design, testing, manufacture, safety, efficacy, record keeping, labeling, storage, approval, advertising, promotion, sale, and distribution, are subject to comprehensive regulation by the FDA and other regulatory authorities in the United States, and by the EMA, MHRA and other comparable regulatory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no experience in submitting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18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EMA, MHRA and other comparable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spacing w:after="0" w:line="18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266"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spacing w:after="0" w:line="287"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development and commercialization of our product candidates may be delayed, and our business and results of operations may be harmed.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79"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EMA, MHRA and other comparable regulatory authorities and the timing thereof;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commercialization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2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development and commercialization of our product candidates may be delayed, and our business and results of operations may be harmed.</w:t>
      </w:r>
    </w:p>
    <w:p>
      <w:pPr>
        <w:spacing w:after="0" w:line="50"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concentrated our research and development efforts on the treatment of disorders of the nervous system, a field that faces certain challenges in drug development.</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focused our research and development efforts on addressing disorders of the brain and nervous system. Efforts by pharmaceutical companies in this field have faced certain challenges in drug development. In particular, many neurological and psychiatric disorders such as FOS and bipolar disorder rely on subjective patient-reported outcomes as key endpoints. This makes them more difficult to evaluate than indications with more objective endpoints. These indications are often subject to a placebo effect, which may make it more challenging to isolate the effects of our product candidates. There can be no guarantee that we will successfully overcome these challenges with RAP-219 in our ongoing and future trials for FOS or bipolar mania candidates or that we will not encounter other challenges in the development of our product candidates. Moreover, given the history of clinical failures in this field, future clinical or regulatory failures by us or others may have result in further negative perception of the likelihood of success in this field, which may significantly and adversely affect the market price of our common stock.</w:t>
      </w:r>
    </w:p>
    <w:p>
      <w:pPr>
        <w:spacing w:after="0" w:line="296" w:lineRule="exact"/>
        <w:rPr>
          <w:sz w:val="20"/>
          <w:szCs w:val="20"/>
          <w:color w:val="auto"/>
        </w:rPr>
      </w:pPr>
    </w:p>
    <w:p>
      <w:pPr>
        <w:ind w:right="3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risks because we intend to evaluate our product candidates in combination with the standard of care for the indications that we are pursuing.</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intend to evaluate our product candidates in combination with other compounds, specifically the standard of care for the indications that we are pursuing. The use of our product candidates in combination with such other compounds may subject us to risks that we would not face if our product candidates were being administered as a monotherapy. The outcome and cost of developing a product candidate to be used with other compounds is difficult to predict and dependent on a number of factors that are outside our control. If we experience efficacy or safety issues in our clinical trials in which our product candidates are being administered with other compounds, we may not receive regulatory approval for our product candidates, which could prevent us from ever generating revenue or achieving profitability.</w:t>
      </w:r>
    </w:p>
    <w:p>
      <w:pPr>
        <w:spacing w:after="0" w:line="291"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51" w:lineRule="exact"/>
        <w:rPr>
          <w:sz w:val="20"/>
          <w:szCs w:val="20"/>
          <w:color w:val="auto"/>
        </w:rPr>
      </w:pPr>
    </w:p>
    <w:p>
      <w:pPr>
        <w:jc w:val="both"/>
        <w:ind w:right="620"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its conclusion.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many factors, including:</w:t>
      </w:r>
    </w:p>
    <w:p>
      <w:pPr>
        <w:spacing w:after="0" w:line="117"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and secondary endpoints;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clinical trials may misrepresent their eligibility or may otherwise not comply with the clinical trial protocol, resulting in the need to drop such patients from the clinical trial, increase the needed enrollment size for the clinical trial or extend the clinical trial’s duration;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new indications for existing therapies or approval of new therapies in general;</w:t>
      </w:r>
    </w:p>
    <w:p>
      <w:pPr>
        <w:spacing w:after="0" w:line="117" w:lineRule="exact"/>
        <w:rPr>
          <w:rFonts w:ascii="Times New Roman" w:cs="Times New Roman" w:eastAsia="Times New Roman" w:hAnsi="Times New Roman"/>
          <w:sz w:val="18"/>
          <w:szCs w:val="18"/>
          <w:color w:val="auto"/>
        </w:rPr>
      </w:pPr>
    </w:p>
    <w:p>
      <w:pPr>
        <w:ind w:left="1020" w:right="260" w:hanging="503"/>
        <w:spacing w:after="0" w:line="312" w:lineRule="auto"/>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before completion.</w:t>
      </w:r>
    </w:p>
    <w:p>
      <w:pPr>
        <w:spacing w:after="0" w:line="22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experience challenges in recruiting principal investigators and patients to participate in ongoing and future clinical trials for such product candidates if we are unable to sufficiently demonstrate the potential of such product candidates to them.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AEs or other side effects are observed in any of our clinical trials, we may have difficulty recruiting patients to our trials and patients may drop out of our trials. Additionally, patients, including patients in any control groups, may withdraw from the clinical trial for various reasons, including but not limited to if they are not experiencing improvement in their underlying disease or condition, or if they experience other difficulties or issues relating to their underlying disease or condition. Participants with CNS disorders such as bipolar disorder constitute a vulnerable patient population and may withdraw from the clinical trial if they are not experiencing improvement in their underlying disease or condition or if they experience other difficulties or issues relating to their underlying disease or condition or otherwise, which may or may not be related to our product candidate in clinical trial. Withdrawal of patients from our clinical trials may compromise the quality of our data.</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our value to decline and limit our ability to obtain additional financing if needed.</w:t>
      </w:r>
    </w:p>
    <w:p>
      <w:pPr>
        <w:spacing w:after="0" w:line="287" w:lineRule="exact"/>
        <w:rPr>
          <w:sz w:val="20"/>
          <w:szCs w:val="20"/>
          <w:color w:val="auto"/>
        </w:rPr>
      </w:pPr>
    </w:p>
    <w:p>
      <w:pPr>
        <w:ind w:right="3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6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have never commercialized a product, and even if any of our product candidates is approved by the appropriate regulatory authorities for marketing and sale, it may nonetheless fail to achieve sufficient market acceptance by physicians, patients, third-party payors and others in the medical community. Many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we are unable to demonstrate superior efficacy, safety, ease of administration and/or cost-effectiveness. For example, physicians may be reluctant to take their patients off their current medications and switch their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right="180"/>
        <w:spacing w:after="0" w:line="261" w:lineRule="auto"/>
        <w:rPr>
          <w:sz w:val="20"/>
          <w:szCs w:val="20"/>
          <w:color w:val="auto"/>
        </w:rPr>
      </w:pPr>
      <w:r>
        <w:rPr>
          <w:rFonts w:ascii="Times New Roman" w:cs="Times New Roman" w:eastAsia="Times New Roman" w:hAnsi="Times New Roman"/>
          <w:sz w:val="18"/>
          <w:szCs w:val="18"/>
          <w:color w:val="auto"/>
        </w:rPr>
        <w:t>treatment regimen to our product candidates. Further, patients often acclimate to the treatment regimen that they are currently taking and do not want to switch unless their physicians recommend switching products or they are required to switch due to lack of coverage and adequate reimbursement. Even if we are able to demonstrate our product candidates’ safety and efficacy to the FDA and other regulators, safety or efficacy concerns in the medical community may hinder market acceptance.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including management time and financial resources, and may not be successful.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future collaborators, to offer the product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acceptance into standard of care treatment algorithms by medical societies that could limit payor and physician uptake;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adequacy of coverage and reimbursement from government payors, managed care plans and other third-party payors.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Any failure by one or more of our product candidates that obtains regulatory approval to achieve market acceptance or commercial success would adversely affect our business prospects.</w:t>
      </w:r>
    </w:p>
    <w:p>
      <w:pPr>
        <w:spacing w:after="0" w:line="266"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discover, develop and commercialize other product candidates, we may be unable to grow our business and our ability to achieve our strategic objectives would be impaired.</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Although the development and commercialization of our current product candidates are our initial focus, as part of our longer-term growth strategy, we plan to develop other product candidates. In addition to the product candidates in our clinical-stage pipeline, we have in-licensed additional assets that are in earlier stages of development. We intend to evaluate internal opportunities from our existing product candidates or other potential product candidates, and also may choose to in-license or acquire other product candidates to treat patients suffering from other disorders with significant unmet medical needs and limited treatment options. These other potential product candidates will require additional, time-consuming development efforts prior to commercial sale, including preclinical studies, clinical trials and approval by the FDA, EMA, MHRA or other comparable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be certain that any such products that are approved will be manufactured or produced economically, successfully commercialized or widely accepted in the marketplace or be more effective than other commercially available alternatives.</w:t>
      </w:r>
    </w:p>
    <w:p>
      <w:pPr>
        <w:spacing w:after="0" w:line="19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we intend to devote substantial capital and resources for basic research to discover and identify additional product candidates. These research programs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spacing w:after="0" w:line="72"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that we develop may nevertheless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117"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management’s time and attention to develop acquired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dilutive issuances of securities or depletion of cash to pay for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combining the operations and personnel of any acquired businesses with our operations and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motivate key employees of any acquired businesses.</w:t>
      </w:r>
    </w:p>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we are unsuccessful in identifying and developing additional product candidates, either through internal development or licensing or acquisition from third parties, our potential for growth and achieving our strategic objectives may be impaired.</w:t>
      </w:r>
    </w:p>
    <w:p>
      <w:pPr>
        <w:spacing w:after="0" w:line="266"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number of patients with the diseases and disorders for which we are developing our product candidates has not been established with precision. If the actual number of patients with the diseases or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 candidates may be smaller than we expect and our revenue potential and ability to achieve profitability may be materially adversely affected.</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pipeline includes product candidates for a variety of neuroscience diseases. There is no precise method of establishing the actual number of patients with any of these disorders in any geography over any time period. With respect to many of the indications in which we have developed, are developing, or plan to develop our product candidates, we have estimates of the prevalence of the disease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our estimates as to the prevalence of FOS and bipolar disorder,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disease indications may, however, be significantly lower than we believe. Even if our prevalence estimates are correct, our product candidates may be developed for only a subset of patients with the relevant disease or disorder or our product candidates,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 our prevalence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estimates with respect to any indication or our other market assumptions are not accurate, the markets for our product candidates for these indications may be smaller than we anticipate, which could limit our revenues and our ability to achieve profitability or to meet our expectations with respect to revenues or profits.</w:t>
      </w:r>
    </w:p>
    <w:p>
      <w:pPr>
        <w:spacing w:after="0" w:line="280" w:lineRule="exact"/>
        <w:rPr>
          <w:sz w:val="20"/>
          <w:szCs w:val="20"/>
          <w:color w:val="auto"/>
        </w:rPr>
      </w:pPr>
    </w:p>
    <w:p>
      <w:pPr>
        <w:ind w:right="2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Competitive products may reduce or eliminate the commercial opportunity for our product candidates, if approved. If our competitors develop technologies or product candidates more rapidly than we do, or their technologies or product candidates are more effective or safer than ours, our ability to develop and successfully commercialize our product candidates may be adversely affected.</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clinical and commercial landscapes for the treatment of neuroscience diseases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believe that a significant number of product candidates are currently under development for the same indications we are currently pursuing, and some or all may become commercially available in the future for the treatment of conditions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titled “</w:t>
      </w:r>
      <w:r>
        <w:rPr>
          <w:rFonts w:ascii="Times New Roman" w:cs="Times New Roman" w:eastAsia="Times New Roman" w:hAnsi="Times New Roman"/>
          <w:sz w:val="18"/>
          <w:szCs w:val="18"/>
          <w:i w:val="1"/>
          <w:iCs w:val="1"/>
          <w:color w:val="auto"/>
        </w:rPr>
        <w:t>Business—Competition</w:t>
      </w:r>
      <w:r>
        <w:rPr>
          <w:rFonts w:ascii="Times New Roman" w:cs="Times New Roman" w:eastAsia="Times New Roman" w:hAnsi="Times New Roman"/>
          <w:sz w:val="18"/>
          <w:szCs w:val="18"/>
          <w:color w:val="auto"/>
        </w:rPr>
        <w:t>” for examples of the competition that our product candidates face.</w:t>
      </w:r>
    </w:p>
    <w:p>
      <w:pPr>
        <w:spacing w:after="0" w:line="183"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6" w:name="page67"/>
    <w:bookmarkEnd w:id="66"/>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spacing w:after="0" w:line="284"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our sales, marketing and distribution capability on our own or through collaborations with marketing partners, we will not be successful in commercializing our product candidates.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We intend to establish a sales and marketing organization,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117"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our failure to educate an adequate number of physicians on the benefits of any future products;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With respect to our existing and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will not be successful in commercializing our product candidates.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ind w:right="7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organization, and as a result, we may encounter difficulties in managing our growth, which could disrupt our operations.</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regulatory affairs and sales, marketing and distribution, as well as to continue to support our public company operations.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product candidates, leverage our RAP technology platform and our future growth depends on attracting, hiring and retaining our key personnel and recruiting additional qualified personnel.</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our product candidates. Given the specialized nature of neurological and psychiatric disorders and our approach, there is an inherent scarcity of experienced personnel in these fields. As we continue developing our product candidates in our pipeline, we will require personnel with medical, scientific, or technical qualifications specific to each program. The loss of key personnel would delay our research and development activities. We currently do not have “key person” insurance on any of our employees. Despite our efforts to retain valuable employees, members of our team may terminate their employment with us on short notice. The competition for qualified personnel in the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w:t>
      </w:r>
    </w:p>
    <w:p>
      <w:pPr>
        <w:spacing w:after="0" w:line="19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addition, our clinical operations and research and development programs depend on our ability to attract and retain highly skilled scientists, data scientists, and engineers, particularly in Massachusetts and California. There is powerful competition for skilled personnel in these geographical markets,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2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relied upon and plan to continue to rely on third parties, such as CROs, clinical data management organizations, medical institutions and clinical investigators, to conduct our clinical trials and expect to rely on these third parties to conduct clinical trials of any other product candidate that we develop. Our ability to complete clinical trials in a timely fashion depends on a number of key factors. These factors include protocol design, regulatory and IRB approval, patient enrollment rates and compliance with GCPs. We have opened clinical trial sites and are enrolling patients in a number of countries where our experience is limited. In most cases, we use the services of third parties, including CROs, to carry out our clinical trial-related activities and rely on such parties to accurately report their results. Our reliance on third parties for clinical development activities may impact or limit our control over the timing, conduct, expense and quality of our clinical trials. Moreover, the FDA requires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w:t>
      </w:r>
    </w:p>
    <w:p>
      <w:pPr>
        <w:spacing w:after="0" w:line="19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remain responsible for ensuring that each of our trials is conducted in accordance with the applicable protocol, legal and regulatory requirements and scientific standards. Our failure or the failure of third parties to comply with the applicable protocol,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for any reason, the clinical data generated in our clinical trials may be deemed unreliable and the FDA may require us to perform additional clinical trials before approving our product candidates, which would delay the regulatory approval process. We cannot be certain that, upon inspection, the FDA will determine that any of our clinical trials comply with GCPs. We are also required to register certain clinical trials and post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8" w:name="page69"/>
    <w:bookmarkEnd w:id="68"/>
    <w:p>
      <w:pPr>
        <w:ind w:right="180"/>
        <w:spacing w:after="0" w:line="282" w:lineRule="auto"/>
        <w:rPr>
          <w:sz w:val="20"/>
          <w:szCs w:val="20"/>
          <w:color w:val="auto"/>
        </w:rPr>
      </w:pPr>
      <w:r>
        <w:rPr>
          <w:rFonts w:ascii="Times New Roman" w:cs="Times New Roman" w:eastAsia="Times New Roman" w:hAnsi="Times New Roman"/>
          <w:sz w:val="18"/>
          <w:szCs w:val="18"/>
          <w:color w:val="auto"/>
        </w:rPr>
        <w:t>results of completed clinical trials on a government-sponsored database, ClinicalTrials.gov, within certain timeframes. Failure to do so can result in fines, adverse publicity and civil and criminal sanctions.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the post-COVID macroeconomic environment and the inexperience of new employees. Furthermore, at clinical trial sites, the availability of staff and trial participants has been limited due to a decrease in the number of clinical investigative sites across the globe.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19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may rely on other third parties to collect, report and analyze data for our clinical trials. For example, our Phase 2a proof-of-concept clinical trial for RAP-219 in adult patients with drug-resistant FOS relied on implantation of the RNS system from NeuroPace. NeuroPace has and continues to assist us with reporting and analysis of patient data collected from the implanted RNS systems in the Phase 2a clinical trial and in the open-label long term safety study. If NeuroPace does not successfully carry out its contractual obligations for any reason, meet expected deadlines, conduct our Phase 2a clinical trial or the open-label long term safety trial in accordance with applicable law, including regulatory and data privacy requirements, or encounters issues with its RNS system, including issues that raise questions of safety, effectiveness or data integrity, or we are otherwise unable to maintain our relationship with NeuroPace, we would have to redesign and conduct a new clinical trial to evaluate RAP-219 in patients with drug-resistant FOS and our business, financial condition and prospects would be harmed.</w:t>
      </w:r>
    </w:p>
    <w:p>
      <w:pPr>
        <w:spacing w:after="0" w:line="19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our product candidates. We may not be able to enter into alternative arrangements or do so on commercially reasonable terms. In addition, even if there are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and prospects.</w:t>
      </w:r>
    </w:p>
    <w:p>
      <w:pPr>
        <w:spacing w:after="0" w:line="291"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third parties to manufacture our product candidates, including those located outside of the United States in jurisdictions such as China, may increase the risk that we will not have sufficient quantities of our product candidates, raw materials, APIs or drug products when needed or at an acceptable cost.</w:t>
      </w:r>
    </w:p>
    <w:p>
      <w:pPr>
        <w:spacing w:after="0" w:line="6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parties, including in jurisdictions outside of the United States such as China.</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currently rely on and engage third-party manufacturers to provide all of the API and the final drug product formulation of all of our product candidates that are being used in our clinical trials and preclinical studies. If we were to need an alternate manufacturer, we would incur added costs and delays in identifying and qualifying any such replacement. In addition, we typically order raw materials, API and drug product and services on a purchase order basis and do not enter into long-term dedicated capacity or minimum supply arrangements with any commercial manufacturer.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 Commitments that we make to supply drug product to collaboration partners, such as under our license agreement with Tenacia (the “Tenacia Agreement”), will also be sourced from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right="480"/>
        <w:spacing w:after="0" w:line="282" w:lineRule="auto"/>
        <w:rPr>
          <w:sz w:val="20"/>
          <w:szCs w:val="20"/>
          <w:color w:val="auto"/>
        </w:rPr>
      </w:pPr>
      <w:r>
        <w:rPr>
          <w:rFonts w:ascii="Times New Roman" w:cs="Times New Roman" w:eastAsia="Times New Roman" w:hAnsi="Times New Roman"/>
          <w:sz w:val="18"/>
          <w:szCs w:val="18"/>
          <w:color w:val="auto"/>
        </w:rPr>
        <w:t>our third-party manufacturers and our failure to do so within agreed specifications and timelines could result in contractual liabilities and harm to the collaborations.</w:t>
      </w:r>
    </w:p>
    <w:p>
      <w:pPr>
        <w:spacing w:after="0" w:line="378"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Many of the third-party manufacturers we rely on have only recently begun working with us and have limited or no experience manufacturing our API and final drug products. If our manufacturers have difficulty or suffer delays in successfully manufacturing material that meets our specifications, it may limit supply of our product candidates and could delay our clinical trials.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and maintain arrangements with third-party manufacturers, reliance on third-party manufacturers entails additional risks, including:</w:t>
      </w:r>
    </w:p>
    <w:p>
      <w:pPr>
        <w:spacing w:after="0" w:line="54" w:lineRule="exact"/>
        <w:rPr>
          <w:sz w:val="20"/>
          <w:szCs w:val="20"/>
          <w:color w:val="auto"/>
        </w:rPr>
      </w:pPr>
    </w:p>
    <w:p>
      <w:pPr>
        <w:ind w:left="1020" w:right="10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comply with applicable regulatory requirements and reliance on third parties for manufacturing process development, regulatory compliance and quality assurance;</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manufacturers give greater priority to the supply of other products over our product candidates or otherwise do not satisfactorily perform according to the terms of the agreement between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and scheduling constraints of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produce materials with acceptable quality on a larger scale;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factors beyond our control;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manufacturing agreements by the third party, at a time that is costly or inconvenient to us;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2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we do not maintain our key manufacturing relationships, we may fail to find replacement manufacturers or develop our own manufacturing capabilities, which could delay or impair our ability to obtain regulatory approval for our product candidates. If we do find replacement manufacturers, we may not be able to enter into agreements with them on terms and conditions favorable to us and there could be a substantial delay before new facilities could be qualified and registered with the FDA, EMA, and other comparable regulatory authorities.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if any third-party manufacturer with whom we contract fails to perform its obligations, we may be forced to manufacture the materials ourselves, for which we may not have the capabilities or resources, or to enter into an agreement with a different manufacturer. In either scenario, our clinical trials supply could be delayed significantly as we establish alternative supply sources. In some cases, the technical skills required to manufacture our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EMA, or other comparable regulatory authorities. We may be unsuccessful in demonstrating the comparability of clinical supplies, which could require the conduct of additional clinical trials.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 party owns independently. This would increase our reliance on such third-party manufacturer or require us to obtain a license from such third-party manufacturer in order to have another third party manufacture our product candidates.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is approved by any regulatory agency, we intend to utilize arrangements with third-party contract manufacturers for the commercial production of those products. This process is difficult and time consuming and we may face competition for access to manufacturing facilities as there are a limited number of contract manufacturers operating under cGMPs that are capable of manufacturing our product candidates. Consequently, we may not be able to reach agreement with third-party manufacturers on satisfactory terms, which could delay our commercialization.</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Some of our manufacturers are located outside of the United States, including in China. There is currently significant uncertainty about the future relationship between the United States and various other countries, including China, with respect to trade policies, treaties, government regulations and tariffs. Increased tariffs or pending legislation that would impose federal contracting or federal funding limitations on parties directly using or connected to those using the services or equipment of certain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0" w:name="page71"/>
    <w:bookmarkEnd w:id="70"/>
    <w:p>
      <w:pPr>
        <w:spacing w:after="0" w:line="254" w:lineRule="auto"/>
        <w:rPr>
          <w:sz w:val="20"/>
          <w:szCs w:val="20"/>
          <w:color w:val="auto"/>
        </w:rPr>
      </w:pPr>
      <w:r>
        <w:rPr>
          <w:rFonts w:ascii="Times New Roman" w:cs="Times New Roman" w:eastAsia="Times New Roman" w:hAnsi="Times New Roman"/>
          <w:sz w:val="18"/>
          <w:szCs w:val="18"/>
          <w:color w:val="auto"/>
        </w:rPr>
        <w:t>foreign entities with known or alleged associations with foreign adversaries could potentially disrupt our existing supply chains and impose additional costs on our business. In particular, certain Chinese biotechnology companies and CMOs may become subject to trade restrictions, sanctions, and other regulatory requirements by the U.S. government, which could restrict or even prohibit our ability to work with such entities, thereby potentially disrupting our supplies and manufacturing. Additionally, it is possible further tariffs may be imposed that could affect imports of any APIs used in our product candidates in the future, or our business may be adversely impacted by retaliatory trade measures taken by China or other countries, including restricted access to such raw materials used in our product candidates. Given the unpredictable regulatory environment in China and the United States and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and financial condition.</w:t>
      </w:r>
    </w:p>
    <w:p>
      <w:pPr>
        <w:spacing w:after="0" w:line="188"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We do not control the manufacturing process of, and are completely dependent on, our contract manufacturing partners for compliance with cGMPs. If our contract manufacturers cannot successfully manufacture material that conforms to our specifications and the strict regulatory requirements of the FDA, EMA, MHRA or other comparable regulatory authorities, we may not be able to secure and/or maintain regulatory approval for our product candidates manufactured at these facilities. In addition, we have no control over the ability of our contract manufacturers to maintain adequate quality control, quality assurance and qualified personnel. If the FDA finds deficiencies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EMA, MHRA and comparable foreign regulatory requirements could adversely affect our clinical research activities and our ability to develop our product candidates and market our products, if approved.</w:t>
      </w:r>
    </w:p>
    <w:p>
      <w:pPr>
        <w:spacing w:after="0" w:line="19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FDA, EMA, MHRA or other comparable regulatory authorities require manufacturers to register manufacturing facilities, and also inspect these facilities to confirm compliance with cGMPs.</w:t>
      </w:r>
    </w:p>
    <w:p>
      <w:pPr>
        <w:spacing w:after="0" w:line="162"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EMA, MHRA and other comparable regulatory requirements could adversely affect our clinical research activities and our ability to develop our product candidates and market our products following approval, if obtained.</w:t>
      </w:r>
    </w:p>
    <w:p>
      <w:pPr>
        <w:spacing w:after="0" w:line="1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Furthermore, should we decide to use any APIs in any of our product candidates that are proprietary to one or more third parties, we would need to maintain licenses to those APIs from those third parties. If we are unable to gain or continue to access rights to such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spacing w:after="0" w:line="291"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plan to opportunistically pursue strategic partnerships, as the advancement of our product candidates and development programs and the potential commercialization of our current and future product candidates will require substantial additional cash to fund expenses. If we believe that partnerships can accelerate the development or maximize the market potential of our product candidates, we will consider entering into product, target and/or geographic specific strategic partnerships on an opportunistic basis. Likely collaborators may include large and mid-size pharmaceutical companies, regional and national pharmaceutical companies and biotechnology companies. In addition, if we are able to obtain regulatory approval for product candidates from foreign regulatory authorities, we may enter into partnerships or collaborations with international biotechnology or pharmaceutical companies for the commercialization of such product candidates.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1" w:name="page72"/>
    <w:bookmarkEnd w:id="71"/>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partnership or collaboration will depend, among other things, upon our assessment of the collaborator’s resources and expertise, the terms and conditions of the proposed partnerships or collaboration and the proposed collaborator’s evaluation of a number of factors. Those factors may include the potential differentiation of our product candidate from competing product candidates, design or results of clinical trials, the likelihood of approval by the FDA, EMA, MHRA, or other comparable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partnership or collaboration and whether such a partnership or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Partnerships and collaborations are each complex and time-consuming to negotiate and document. Further, there have been a significant number of recent business combinations among large pharmaceutical companies that have resulted in a reduced number of potential future collaborators. Any partnership or collaboration agreements that we enter into in the future may contain restrictions on our ability to enter into potential partnerships or collaborations or to otherwise develop specified product candidates. We may not be able to negotiate partnerships or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8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Furthermore, if conflicts arise between our collaborators and us, the other party may act in a manner adverse to us and could limit our ability to implement our strategies. Our collaborators could conduct multiple product development efforts and could develop, either alone or with others, products in related fields that are competitive with the product candidates we may develop that are the subject of these partnerships or collaborations with us.</w:t>
      </w:r>
    </w:p>
    <w:p>
      <w:pPr>
        <w:spacing w:after="0" w:line="17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Competing products may preclude us from entering into partnerships or collaborations with their competitors, fail to obtain timely regulatory approvals, prevent us from obtaining timely regulatory approvals, terminate their agreements with us prematurely or fail to devote sufficient resources to the partnership or collaboration efforts, including development, delivery, manufacturing and commercialization of products. Any of these developments could harm our company and product development efforts.</w:t>
      </w:r>
    </w:p>
    <w:p>
      <w:pPr>
        <w:spacing w:after="0" w:line="284"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enter into additional collaborations with third parties for the development and commercialization of our product candidates, and our prospects with respect to those product candidates will depend in significant part on the success of those collaborations.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and may enter into additional collaborations for the development and commercialization of certain of our product candidates. Under such collaborations, we will have limited control over the amount and timing of resources that our collaborators will dedicate to the development or commercialization of our product candidates. Our ability to generate revenues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pose a number of risks, including the following:</w:t>
      </w:r>
    </w:p>
    <w:p>
      <w:pPr>
        <w:spacing w:after="0" w:line="117"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which divert resources or create competing priorities;</w:t>
      </w:r>
    </w:p>
    <w:p>
      <w:pPr>
        <w:spacing w:after="0" w:line="6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72" w:name="page73"/>
    <w:bookmarkEnd w:id="72"/>
    <w:p>
      <w:pPr>
        <w:ind w:left="1020" w:right="5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7" w:lineRule="exact"/>
        <w:rPr>
          <w:rFonts w:ascii="Times New Roman" w:cs="Times New Roman" w:eastAsia="Times New Roman" w:hAnsi="Times New Roman"/>
          <w:sz w:val="18"/>
          <w:szCs w:val="18"/>
          <w:color w:val="auto"/>
        </w:rPr>
      </w:pPr>
    </w:p>
    <w:p>
      <w:pPr>
        <w:ind w:left="1020" w:right="9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For example, we will depend on Tenacia for the development and commercialization of RAP-219 in China. Under the terms of the Tenacia Agreement, Tenacia is responsible for the development and commercialization of RAP-219 in China. Tenacia will participate in the conduct of certain clinical trials for RAP-219 in Greater China and, as a result, we will depend on Tenacia for the enrollment of patients and the conduct of such clinical trials for RAP-219 in Greater China. We do not control the individual efforts of Tenacia, and any failure by Tenacia to devote sufficient time and effort to the development of RAP-219, including enrolling patients and conducting clinical trials for RAP-219 in Greater China, or to meet their respective obligations to us, could adversely impact our ability to complete our planned clinical studies on our anticipated timelines. We depend on Tenacia to comply with all applicable local laws relative to the development and commercialization of RAP-219. If Tenacia violates, or is alleged to have violated, any laws or regulations during the performance of its obligations for us, it is possible that we could suffer financial and reputational harm or other negative outcomes, including possible legal consequences. In the case of any termination of the Tenacia Agreement, we may be required to devote additional efforts and to incur additional costs associated with pursuing the development and commercialization of RAP-219 in China, which could result in delays to our RAP-219 clinical program. Alternatively, we may attempt to identify and transact with a new sublicensee, but there can be no assurance that we would be able to identify a suitable sublicensee or transact on terms that are favorable to us.</w:t>
      </w:r>
    </w:p>
    <w:p>
      <w:pPr>
        <w:spacing w:after="0" w:line="294"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3" w:name="page74"/>
    <w:bookmarkEnd w:id="73"/>
    <w:p>
      <w:pPr>
        <w:ind w:right="140"/>
        <w:spacing w:after="0" w:line="266" w:lineRule="auto"/>
        <w:rPr>
          <w:sz w:val="20"/>
          <w:szCs w:val="20"/>
          <w:color w:val="auto"/>
        </w:rPr>
      </w:pPr>
      <w:r>
        <w:rPr>
          <w:rFonts w:ascii="Times New Roman" w:cs="Times New Roman" w:eastAsia="Times New Roman" w:hAnsi="Times New Roman"/>
          <w:sz w:val="18"/>
          <w:szCs w:val="18"/>
          <w:color w:val="auto"/>
        </w:rPr>
        <w:t>materials manufactured using altered processes. Such changes may also require additional testing, FDA notification or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6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the European Commission or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87"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EMA, MHRA and other comparable regulatory authority requirements, including ensuring that quality control and manufacturing procedures conform to cGMP regulations and applicable product tracking and tracing requirements.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risk evaluation and mitigation strategies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EMA, MHRA or other comparable regulatory authority approves our product candidates, we will have to comply with requirements including submissions of safety and other post-marketing information and reports and registration.</w:t>
      </w:r>
    </w:p>
    <w:p>
      <w:pPr>
        <w:spacing w:after="0" w:line="188"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ind w:right="100"/>
        <w:spacing w:after="0" w:line="261" w:lineRule="auto"/>
        <w:rPr>
          <w:sz w:val="20"/>
          <w:szCs w:val="20"/>
          <w:color w:val="auto"/>
        </w:rPr>
      </w:pPr>
      <w:r>
        <w:rPr>
          <w:rFonts w:ascii="Times New Roman" w:cs="Times New Roman" w:eastAsia="Times New Roman" w:hAnsi="Times New Roman"/>
          <w:sz w:val="18"/>
          <w:szCs w:val="18"/>
          <w:color w:val="auto"/>
        </w:rPr>
        <w:t>our product candidates, including AEs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72"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withdrawal of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strictly regulates marketing, labeling, advertising and promotion of products that are placed on the market. Products may be promoted only for the approved indications and in accordance with the provisions of the approved label. The policies of the FDA, EMA and other comparable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6"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may in the future seek designations for our product candidates with the FDA, EMA and other comparable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FDA, EMA, and other comparable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For example, we may seek a Fast Track Designation for future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be certain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5" w:name="page76"/>
    <w:bookmarkEnd w:id="75"/>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10 months to 6 months. Priority review designation may be rescinded if a product no longer meets the qualifying criteria.</w:t>
      </w:r>
    </w:p>
    <w:p>
      <w:pPr>
        <w:spacing w:after="0" w:line="29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Where appropriate, we may secure approval from the FDA, EMA or other comparable regulatory authorities through the use of expedited approval pathways, such as accelerated approval. If we are unable to obtain such approvals, we may be required to conduct additional preclinical studies or clinical trials beyond those that we contemplate, which could increase the expense of obtaining, and delay the receipt of, necessary marketing approvals. Even if we receive accelerated approval from the FDA, EMA, or other comparable regulatory authorities, if our confirmatory trials do not verify clinical benefit, or if we do not comply with rigorous post-marketing requirements, the FDA, EMA, or such other regulatory authorities may seek to withdraw the accelerated approval.</w:t>
      </w:r>
    </w:p>
    <w:p>
      <w:pPr>
        <w:spacing w:after="0" w:line="7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Where possible, we plan to pursue accelerated development strategies in areas of high unmet need. We may seek an accelerated approval pathway for one or more of our therapeutic candidates from the FDA, EMA, or other comparable regulatory authorities. Under the accelerated approval provisions in the Federal Food, Drug, and Cosmetic Act, and the FDA’s implementing regulations, the FDA may grant accelerated approval to a therapeutic candidate designed to treat a serious or life-threatening condition that provides meaningful therapeutic benefit over available therapies upon a determination that the therapeutic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w:t>
      </w:r>
    </w:p>
    <w:p>
      <w:pPr>
        <w:spacing w:after="0" w:line="1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we would seek feedback from the FDA, EMA, or other comparable regulatory authorities and would otherwise evaluate our ability to seek and receive such accelerated approval. There can be no assurance that after our evaluation of the feedback and other factors we will decide to pursue or submit an NDA or BLA for accelerated approval or any other form of expedited development, review or approval. Similarly, there can be no assurance that after subsequent feedback from the FDA, EMA, or other comparable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EMA or other comparable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6" w:name="page77"/>
    <w:bookmarkEnd w:id="76"/>
    <w:p>
      <w:pPr>
        <w:ind w:right="260"/>
        <w:spacing w:after="0" w:line="282" w:lineRule="auto"/>
        <w:rPr>
          <w:sz w:val="20"/>
          <w:szCs w:val="20"/>
          <w:color w:val="auto"/>
        </w:rPr>
      </w:pPr>
      <w:r>
        <w:rPr>
          <w:rFonts w:ascii="Times New Roman" w:cs="Times New Roman" w:eastAsia="Times New Roman" w:hAnsi="Times New Roman"/>
          <w:sz w:val="18"/>
          <w:szCs w:val="18"/>
          <w:color w:val="auto"/>
        </w:rPr>
        <w:t>therapeutic candidate would result in a longer time period to commercialization of such therapeutic candidate, could increase the cost of development of such therapeutic candidate and could harm our competitive position in the marketplace.</w:t>
      </w:r>
    </w:p>
    <w:p>
      <w:pPr>
        <w:spacing w:after="0" w:line="158"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the FDA, other government agencies or comparable foreign regulatory authorities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or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other government agencies or comparable foreign regulatory authorities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Disruptions at the FDA, other government agencies or comparable foreign regulatory authorities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including as a result of reaching the debt ceiling, it could significantly impact the ability of the FDA to timely review and process our regulatory submissions, which could have a material adverse effect on our business. Further, future government shutdowns could impact our ability to access the public markets and obtain additional capital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6059170</wp:posOffset>
            </wp:positionH>
            <wp:positionV relativeFrom="paragraph">
              <wp:posOffset>-220345</wp:posOffset>
            </wp:positionV>
            <wp:extent cx="285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1" w:lineRule="exact"/>
        <w:rPr>
          <w:sz w:val="20"/>
          <w:szCs w:val="20"/>
          <w:color w:val="auto"/>
        </w:rPr>
      </w:pPr>
    </w:p>
    <w:p>
      <w:pPr>
        <w:jc w:val="both"/>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These laws include anti-kickback statutes, false claims statutes, data privacy and security laws, as well as transparency laws regarding payments or other items of value provided to healthcare providers. 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As a pharmaceutical company, even though we do not and will not control referrals of healthcare services or bill directly to Medicare, Medicaid or other third-party payors, federal and state healthcare laws and regulations that may affect our ability to operate may apply. For more information on healthcare laws and regulations that may impact our company, see the section 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Regulation—Other Healthcare Laws”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and privacy laws, as well as responding to possible investigations by government authorities, can be time and resource-consuming and can divert a company’s attention from the business.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these laws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7" w:name="page78"/>
    <w:bookmarkEnd w:id="77"/>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 For more information on the laws and regulations that may impact coverage and reimbursement of our product candidates, see the section titled “</w:t>
      </w:r>
      <w:r>
        <w:rPr>
          <w:rFonts w:ascii="Times New Roman" w:cs="Times New Roman" w:eastAsia="Times New Roman" w:hAnsi="Times New Roman"/>
          <w:sz w:val="18"/>
          <w:szCs w:val="18"/>
          <w:i w:val="1"/>
          <w:iCs w:val="1"/>
          <w:color w:val="auto"/>
        </w:rPr>
        <w:t>Business—Government Regulation—Coverage and Reimbursement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spacing w:after="0" w:line="176"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68"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In the United States, the principal decisions about reimbursement for new medicines are typically made by CMS. CMS decides whether and to what extent a new medicine will be covered and reimbursed under Medicare and private payors tend to follow CMS to a substantial degree.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Patients are unlikely to use our product candidates, once approved, unless coverage is provided and reimbursement is adequate to cover a significant portion of their cost. There is significant uncertainty related to insurance coverage and reimbursement of newly approved products. It is difficult to predict at this time what third-party payors will decide with respect to the coverage and reimbursement for our product candidates. Even if favorable coverage and reimbursement status is attained for one or more products for which we receive regulatory approval, less favorable coverage policies and reimbursement rates may be implemented in the future.</w:t>
      </w:r>
    </w:p>
    <w:p>
      <w:pPr>
        <w:spacing w:after="0" w:line="18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The FDA implemented regulations providing guidance for states to build and submit importation plans for drugs from Canada. In early 2024, the FDA issued its first approval for a state importation plan, and several other states now have pending applications with the FDA. The U.S. government has also directed the FDA to streamline and improve the drug importation process. If successfully implemented, importation of drugs from Canada may materially and adversely affect the price we receive for any of our product candidates. Legislation or regulations allowing the reimportation of drugs, if enacted, could decrease the price we receive for any products that we may develop and adversely affect our future revenues and prospects for profitability.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18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Moreover, increasing efforts by governmental and other third-party payors in the United States and abroad to cap or reduce healthcare costs may cause such organizations to limit both coverage and the level of reimbursement for newly approved products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8" w:name="page79"/>
    <w:bookmarkEnd w:id="78"/>
    <w:p>
      <w:pPr>
        <w:spacing w:after="0" w:line="258" w:lineRule="auto"/>
        <w:rPr>
          <w:sz w:val="20"/>
          <w:szCs w:val="20"/>
          <w:color w:val="auto"/>
        </w:rPr>
      </w:pPr>
      <w:r>
        <w:rPr>
          <w:rFonts w:ascii="Times New Roman" w:cs="Times New Roman" w:eastAsia="Times New Roman" w:hAnsi="Times New Roman"/>
          <w:sz w:val="18"/>
          <w:szCs w:val="18"/>
          <w:color w:val="auto"/>
        </w:rPr>
        <w:t>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3"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or clearances of our product candidates, if any, may be.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If any such changes were to be imposed, they could adversely affect the operation of our business. See the section titled “</w:t>
      </w:r>
      <w:r>
        <w:rPr>
          <w:rFonts w:ascii="Times New Roman" w:cs="Times New Roman" w:eastAsia="Times New Roman" w:hAnsi="Times New Roman"/>
          <w:sz w:val="18"/>
          <w:szCs w:val="18"/>
          <w:i w:val="1"/>
          <w:iCs w:val="1"/>
          <w:color w:val="auto"/>
        </w:rPr>
        <w:t>Business—Current and Future U.S. Healthcare Reform”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280" w:lineRule="exact"/>
        <w:rPr>
          <w:sz w:val="20"/>
          <w:szCs w:val="20"/>
          <w:color w:val="auto"/>
        </w:rPr>
      </w:pPr>
    </w:p>
    <w:p>
      <w:pPr>
        <w:ind w:right="8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current and any future employees, independent contractors, consultants, CMOs, and vendors. Misconduct by these parties could include intentional, reckless, and/or negligent conduct that fails to comply with FDA or other regulations, provide true, complete and accurate information to the FDA, EMA, and other comparable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9" w:name="page80"/>
    <w:bookmarkEnd w:id="79"/>
    <w:p>
      <w:pPr>
        <w:spacing w:after="0" w:line="256" w:lineRule="auto"/>
        <w:rPr>
          <w:sz w:val="20"/>
          <w:szCs w:val="20"/>
          <w:color w:val="auto"/>
        </w:rPr>
      </w:pPr>
      <w:r>
        <w:rPr>
          <w:rFonts w:ascii="Times New Roman" w:cs="Times New Roman" w:eastAsia="Times New Roman" w:hAnsi="Times New Roman"/>
          <w:sz w:val="18"/>
          <w:szCs w:val="18"/>
          <w:color w:val="auto"/>
        </w:rPr>
        <w:t>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w:t>
      </w:r>
    </w:p>
    <w:p>
      <w:pPr>
        <w:spacing w:after="0" w:line="291"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 candidates may harm our reputation in the marketplace or result in injuries that lead to costly product liability suits.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our product candidates are approved by the FDA, we may only promote or market our product candidates in a manner consistent with their FDA-approved labeling.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Furthermore, the use of our product candidates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spacing w:after="0" w:line="296"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Without appropriation of sufficient funding for federal agencies, our business operations related to our product development activities for the U.S. market could be impacted. The ability of the FDA to review and approve new products can be affected by a variety of factors, including staffing cuts and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substantial leadership departures, personnel cuts, and policy changes, may also slow the time necessary for new drugs to be reviewed and/or approved, which would harm our business. Changes and cuts in FDA staffing have been reported by some in the pharmaceutical industry as resulting in delays in the FDA's responsiveness or in its ability to review product submissions or applications, issue regulations or guidance, or implement or enforce regulatory requirements in a timely fashion or at all.</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is substantial uncertainty as to whether and how the U.S. government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current administration could issue or promulgate executive orders, regulations, policies or guidance that adversely affect us or create a more challenging or costly environment to pursue the development of new therapeutic candidates.</w:t>
      </w:r>
    </w:p>
    <w:p>
      <w:pPr>
        <w:spacing w:after="0" w:line="287"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EU drug marketing and reimbursement regulations may materially affect our ability to market and receive coverage for our products in the EU Member States.</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European Union, the pricing of products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0" w:name="page81"/>
    <w:bookmarkEnd w:id="80"/>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reward improper performance generally is typically governed by the national anti-bribery laws of EU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European Union.</w:t>
      </w:r>
    </w:p>
    <w:p>
      <w:pPr>
        <w:spacing w:after="0" w:line="19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in some foreign countries, including some countries in the European Union, the proposed pricing for a product must be approved before it may be lawfully marketed. The requirements governing product pricing and reimbursement vary widely from country to country. For example, some EU Member States have the option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biotechnology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291" w:lineRule="exact"/>
        <w:rPr>
          <w:sz w:val="20"/>
          <w:szCs w:val="20"/>
          <w:color w:val="auto"/>
        </w:rPr>
      </w:pPr>
    </w:p>
    <w:p>
      <w:pPr>
        <w:ind w:right="8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p>
    <w:p>
      <w:pPr>
        <w:spacing w:after="0" w:line="2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1"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 we engage now or in the future fail to comply with environmental, health and safety laws and regulations, we could become subject to fines or penalties or incur costs or liabilities that could have a material adverse effect on our business.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9"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5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in-licensed intellectual property. If we fail to comply with our obligations under our intellectual property licenses with third parties, we could lose license rights that are important to our business.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a party to the Janssen License, which is a non-exclusive, fully paid up, and royalty-free intellectual property license agreement. In connection with our efforts to expand our pipeline of product candidates, we expect to enter into additional license agreements in the future. We have certain obligations under the Janssen License and expect that future license agreements may impose various diligence, milestone payment, royalty, insurance, and other obligations on us. If we fail to comply with these obligations, our licensors may have the right to terminate the relevant agreement, in which event we would not be able to develop or market the products covered by such licensed intellectual property, or to pursue other remedies. Our current and future collaborations are, and may be, dependent upon the effectiveness of the Janssen License, and may be terminated if the Janssen License is terminated.</w:t>
      </w:r>
    </w:p>
    <w:p>
      <w:pPr>
        <w:spacing w:after="0" w:line="18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obtain licenses at a reasonable cost or on reasonable terms, or at all. Furthermore, if we lose intellectual property rights licensed under existing agreements or fail to obtain future licenses, we may be required to expend considerable time and resources to develop or license replacement technology. If we are unable to do so, we may be unable to develop or commercialize the affected proprietary technologies and product candidates, which could harm our business significantly.</w:t>
      </w:r>
    </w:p>
    <w:p>
      <w:pPr>
        <w:spacing w:after="0" w:line="284" w:lineRule="exact"/>
        <w:rPr>
          <w:sz w:val="20"/>
          <w:szCs w:val="20"/>
          <w:color w:val="auto"/>
        </w:rPr>
      </w:pPr>
    </w:p>
    <w:p>
      <w:pPr>
        <w:jc w:val="both"/>
        <w:ind w:right="2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licensors are unable to obtain and maintain patent protection for our product candidates, or if the scope of the patent protection obtained is not sufficiently broad, our competitors could develop and commercialize products similar or identical to our product candidates, and our ability to successfully commercialize our product candidates may be adversely affected.</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product candidates, their respective components, formulations, combination therapies, methods used to manufacture them and methods of treatment that are important to our business. If we or our licensors do not adequately protect our or our licensors’ intellectual property rights, competitors may be able to erode or negate any competitive advantage we may have, which could harm our business and ability to achieve profitability. We and our licensors seek to protect our proprietary position by filing patent applications in the United States and abroad related to our product candidates that are important to our business. We may in the future also license or purchase patent applications filed by others. If we or our licensors are unable to secure or maintain patent protection with respect to our product candidates and any proprietary product candidates and technology we develop, our business, financial condition, results of operations, and prospects could be materially harmed.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the scope of the patent protection we or our licensors obtain is not sufficiently broad, we may not be able to prevent others from developing and commercializing products and technology similar or identical to our product candidates or otherwise maintain a competitive advantage.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or our licensors’ patents have, or that any of our or our licensors’ pending patent applications that mature into issued patents will include, claims with a scope sufficient to protect our product candidates or otherwise provide any competitive advantage. In addition, to the extent that we license intellectual property, we cannot make assurances that those licenses will remain in force.</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Even if our owned and licensed patent applications issue as patents, they may not issue in a form that will provide us with any meaningful protection, prevent competitors from competing with us, or otherwise provide us with any competitive advantage. The scope of the invention claimed in a patent application can be significantly reduced before the patent is issued, and this scope can be reinterpreted after issuance. Any patents that eventually issue may be challenged, narrowed or invalidated by third parties. Consequently, we do not know whether any of our product candidates will be protectable or remain protected by valid and enforceable patent rights. Our competitors or other third parties may be able to circumvent our owned or licensed patents by developing similar or alternative technologies or products in a non-infringing manner.</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patent prosecution process is expensive and time 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product candidates that we license from third parties and are reliant on our licensors. Therefore, we cannot be certain that these patents and applications will be prosecuted and enforced in a manner consistent with the best interests of our business. If such licensors fail to maintain such patents, or lose rights to those patents, the rights we have licensed may be reduced or eliminated.</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Furthermore, patents have a limited lifespan. In the United States, the natural expiration of a patent is generally 20 years after it is filed. Various extensions may be available; however, the life of a patent, and the protection it affords, is limited. Publications of discoveries in the scientific literature often lag behind the actual discoveries, and patent applications in the United States and other jurisdictions are typically not published until 18 months after filing, or in some cases, at all. Therefore, we cannot be certain that we or our licensors were the first to make the inventions claimed in our owned or licensed patents or pending patent applications, or that we or our licensors were the first to file for patent protection of such inventions.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licensors’ patent rights are highly uncertain. Our and our licensors’ pending and future patent applications may not result in patents being issued which protect our product candidates or which effectively prevent others from commercializing competitive products.</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and licensed patents may be challenged in the courts or patent offices in the United States and abroad.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We or our licensors may in the future, become subject to a third-party pre-issuance submission of prior art,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 and other similar proceedings challenging our patent rights or the patent rights of others in the USPTO or other foreign patent office. Such challenges may result in loss of exclusivity or freedom to operate or in patent claims being narrowed, invalidated, or held unenforceable, which could limit our ability to stop others from using or commercializing similar or identical products, or limit the duration of the patent protection of our product candidates.</w:t>
      </w:r>
    </w:p>
    <w:p>
      <w:pPr>
        <w:spacing w:after="0" w:line="18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 product candidates.</w:t>
      </w:r>
    </w:p>
    <w:p>
      <w:pPr>
        <w:spacing w:after="0" w:line="176"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we rely on certain of our licensors to prosecute patent applications and maintain patents and otherwise protect the intellectual property we license from them and may continue to do so in the future.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3" w:name="page84"/>
    <w:bookmarkEnd w:id="83"/>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any licensors’ infringement proceeding or defense activities may be less vigorous than had we conducted them ourselves.</w:t>
      </w:r>
    </w:p>
    <w:p>
      <w:pPr>
        <w:spacing w:after="0" w:line="17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or our licensors may need the cooperation of any such co-owners of our owned and in-licensed patents in order to enforce such patents against third parties, and such cooperation may not be provided to us or our licensors. Any of the foregoing could have a material adverse effect on our competitive position, business, financial conditions, results of operations and prospects.</w:t>
      </w:r>
    </w:p>
    <w:p>
      <w:pPr>
        <w:spacing w:after="0" w:line="291"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efforts to protect the proprietary nature of the intellectual property related to our product candidates are not adequate, we may not be able to compete effectively in our market.</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rely upon a combination of patents, confidentiality agreements, trade secret protection and license agreements to protect the intellectual property related to our product candidates. Any disclosure to or misappropriation by third parties of our confidential proprietary information could enable competitors to quickly duplicate or surpass our technological achievements, thus eroding our competitive position in our market. We, or any partners, collaborators, or licensors,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or our licensors’ patents or patent applications may exist, or may arise in the future, for example with respect to proper priority claims, inventorship, claim scope, or requests for patent term adjustments. If we or our partners, collaborators, or licensors fail to establish, maintain or protect such patents and other intellectual property rights, such rights may be reduced or eliminated. If our partners, collaborators,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8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We anticipate additional patent applications will be filed both in the United States and in other countries, as appropriate. However, we cannot predict:</w:t>
      </w:r>
    </w:p>
    <w:p>
      <w:pPr>
        <w:spacing w:after="0" w:line="54"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additional patent applications covering new technologies related to our product candidates will be filed;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range of protection any issued patents will afford us against competitors, including whether third parties will find ways to invalidate or otherwise circumvent our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intellectual property will provide any competitive advantage;</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patents that may be issued may be challenged, invalidated, modified, revoked, circumvented, found to be unenforceable or otherwise may not provide any competitive advantage;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or our licensors’ patents and patent applications; or</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or our licensors will need to initiate or defend litigation or administrative proceedings which may be costly regardless of whether we or our licensors win or lose.</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Additionally, we cannot be certain that the claims in our pending patent applications covering our product candidates and their methods of use will be considered patentable by the USPTO, or by patent offices in foreign countries, or that the claims in any of our issued patents will be considered valid or patentable by courts in the United States or foreign countries. Method of use patents protect the use of a product for the specified method. These types of patents do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but not necessarily, contribute to a finding of infringement of method of use patents, the practice is common and such infringement is difficult to prevent or prosecute.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cannot be certain that an allowed patent application will become an issued patent because there may be events that cause withdrawal of the allowance of a patent application. For example, after a patent application has been allowed, but prior to being issued, material that could be relevant to patentability may be identified. In such circumstances, the applicant may pull the application from allowance in order for the USPTO to review the application in view of the new material. We cannot be certain that the USPTO will issue the application in view of the new material. Periodic maintenance fees on any issued patent are due to be paid to the USPTO and foreign countries may require the payment of maintenance fees or patent annuities during the lifetime of a patent application and/or any subsequent patent that issues from the application. The USPTO and various foreign governmental patent agencies require compliance with a number of procedural, documentary, fee payment and other similar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Such noncompliance can result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Such an event could have a material adverse effect on our business.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If we or one of our licensing partners initiate legal proceedings against a third party to enforce a patent covering our product candidates, the defendant could counterclaim that the patent covering our product candidates, as applicable, is invalid and/or unenforceable. In patent litigation in the United States, defendant counterclaims alleging invalidity and/or unenforceability are commonplace, and there are various grounds upon which a third party can assert invalidity or unenforceability of a patent.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equivalent proceedings in foreign jurisdictions (such as opposition proceedings). Such proceedings could result in revocation or amendment to our or our licensors’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our licensors and the patent examiner were unaware during prosecution. If a defendant were to prevail on a legal assertion of invalidity and/or unenforceability, or if we are otherwise unable to adequately protect our or our licensors’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294"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 in the United States and in foreign jurisdictions could diminish the value of patents in general, thereby impairing our ability to protect our product candidates.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biopharmaceutical companies, our success is heavily dependent on intellectual property, particularly patents. Obtaining and enforcing patents in the biotechnology and biopharmaceutical industry involves both technological and legal complexity, and is therefore costly, time-consuming and inherently uncertain. Obtaining and enforcing patents in the biotechnology and biopharmaceutical industry involve both technological and legal complexity and is therefore costly, time-consuming and inherently uncertain. Recent patent reform legislation in the U.S. and other countries, including the Leahy-Smith America Invents Act (the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9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Moreover, recent U.S. Supreme Court rulings have narrowed the scope of patent protection available in certain circumstances and weakened the rights of patent owners in certain situations. In addition to increasing uncertainty with regard to our or our licensors’ ability to obtain patents in the future, this combination of events has created uncertainty with respect to the value of patents, once obtained. Depending on decisions by the U.S. Congress, the federal courts, and the USPTO, the laws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5" w:name="page86"/>
    <w:bookmarkEnd w:id="85"/>
    <w:p>
      <w:pPr>
        <w:ind w:right="20"/>
        <w:spacing w:after="0" w:line="258" w:lineRule="auto"/>
        <w:rPr>
          <w:sz w:val="20"/>
          <w:szCs w:val="20"/>
          <w:color w:val="auto"/>
        </w:rPr>
      </w:pPr>
      <w:r>
        <w:rPr>
          <w:rFonts w:ascii="Times New Roman" w:cs="Times New Roman" w:eastAsia="Times New Roman" w:hAnsi="Times New Roman"/>
          <w:sz w:val="18"/>
          <w:szCs w:val="18"/>
          <w:color w:val="auto"/>
        </w:rPr>
        <w:t>regulations governing patents could change in unpredictable ways that would weaken our or our licensors’ ability to obtain new patents or to enforce our or our licensors’ existing patents and patents that we or our licensors might obtain in the future. We cannot predict how future decisions by the courts, Congress or the USPTO may impact the value of our or our licensors’ patents. Similarly, any adverse changes in the patent laws of other jurisdictions could have a material adverse effect on our business and financial condition. Changes in the laws and regulations governing patents in other jurisdictions could similarly have an adverse effect on our ability to obtain and effectively enforce our patent rights.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not be able to pursue patent coverage of our product candidates in certain countries outside of the United States. Filing, prosecuting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The breadth and strength of our or our licensors’ patents issued in foreign jurisdictions or regions may not be the same as the corresponding patents issued in the United States. Consequently, we may not be able to prevent third parties from practicing our or our licensors’ inventions in all countries outside the United States, or from selling or importing products made using our or our licensors’ inventions in and into the United States or other jurisdictions. Competitors may use our technologies in jurisdictions where we have not obtained patent protection to develop their own products and further, may export otherwise infringing products to certain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protections, particularly those relating to biotechnology and biopharmaceutical products. This difficulty with enforcing patents could make it difficult for us to stop the infringement of our or our licensors’ patents or marketing of competing products otherwise generally in violation of our proprietary rights. Proceedings to enforce our patent rights in foreign jurisdictions could result in substantial costs and divert our efforts and attention from other aspects of our business, could put our or our licensors’ patents at risk of being invalidated or interpreted narrowly, put our or our licensors’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of our current product candidates, our business may be materially harmed.</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our current product candidates, one or more of our or our licensors’ U.S. patents may be eligible for limited patent term extension under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for a patent extension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believe we are entitled to, our competitors may obtain approval of competing products sooner than we would expect, and our business, financial condition, results of operations, and prospects could be materially harmed.</w:t>
      </w:r>
    </w:p>
    <w:p>
      <w:pPr>
        <w:spacing w:after="0" w:line="298"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or otherwise misappropriating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commercialize, develop, manufacture, market, and sell our product candidates without infringing the proprietary rights of third parties. We have yet to conduct comprehensive freedom to operate searches to determine whether we would infringe patents issued to third parties. We may become party to, or threatened with, future adversarial proceedings or litigation regarding intellectual property rights with respect to our product candidates, including interference proceedings before the USPTO. Third parties may assert infringement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ind w:right="140"/>
        <w:spacing w:after="0" w:line="255" w:lineRule="auto"/>
        <w:rPr>
          <w:sz w:val="20"/>
          <w:szCs w:val="20"/>
          <w:color w:val="auto"/>
        </w:rPr>
      </w:pPr>
      <w:r>
        <w:rPr>
          <w:rFonts w:ascii="Times New Roman" w:cs="Times New Roman" w:eastAsia="Times New Roman" w:hAnsi="Times New Roman"/>
          <w:sz w:val="18"/>
          <w:szCs w:val="18"/>
          <w:color w:val="auto"/>
        </w:rPr>
        <w:t>claims against us based on existing patents or patents that may be granted in the future. If we are found to infringe a third party’s intellectual property rights, we could be required to obtain a license from such third party to continue developing and marketing our product candidates.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product. In addition, we could be found liable for monetary damages.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third party alleges that we infringe its intellectual property rights, we may face a number of issues, including, but not limited to:</w:t>
      </w:r>
    </w:p>
    <w:p>
      <w:pPr>
        <w:spacing w:after="0" w:line="117" w:lineRule="exact"/>
        <w:rPr>
          <w:sz w:val="20"/>
          <w:szCs w:val="20"/>
          <w:color w:val="auto"/>
        </w:rPr>
      </w:pPr>
    </w:p>
    <w:p>
      <w:pPr>
        <w:ind w:left="1020" w:right="24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misappropriation which, regardless of merit, may be expensive and time-consuming to litigate and may divert our management’s attention from our core business;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or misappropriation, which we may have to pay if a court decides that the product or technology at issue infringes on or violates the third-party’s rights, and, if the court finds we have willfully infringed intellectual property rights,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injunction prohibiting us from manufacturing, marketing or selling our product candidates, or from using our proprietary technologies, unless the third party agrees to license its patent rights to us;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 license is available from a third party, we may have to pay substantial royalties, upfront fees and other amounts, and/or grant cross-licenses to intellectual property rights protecting our product candidates; and</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try to redesign our product candidates or processes so they do not infringe third-party intellectual property rights, an undertaking which may not be possible or which may require substantial monetary expenditures and time.</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There may be currently pending patent applications which may later result in issued patents that may be infringed by our product candidates. Moreover, we may fail to identify relevant patents or incorrectly conclude that a patent is invalid, not enforceable, exhausted, or not infringed by our activities. If any third-party patents, held now or obtained in the future by a third party, were found by a court of competent jurisdiction to cover the manufacturing process of our product candidates, constructs or molecules used in or formed during the manufacturing process, or any final product or methods use of the product, the holders of any such patents may be able to block our ability to commercialize the product unless we obtained a license under the applicable patents, or until such patents expire or they are finally determined to be held invalid or unenforceable. Similarly, if any third-party patent were held by a court of competent jurisdiction to cover any aspect of our formulations, any combination therapies or patient selection methods, the holders of any such patent may be able to block our ability to develop and commercialize the product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our product candidates.</w:t>
      </w:r>
    </w:p>
    <w:p>
      <w:pPr>
        <w:spacing w:after="0" w:line="193"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against us, we may have to pay substantial damages, including treble damages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spacing w:after="0" w:line="256" w:lineRule="auto"/>
        <w:rPr>
          <w:sz w:val="20"/>
          <w:szCs w:val="20"/>
          <w:color w:val="auto"/>
        </w:rPr>
      </w:pPr>
      <w:r>
        <w:rPr>
          <w:rFonts w:ascii="Times New Roman" w:cs="Times New Roman" w:eastAsia="Times New Roman" w:hAnsi="Times New Roman"/>
          <w:sz w:val="18"/>
          <w:szCs w:val="18"/>
          <w:color w:val="auto"/>
        </w:rPr>
        <w:t>attorneys’ fees for willful infringement, obtain one or more licenses from third parties, pay royalties or redesign our infringing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which could be expensive, time consuming, and unsuccessful.</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 consuming.</w:t>
      </w:r>
    </w:p>
    <w:p>
      <w:pPr>
        <w:spacing w:after="0" w:line="16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in an infringement proceeding, a court may decide that a patent of ours or our licensors’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and could put our patent applications at risk of not issuing. Defense against these assertions, non-infringement, invalidity or unenforceability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brought to determine the validity or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or post-grant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those within the United States.</w:t>
      </w:r>
    </w:p>
    <w:p>
      <w:pPr>
        <w:spacing w:after="0" w:line="18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our licensors may have rights to file and prosecute such claims, and we are reliant on them.</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dispute could be expensive and time-consuming. If we were unsuccessful, we could lose valuable rights in intellectual property that we regard as our own.</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seeking patents for some of our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If we are unable to prevent unauthorized material disclosure of our intellectual property to third parties, we may not be able to establish or maintain a competitive advantage in our market, which could materially adversely affect our business, operating results and financial condition. If we choose to go to court to stop a third party from using any of our trade secrets, we may incur substantial costs. These lawsuits may consume our time and other resources even if we are successful. In addition, some courts inside and outside the United States are less willing or unwilling to protect trade secrets. As a result, we may encounter significant problems in protecting and defending our intellectual property both in the United States and abroad.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301"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wrongfully hired an employee from a competitor or that our employees have misappropriated intellectual property, including trade secrets of their former employers.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of our employees were previously employed at, or may have previously provided or may be currently providing consulting services to, universities or other biotechnology or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do not use the proprietary information or know how of others in their work for us, we may be subject to claims that we caused an employee to breach the terms of his or her non-competition or non-solicitation agreement, or that we or these employees have, inadvertently or otherwise, used or disclosed intellectual property, including trade secrets or other proprietary information, of any such employee’s former employer or competitor.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92"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patents and patent applications could be challenged in the recently created Unified Patent Court for the European Union.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or our licensors’ European patents and patent applications could be challenged in the recently created Unified Patent Court (“UPC”) for the European Union. We may decide to opt out our European patents and patent applications from the UPC. However, if certain formalities and requirements are not met, our European patents and patent applications could be challenged</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89" w:name="page90"/>
    <w:bookmarkEnd w:id="89"/>
    <w:p>
      <w:pPr>
        <w:ind w:right="20"/>
        <w:spacing w:after="0" w:line="255" w:lineRule="auto"/>
        <w:rPr>
          <w:sz w:val="20"/>
          <w:szCs w:val="20"/>
          <w:color w:val="auto"/>
        </w:rPr>
      </w:pPr>
      <w:r>
        <w:rPr>
          <w:rFonts w:ascii="Times New Roman" w:cs="Times New Roman" w:eastAsia="Times New Roman" w:hAnsi="Times New Roman"/>
          <w:sz w:val="18"/>
          <w:szCs w:val="18"/>
          <w:color w:val="auto"/>
        </w:rPr>
        <w:t>for non-compliance and brought under the jurisdiction of the UPC. We cannot be certain that our or our licensors’ European patents and patent applications will avoid falling under the jurisdiction of the UPC, if we decide to opt out of the UPC. Under the UPC, a granted European patent would be valid and enforceable in numerous European countries. A successful invalidity challenge to a European patent under the UPC would result in loss of patent protection in those European countries. Accordingly, a single proceeding under the UPC could result in the partial or complete loss of patent protection in numerous European countries, rather than in each validated European country separately as such patents always have been adjudicated. Such a loss of patent protection could have a material adverse impact on our business and our ability to commercialize our technology and product candidates and, resultantly, on our business, financial condition, prospects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An active or liquid market in our common stock may not be sustained. The lack of an active market may impair the value of our stockholders’ shares, and our stockholders’ ability to sell their shares at the desired time and price. An inactive market may also impair our ability to raise capital by selling our common stock and our ability to enter into strategic collaborations or acquire other companies, products, or technologies by using our common stock as consideration.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which could result in substantial losses for our stockholders.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volatile and could be subject to wide fluctuations in response to various factors, some of which are beyond our control, including limited trading volume. In addition to the factors discussed in this section, these factors include:</w:t>
      </w:r>
    </w:p>
    <w:p>
      <w:pPr>
        <w:spacing w:after="0" w:line="54"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completion or results of our current or future preclinical and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identifying and advancing a clinical candidate for our other programs;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suspensions or terminations in future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 or the failure of a regulatory authority to accept data from preclinical studies or clinical trials conducted in other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 candidates, including but not limited to clinical trial requirements for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any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0" w:name="page91"/>
    <w:bookmarkEnd w:id="90"/>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product candidates in particular,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reputational harm and a diversion of management’s attention and resources.</w:t>
      </w:r>
    </w:p>
    <w:p>
      <w:pPr>
        <w:spacing w:after="0" w:line="287"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5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due to a variety of factors, many of which are outside of our control and may be difficult to predict, including:</w:t>
      </w:r>
    </w:p>
    <w:p>
      <w:pPr>
        <w:spacing w:after="0" w:line="54" w:lineRule="exact"/>
        <w:rPr>
          <w:sz w:val="20"/>
          <w:szCs w:val="20"/>
          <w:color w:val="auto"/>
        </w:rPr>
      </w:pPr>
    </w:p>
    <w:p>
      <w:pPr>
        <w:ind w:left="10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if approved, commercialization activities relating to our current and future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clinical trials;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as well as building out our supply chain, which may vary depending on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any milestone, royalty or other payments due under any collaboration or license agreement, including the Janssen 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approvals for our product candidates from regulatory authorities in the United States 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 candidates, if approved, and potential future drugs that compete with our products;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1" w:name="page92"/>
    <w:bookmarkEnd w:id="91"/>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candidates, if approved, which may vary significantly over time.</w:t>
      </w:r>
    </w:p>
    <w:p>
      <w:pPr>
        <w:spacing w:after="0" w:line="22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84" w:lineRule="exact"/>
        <w:rPr>
          <w:sz w:val="20"/>
          <w:szCs w:val="20"/>
          <w:color w:val="auto"/>
        </w:rPr>
      </w:pPr>
    </w:p>
    <w:p>
      <w:pPr>
        <w:ind w:right="3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inaccurate or unfavorable research about our business, our stock price and trading volume could decline.</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Similarly, if one or more of these analysts ceases coverage of our company or fails to publish reports on us regularly, demand for our stock could decrease, which might cause our stock price and trading volume to decline.</w:t>
      </w:r>
    </w:p>
    <w:p>
      <w:pPr>
        <w:spacing w:after="0" w:line="284"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respective affiliates own a significant percentage of our common stock and have the ability to exert significant control over matters subject to stockholder approval.</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executive officers, directors, holders of 5% or more of our capital stock and their respective affiliates collectively own a significant percentage of our outstanding common stock. As a result, these stockholders, if acting together,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In addition, certain of our principal stockholders, including Third Rock Ventures V, L.P. and ARCH Venture Fund XII, L.P., have designated certain members of our board of directors. The interests of these stockholders may not be the same as or may even conflict with the interests of our other stockholders.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common stock price to fall.</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Our common stock price could decline as a result of sales of a large number of shares of common stock or the perception that these sales could occur, which might also make it more difficult for us to sell equity securities in the future at a time and price that we deem appropriate.</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we had 47,772,567 shares of common stock outstanding. Shares of unvested restricted common stock will become available for sale immediately upon the vesting of such shares, as applicable. All shares of common stock sold in our IPO or otherwise outstanding as of our IPO are able to be sold in the public market. Shares issued upon the exercise of stock options pursuant to future awards that may be granted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Certain holders of our common stock have rights, subject to some conditions, to require us to file registration statements covering the sale of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 agreements between us and such holders. We have registered the offer and sale of all shares of common stock that we may issue under our equity compensation plans, and those shares are available for sale in the open market, unless such shares are subject to vesting restrictions with us or lock-up restrictions. Once we register the offer and sale of shares for the holders of registration rights, they can be freely sold in the public market upon issuance, subject to the lock-up agreements.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2" w:name="page93"/>
    <w:bookmarkEnd w:id="92"/>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280"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For example, in September 2025, we completed an underwritten public offering of 11,057,692 shares of common stock at a public offering price of $26.00 per share, which included full exercise of the underwriters’ option to purchase additional shares. Additionally, as of December 31, 2025, 8,878,968 shares of our common stock were reserved for issuance upon exercise of outstanding stock options, vested restricted stock units and performance based stock units.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96"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5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84"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and our amended and restated bylaws contain provisions that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not less than two-thirds of the votes that all our stockholders would be entitled to cast to amend or repeal specified provisions of our third amended and restated certificate of incorporation or amended and restated bylaws.</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(the “DGCL”), which prohibits a person who owns in excess of 15% of our outstanding voting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3" w:name="page94"/>
    <w:bookmarkEnd w:id="93"/>
    <w:p>
      <w:pPr>
        <w:ind w:right="600"/>
        <w:spacing w:after="0" w:line="282" w:lineRule="auto"/>
        <w:rPr>
          <w:sz w:val="20"/>
          <w:szCs w:val="20"/>
          <w:color w:val="auto"/>
        </w:rPr>
      </w:pPr>
      <w:r>
        <w:rPr>
          <w:rFonts w:ascii="Times New Roman" w:cs="Times New Roman" w:eastAsia="Times New Roman" w:hAnsi="Times New Roman"/>
          <w:sz w:val="18"/>
          <w:szCs w:val="18"/>
          <w:color w:val="auto"/>
        </w:rPr>
        <w:t>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66"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w:t>
      </w:r>
    </w:p>
    <w:p>
      <w:pPr>
        <w:spacing w:after="0" w:line="1" w:lineRule="exact"/>
        <w:rPr>
          <w:sz w:val="20"/>
          <w:szCs w:val="20"/>
          <w:color w:val="auto"/>
        </w:rPr>
      </w:pPr>
    </w:p>
    <w:p>
      <w:pPr>
        <w:ind w:right="40" w:firstLine="8"/>
        <w:spacing w:after="0" w:line="251" w:lineRule="auto"/>
        <w:tabs>
          <w:tab w:leader="none" w:pos="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Delaware General Corporation Law, our third amended and restated certificate of incorporation or our amended and restated bylaws (including the interpretation, validity or enforceability thereof) or (iv) any action asserting a claim that is governed by the internal affairs doctrine (the “Delaware Forum Provision”). The Delaware Forum Provision does not apply to any causes of action arising under the Securities Act or the Securities Exchange Act of 1934, as amended (the “Exchange Act”). Our amended and restated bylaws further provide that, unless we consent in writing to the selection of an alternative forum, the federal district courts of the U.S. shall be the sole and exclusive forum for resolving any complaint asserting a cause or causes of action arising under the Securities Act or the Exchange Act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19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 state courts have upheld the validity of federal forum selection provisions purporting to require claims under the Securities Act or Exchange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continue to satisfy the listing requirements of The Nasdaq Stock Market (“Nasdaq”).</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must meet certain financial and liquidity criteria to maintain our common stock’s listing on Nasdaq.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our stockholders’ investment.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General Risks</w:t>
      </w:r>
    </w:p>
    <w:p>
      <w:pPr>
        <w:spacing w:after="0" w:line="117" w:lineRule="exact"/>
        <w:rPr>
          <w:sz w:val="20"/>
          <w:szCs w:val="20"/>
          <w:color w:val="auto"/>
        </w:rPr>
      </w:pPr>
    </w:p>
    <w:p>
      <w:pPr>
        <w:ind w:right="1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political instability and geopolitical events could adversely affect our business, financial condition, stock price and results of operations.</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business could be adversely affected by unstable economic and political conditions within the United States and foreign jurisdictions, including as a result of an economic downturn and geopolitical events, such as changes in the U.S. federal policy that affect the geopolitical landscape. The global credit and financial markets have also generally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There can be no assurance that further deterioration in credit and financial markets and confidence in economic conditions will not occur. A severe or prolonged economic downturn could result in a variety of risks to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including a decrease in the demand for our drug candidates and in our ability to raise additional capital when needed on acceptable terms, if at all.</w:t>
      </w:r>
    </w:p>
    <w:p>
      <w:pPr>
        <w:spacing w:after="0" w:line="11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financial markets and the global economy may also be adversely affected by the current or anticipated impact of political uncertainty, including military conflicts, such as the ongoing conflicts between Russia and Ukraine, and Israel and Hamas, terrorism, or other geopolitical events. Sanctions imposed by the U.S.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Additionally, recent changes in U.S. policy have impacted and may in the future impact, among other things, the U.S. and global economy, international trade relations, unemployment, immigration, healthcare, taxation, the U.S. regulatory environment, inflation and other areas. For example, the implementation of tariffs by the U.S. government has led to increased trade disruptions and political tensions, between not only the U.S. and China, but also between the U.S. and other countries in the international community. In response to tariffs, other countries have implemented and may in the future implement additional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There has also been proposed U.S. legislation that may restrict the ability of U.S. biotechnology companies to purchase services or products from, or otherwise collaborate with, certain Chinese biotechnology companies of concern without losing the ability to contract with, or otherwise receive funding from, the U.S. government. We continue to assess the legislation as it develops to determine whether it could have an effect on our contractual relationships. Although we have taken steps to mitigate the impact of tariffs and trade restrictions on our operations, any changes in political, trade, regulatory and economic conditions, including U.S. trade policies, could have a material adverse effect on our business, financial condition and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6240145</wp:posOffset>
            </wp:positionH>
            <wp:positionV relativeFrom="paragraph">
              <wp:posOffset>-988695</wp:posOffset>
            </wp:positionV>
            <wp:extent cx="285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6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Furthermore, any disruptions to our supply chain as a result of unfavorable global economic conditions, including due to geopolitical conflicts or public health crises, could negatively impact the timely execution of our ongoing and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spacing w:after="0" w:line="287" w:lineRule="exact"/>
        <w:rPr>
          <w:sz w:val="20"/>
          <w:szCs w:val="20"/>
          <w:color w:val="auto"/>
        </w:rPr>
      </w:pPr>
    </w:p>
    <w:p>
      <w:pPr>
        <w:ind w:right="9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public health crises or other business interruptions and our business continuity and disaster recovery plans may not adequately protect us from a serious disaster.</w:t>
      </w:r>
    </w:p>
    <w:p>
      <w:pPr>
        <w:spacing w:after="0" w:line="51" w:lineRule="exact"/>
        <w:rPr>
          <w:sz w:val="20"/>
          <w:szCs w:val="20"/>
          <w:color w:val="auto"/>
        </w:rPr>
      </w:pPr>
    </w:p>
    <w:p>
      <w:pPr>
        <w:jc w:val="both"/>
        <w:ind w:right="520" w:firstLine="509"/>
        <w:spacing w:after="0" w:line="261" w:lineRule="auto"/>
        <w:rPr>
          <w:sz w:val="20"/>
          <w:szCs w:val="20"/>
          <w:color w:val="auto"/>
        </w:rPr>
      </w:pPr>
      <w:r>
        <w:rPr>
          <w:rFonts w:ascii="Times New Roman" w:cs="Times New Roman" w:eastAsia="Times New Roman" w:hAnsi="Times New Roman"/>
          <w:sz w:val="18"/>
          <w:szCs w:val="18"/>
          <w:color w:val="auto"/>
        </w:rPr>
        <w:t>Natural disasters or public health crises could severely disrupt our operations, and have a material adverse impact on our business, results of operations, financial condition, and prospects. If a natural disaster, power outage, public health crisis or other event occurred that prevented us from conducting our clinical trials, releasing clinical trial results or delaying our ability to obtain regulatory approval for our product candidates, it may be difficult or, in certain cases, impossible for us to continue our business for a substantial period of time.</w:t>
      </w:r>
    </w:p>
    <w:p>
      <w:pPr>
        <w:spacing w:after="0" w:line="284" w:lineRule="exact"/>
        <w:rPr>
          <w:sz w:val="20"/>
          <w:szCs w:val="20"/>
          <w:color w:val="auto"/>
        </w:rPr>
      </w:pPr>
    </w:p>
    <w:p>
      <w:pPr>
        <w:ind w:right="44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eligible to be treated as an “emerging growth company” and a “smaller reporting company” and our election of reduced reporting requirements applicable to emerging growth companies and smaller reporting companies may make our common stock less attractive to investors.</w:t>
      </w:r>
    </w:p>
    <w:p>
      <w:pPr>
        <w:spacing w:after="0" w:line="2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We could be an emerging growth company until as late as December 31, 2029, although circumstances could cause us to lose that status earlier, including if we are deemed to be a “large accelerated filer,” which occurs when the market value of our common stock that is held by non-affiliates exceeds $700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For so long as we remain an emerging growth company, we are permitted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5" w:name="page96"/>
    <w:bookmarkEnd w:id="95"/>
    <w:p>
      <w:pPr>
        <w:ind w:right="740"/>
        <w:spacing w:after="0" w:line="282" w:lineRule="auto"/>
        <w:rPr>
          <w:sz w:val="20"/>
          <w:szCs w:val="20"/>
          <w:color w:val="auto"/>
        </w:rPr>
      </w:pPr>
      <w:r>
        <w:rPr>
          <w:rFonts w:ascii="Times New Roman" w:cs="Times New Roman" w:eastAsia="Times New Roman" w:hAnsi="Times New Roman"/>
          <w:sz w:val="18"/>
          <w:szCs w:val="18"/>
          <w:color w:val="auto"/>
        </w:rPr>
        <w:t>and intend to rely on exemptions from certain disclosure requirements that are applicable to other public companies that are not emerging growth companies. These exemptions include:</w:t>
      </w:r>
    </w:p>
    <w:p>
      <w:pPr>
        <w:spacing w:after="0" w:line="54"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w:t>
      </w:r>
    </w:p>
    <w:p>
      <w:pPr>
        <w:spacing w:after="0" w:line="117" w:lineRule="exact"/>
        <w:rPr>
          <w:rFonts w:ascii="Times New Roman" w:cs="Times New Roman" w:eastAsia="Times New Roman" w:hAnsi="Times New Roman"/>
          <w:sz w:val="18"/>
          <w:szCs w:val="18"/>
          <w:color w:val="auto"/>
        </w:rPr>
      </w:pPr>
    </w:p>
    <w:p>
      <w:pPr>
        <w:ind w:left="1020" w:right="880" w:hanging="503"/>
        <w:spacing w:after="0" w:line="312" w:lineRule="auto"/>
        <w:tabs>
          <w:tab w:leader="none" w:pos="10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only two years of audited financial statements in addition to any required unaudited interim financial statements and a correspondingly reduced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disclosure;</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could still qualify as a “smaller reporting company,” which would allow us to take advantage of many of the same exemptions from disclosure requirements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are not subject to the same requirements to adopt new or revised accounting standards as other public companies that are not emerging growth companies.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spacing w:after="0" w:line="287"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is required to devote substantial time to new compliance initiatives and corporate governance practices.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The Nasdaq Global Market to implement provisions of the Sarbanes-Oxley Act, impose significant requirements, including requiring establishment and maintenance of effective disclosure and financial reporting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after completion of a company’s IPO.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rules and regulations applicable to public companies have substantially increased, and will continue to increase, our legal and financial compliance costs and to make some activities more time-consuming and costly. If these requirements divert the attention of our management and personnel from other business concerns, they could have an adverse effect on our business. These increased costs will continue to decrease our net income or increase our net loss, and may require us to reduce costs in other areas of our business or increase the prices of our products or services. For example, these rules and regulations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6" w:name="page97"/>
    <w:bookmarkEnd w:id="96"/>
    <w:p>
      <w:pPr>
        <w:jc w:val="both"/>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have begun the process of documenting, reviewing and improving our internal controls and procedures for compliance with Section 404 of the Sarbanes-Oxley Act, which requires an annual management assessment of the effectiveness of our internal control over financial reporting.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remain an emerging growth company until as late as December 31, 2029.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had approximately $46.1 million of federal net operating losses (“NOLs”). Federal NOLs generated in taxable years beginning after December 31, 2017, may be carried forward indefinitely, but the deductibility of such federal NOL carryforwards in a taxable year is limited to 80% of our taxable income in such year. As of December 31, 2025, we had approximately $15.1 million of state NOLs. Of the state NOLs, some are of indefinite life, but most expire at various dates, beginning in 2043. As of December 31, 2025, we had approximately $8.0 million of federal research and development tax credit carryforwards. Federal tax credit carryforwards expire at various dates, beginning in 2042. As of December 31, 2025, we had approximately $3.2 million of state research and development tax credit carryforwards. The state tax credits, which have various carryforward rules, begin to expire in 2037. Our ability to use these NOLs and tax credit carryforwards to offset future tax liabilities depends on the successful development of our product candidates and future financial performance.</w:t>
      </w:r>
    </w:p>
    <w:p>
      <w:pPr>
        <w:spacing w:after="0" w:line="19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7" w:name="page98"/>
    <w:bookmarkEnd w:id="97"/>
    <w:p>
      <w:pPr>
        <w:ind w:right="60"/>
        <w:spacing w:after="0" w:line="258" w:lineRule="auto"/>
        <w:rPr>
          <w:sz w:val="20"/>
          <w:szCs w:val="20"/>
          <w:color w:val="auto"/>
        </w:rPr>
      </w:pPr>
      <w:r>
        <w:rPr>
          <w:rFonts w:ascii="Times New Roman" w:cs="Times New Roman" w:eastAsia="Times New Roman" w:hAnsi="Times New Roman"/>
          <w:sz w:val="18"/>
          <w:szCs w:val="18"/>
          <w:color w:val="auto"/>
        </w:rPr>
        <w:t>rate (subject to certain adjustments). We may have experienced ownership changes in the past and may experience ownership changes in the future. There is also a risk that due to regulatory changes, such as suspensions on the use of NOLs by federal or state taxing authorities or other unforeseen reasons, portions of our existing NOLs could expire or otherwise be unavailable to reduce future income tax liabilities. As a result, our ability to use our pre-change NOLs and tax credits to offset future taxable income, if any, or taxes could be subject to limitations. Similar provisions of state tax law may also apply. As a result, even if we attain profitability, we may be unable to use a material portion of our NOLs and tax credits.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U.S. federal, state, local and foreign tax laws, regulations and administrative guidance are subject to change as a result of the legislative process and review and interpretation by the U.S. Internal Revenue Service, the U.S. Treasury Department and other taxing authorities. For example, the OBBBA was signed into law on July 4, 2025 and made significant changes to U.S. federal tax law. Changes to tax laws (which changes may have retroactive application), including with respect to net operating losses and research and development tax credits, could adversely affect us or holders of our common stock. For example, under Section 174 of the Code, in taxable years beginning after December 31, 2021, expenses that are incurred for research and development performed outside the U.S. will be capitalized and amortized, which may have an adverse effect on cash flow by deferring the timing of tax deductions and potentially increasing taxable income and cash taxes payable in periods in which we generate taxable income.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97"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clinical trials, and we will face an even greater risk if we commercially sell any products that we develop. While we currently have no products that have been approved for commercial sale, the ongoing, planned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9"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Although we currently hold clinical trial liability insurance, we will need to obtain and maintain additional insurance coverage as we expand our clinical trials or if we commence commercialization of our product candidates. Insurance coverage is increasingly expensive. We may not be able to obtain and maintain insurance coverage at a reasonable cost or in an amount adequate to satisfy any liability that may arise. If a successful clinical trial or product liability claim or series of claims is brought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8" w:name="page99"/>
    <w:bookmarkEnd w:id="98"/>
    <w:p>
      <w:pPr>
        <w:ind w:right="40"/>
        <w:spacing w:after="0" w:line="282" w:lineRule="auto"/>
        <w:rPr>
          <w:sz w:val="20"/>
          <w:szCs w:val="20"/>
          <w:color w:val="auto"/>
        </w:rPr>
      </w:pPr>
      <w:r>
        <w:rPr>
          <w:rFonts w:ascii="Times New Roman" w:cs="Times New Roman" w:eastAsia="Times New Roman" w:hAnsi="Times New Roman"/>
          <w:sz w:val="18"/>
          <w:szCs w:val="18"/>
          <w:color w:val="auto"/>
        </w:rPr>
        <w:t>against us for uninsured liabilities or in excess of insured liabilities, our assets may not be sufficient to cover such claims and our business operations could be impaired.</w:t>
      </w:r>
    </w:p>
    <w:p>
      <w:pPr>
        <w:spacing w:after="0" w:line="266"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could divert management’s attention and harm our business, and insurance coverage may not be sufficient to cover all costs and damages.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In the past, securities class action litigation has often followed certain significant business transactions, such as the sale of a company or announcement of any other strategic transaction, the announcement of negative events, such as negative results from clinical trials, or periods of volatility in the market price of a company’s securities.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implemented cybersecurity risk management processes aligned with our risk profile and business size to identify, assess, and mitigate risks from current and emerging cybersecurity threats. These processes, informed by the National Institute of Standards and Technology Cybersecurity Framework (“NIST CSF”), are supported by a third-party Managed Service Provider (“MSP”) that assists us in managing our information technology systems.</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multi-layered approach to cybersecurity includes, but is not limited to, employee security awareness training, phishing simulations, incident response planning, and the use of various cybersecurity tools and technologies. We leverage third-party information technology and security providers for system scans and threat intelligence analysis. In addition, we have conducted a cybersecurity risk assessment designed to reflect the evolving cyber threat landscape and industry best practices, and we continue to adapt our cyber strategy to mitigate emerging risks.</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maintain a risk-based process to assess and review the cybersecurity practices of our third-party vendors, as appropriate, based on their level of access to critical operations, IT systems, and personally identifiable information.</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To date, we have not identified any cybersecurity incidents or threats that have materially affected us or are reasonably likely to materially affect us, including our business strategy, results of operations, or financial condition. However, like other companies in our industry, we and certain of our third-party vendors have occasionally experienced threats and cybersecurity incidents involving our information technology systems and infrastructure. Our third-party vendors may also encounter such threats and cybersecurity incidents from time to time. For more information, please refer to Item 1A, “Risk Factors,” in this Annual Report on Form 10-K.</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Management is responsible for identifying, evaluating, and assessing material business risks, including risks related to cybersecurity, on an ongoing basis. Our Chief Information Officer (“CIO”) oversees our overall IT strategy and operations, including the strategic direction of our cybersecurity program, cybersecurity risk oversight, and monitoring of prevention, detection, mitigation, and remediation of cybersecurity incidents. Our CIO brings over 10 years of experience in information security.</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has delegated oversight of our cybersecurity risk management program to our Audit Committee, as outlined in the Audit Committee Charter. Our CIO provides quarterly updates to the Audit Committee on cybersecurity risks and delivers an annual enterprise risk management update, which includes updates on plans intended to enhance our overall cybersecurity posture. The Audit Committee, in turn, updates the full Board of Directors on cybersecurity risk management matters as needed.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Boston, Massachusetts, where we lease and occupy 15,275 square feet of office space. Our Boston lease expires in November 2031.</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lease and occupy 20,626 square feet of office and laboratory space in San Diego, California. Our San Diego lease will expire in December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2029.</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believe our current and future facilities in Boston and San Diego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cash flows and prospects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publicly traded on the Nasdaq Global Market under the symbol “RAPP” since June 7, 2024. Prior to this date, there was no public market for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March 2, 2026, there were approximately 37 holders of record of shares of our common stock. This number does not include stockholders for whom shares are held in “nominee” or “street”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do not anticipate declaring or paying, in the foreseeable future, any cash dividends on our capital stock. We intend to retain all available funds and future earnings, if any, to fund the development and expansion of our business.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Part III, Item 12 of this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 and Concurrent Private Placement</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June 6, 2024, our Registration Statement on Form S-1 (No. 333-279486) relating to our IPO was declared effective by the U.S. Securities and Exchange Commission (the “SEC”). Concurrently with the IPO, we also completed a private placement in which we issued and sold an aggregate of 1,058,824 shares of our common stock at the IPO price. We intend to use the remaining proceeds from our IPO and concurrent private placement primarily to fund research and development and clinical development to support the advancement of current or future product candidates and the expansion of our research and development programs, and the remainder for working capital, capital expenditures and other general corporate purposes.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in conjunction with our consolidated financial statements and related notes and other financial information included elsewhere in this Annual Report on Form 10-K (this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This discussion and analysis and other parts of this Annual Report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18"/>
          <w:szCs w:val="18"/>
          <w:i w:val="1"/>
          <w:iCs w:val="1"/>
          <w:color w:val="auto"/>
        </w:rPr>
        <w:t>” and elsewhere in this Annual Report. You should carefully read the “Risk Factors” section of this Annual Report to gain an understanding of the important factors that could cause actual results to differ materially from our forward-looking statements. Please also see “Special Note Regarding Forward-Looking Statements.” Our historical results are not necessarily indicative of the results that may be expected for any period in the future.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dedicated to the discovery and development of small molecule precision medicines for patients with neurological or psychiatric disorders. Our foundational science has elucidated complexities of neuronal receptor biology and enables us to map and target certain neuronal receptor complexes. Neuronal receptors are complex assemblies of proteins, comprising receptor principal subunits and their receptor associated proteins (“RAPs”), the latter of which play crucial roles in regulating receptor expression and function. We believe that our deep expertise in RAP biology provides an opportunity for us to interrogate previously inaccessible targets and develop neurological and psychiatric drugs that are specific for receptor variants and neuroanatomical regions associated with certain diseases. Most neuroactive drugs lack this specificity, often resulting in undesired and intolerable side effects. Leveraging our expertise, we are developing a portfolio of precision product candidates that we believe has the potential to transform the standard of care of many neurological and psychiatric disorders.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founders have made pioneering discoveries related to the function of RAPs in the brain. Their findings form the basis of our RAP technology platform, which enables a differentiated approach to generate precision small molecule product candidates with the potential to overcome many limitations of conventional neurology drug discovery. RAP-219, our most advanced product candidate, is an AMPA receptor (“AMPAR”) negative allosteric modulator (“NAM”). RAP-219 is designed to achieve neuroanatomical specificity through its selective targeting of a RAP known as TARP 8, which is associated with the neuronal AMPARs. Whereas AMPARs are distributed widely in the central nervous system (“CNS”), TARP 8 is expressed only in discrete regions, including the neocortex and mesial temporal lobe, where focal onset seizures (“FOS”) often originate. By contrast, TARP 8 has minimal expression in the hindbrain, where drug effects are often associated with adverse events. As such, we believe RAP-219 has the potential for a differentiated profile as compared to traditional neuroscience medications. Due to the role of AMPA biology in various neurological disorders and our precision approach of selectively targeting TARP 8, we believe RAP-219 has pipeline-in-a-product potential and we are evaluating it as a potentially transformational treatment for patients with FOS, primary generalized tonic-clonic seizures (“PGTCS”), and bipolar mania.</w:t>
      </w:r>
    </w:p>
    <w:p>
      <w:pPr>
        <w:spacing w:after="0" w:line="194"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Several Phase 1 trials in RAP-219 have been conducted in healthy adult volunteers, including a single ascending dose (“SAD”) trial; a multiple ascending dose (“MAD”) trial; a second MAD trial (“MAD-2”), to assess alternative dosing regimens that may accelerate time to reach therapeutic exposure; a positron emission tomography (“PET”) trial, which utilized a companion PET radiotracer to confirm brain target receptor occupancy (“RO”) and brain region specificity across a range of dosing and exposure levels.</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September 2025, we announced positive topline results from our Phase 2a proof-of-concept trial of RAP-219 in adult patients with drug-resistant FOS. The trial met its primary and secondary endpoints. The trial demonstrated a statistically significant reduction in long episodes—an objective electrographic biomarker for clinical seizure reduction—compared with baseline over the 8-week treatment period. In the trial, RAP-219 also demonstrated a statistically significant and clinically meaningful reduction in clinical seizures compared with baseline. RAP-219 was generally well tolerated. In December 2025, we presented post-hoc analysis from the Phase 2a proof-of-concept trial showing treatment with RAP-219 had consistent effects in the first and second four-week segments of the treatment period. This demonstrates that there was a rapid onset of efficacy, and a consistent reduction in long episodes, and a consistent, clinically meaningful reduction in clinical seizures throughout the 8-week treatment period. We expect to present 8-week follow-up results in the second quarter of 2026. In late 2025, we initiated an open-label long term safety trial to allow patients enrolled in our Phase 2a proof-of-concept FOS trial to resume taking RAP-219. Data from the open-label trial are expected in the second half of 2026. In December 2025, we received U.S. Food and Drug Administration (“FDA”) feedback from an end-of-phase 2 meeting supporting advancement into two Phase 3 trials of RAP-219 in patients with drug-resistant FOS and expect to initiate the Phase 3 program in FOS in the second quarter of 2026.</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2" w:name="page103"/>
    <w:bookmarkEnd w:id="102"/>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are also expanding our epilepsy portfolio into PGTCS, the most common type of generalized seizure and an important next step in addressing unmet need in patients with seizure disorders. With proof-of-concept established in FOS, we plan to initiate a Phase 3 trial in PGTCS in the first half of 2027.</w:t>
      </w:r>
    </w:p>
    <w:p>
      <w:pPr>
        <w:spacing w:after="0" w:line="17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believe RAP-219 also has therapeutic potential in bipolar disorder. Our Phase 2 proof-of-concept trial in bipolar mania is currently enrolling patients, with topline results expected in the first half of 2027.</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Additionally, we continue to develop a long-acting injectable (“LAI”) formulation of RAP-219. We believe an LAI formulation has the potential to improve patient adherence and expand the potential clinical utility across all of the RAP-219 indications. We have initiated IND-enabling activities to support a Phase 1 clinical study in healthy volunteers, with initial pharmacokinetics (“PK”) results expected in 2027.</w:t>
      </w:r>
    </w:p>
    <w:p>
      <w:pPr>
        <w:spacing w:after="0" w:line="176" w:lineRule="exact"/>
        <w:rPr>
          <w:sz w:val="20"/>
          <w:szCs w:val="20"/>
          <w:color w:val="auto"/>
        </w:rPr>
      </w:pPr>
    </w:p>
    <w:p>
      <w:pPr>
        <w:ind w:firstLine="554"/>
        <w:spacing w:after="0" w:line="254" w:lineRule="auto"/>
        <w:rPr>
          <w:sz w:val="20"/>
          <w:szCs w:val="20"/>
          <w:color w:val="auto"/>
        </w:rPr>
      </w:pPr>
      <w:r>
        <w:rPr>
          <w:rFonts w:ascii="Times New Roman" w:cs="Times New Roman" w:eastAsia="Times New Roman" w:hAnsi="Times New Roman"/>
          <w:sz w:val="18"/>
          <w:szCs w:val="18"/>
          <w:color w:val="auto"/>
        </w:rPr>
        <w:t>We also have two advanced discovery-stage nicotinic acetylcholine receptor (“nAChR”) programs stemming from our RAP technology platform. nAChRs have been clinically validated in patient-reported neuropathic pain and our first advanced discovery-stage nAChR program comprises agonists of the α6ß4 nAChR. α6ß4 nAChRs are selectively expressed in sensory neurons, while the α6 subunit has human genetic validation in chronic pain. We have initiated IND-enabling activities for our α6ß4 nAChR agonist development candidate, RAP-641, a genetically validated precision target that we are pursuing as a potential novel non-opiate, non-CNS approach for chronic pain and migraine. The second advanced discovery-stage nAChR program comprises modulators of the α9α10 nAChR. Third-party preclinical genetic data suggest that this nAChR could be an attractive target in treating hearing and vestibular disorders. We continue to leverage our RAP technology platform to discover additional product candidates that we believe have the potential to provide transformative benefits for large patient populations with neurological or psychiatric diseases.</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incurred significant operating losses in each year since our inception. Our ability to generate product revenue sufficient to achieve profitability will depend heavily on the successful development and eventual commercialization of any product candidates we may develop. Our net losses were $111.5 million and $78.3 million for the years ended December 31, 2025 and 2024, respectively. As of December 31, 2025, we had an accumulated deficit of $235.2 million. We expect our expenses and operating losses will increase substantially as we:</w:t>
      </w:r>
    </w:p>
    <w:p>
      <w:pPr>
        <w:spacing w:after="0" w:line="72" w:lineRule="exact"/>
        <w:rPr>
          <w:sz w:val="20"/>
          <w:szCs w:val="20"/>
          <w:color w:val="auto"/>
        </w:rPr>
      </w:pPr>
    </w:p>
    <w:p>
      <w:pPr>
        <w:ind w:left="1020" w:right="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our ongoing clinical trials of RAP-219, including advancement into late-stage global clinical trials, as well as initiate and complete additional clinical trials of future product candidates or current product candidates in new indications or patient populations;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preclinical studies and ongoing and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third parties to manufacture our potential future product candidates and related raw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early research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program candidates to expand our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clinical, commercial, and operational personnel;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and provide reimbursement of third-party expenses related to our patent portfolio;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potential future product candidates for which we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 candidates, intellectual property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collaborations;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therapies for which we may obtain regulatory approval;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being a public company, including audit, legal, regulatory, and tax-related services associated with maintaining compliance with an exchange listing and Securities Exchange Commission (“SEC”) requirements, director and officer insurance premiums and investor relations costs.</w:t>
      </w:r>
    </w:p>
    <w:p>
      <w:pPr>
        <w:spacing w:after="0" w:line="17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addition, we have several preclinical and clinical development, regulatory, and commercial milestone payment obligations under our licensing arrangements. Our net losses may fluctuate significantly from quarter-to-quarter and year-to-year, depending on the timing of our preclinical studies, clinical trials and our expenditures on other research and development activities.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3" w:name="page104"/>
    <w:bookmarkEnd w:id="103"/>
    <w:p>
      <w:pPr>
        <w:ind w:firstLine="509"/>
        <w:spacing w:after="0" w:line="253" w:lineRule="auto"/>
        <w:rPr>
          <w:sz w:val="20"/>
          <w:szCs w:val="20"/>
          <w:color w:val="auto"/>
        </w:rPr>
      </w:pPr>
      <w:r>
        <w:rPr>
          <w:rFonts w:ascii="Times New Roman" w:cs="Times New Roman" w:eastAsia="Times New Roman" w:hAnsi="Times New Roman"/>
          <w:sz w:val="18"/>
          <w:szCs w:val="18"/>
          <w:color w:val="auto"/>
        </w:rPr>
        <w:t>We do not expect to generate any revenue from product sales unless and until we successfully complete development and obtain regulatory approval for one or more of our potential future product candidates, which will not be for at least the next several years, if ever. If we obtain regulatory approval for any of our potential future product candidates, we expect to incur significant commercialization expenses related to product sales, marketing, manufacturing and distribution. Accordingly, until such time as we can generate significant revenue from sales of our potential future product candidates, if ever, we expect to finance our cash needs through equity offerings, debt financings or other capital sources, including potential collaborations, licenses and other similar arrangements. See the section titled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included elsewhere in this Annual Report.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potential future product candidates that we would otherwise prefer to develop and market ourselves.</w:t>
      </w:r>
    </w:p>
    <w:p>
      <w:pPr>
        <w:spacing w:after="0" w:line="19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short-term investments will enable us to fund our operating expenses and capital expenditure requirements into the second half of 2029. See the sections titled “</w:t>
      </w:r>
      <w:r>
        <w:rPr>
          <w:rFonts w:ascii="Times New Roman" w:cs="Times New Roman" w:eastAsia="Times New Roman" w:hAnsi="Times New Roman"/>
          <w:sz w:val="18"/>
          <w:szCs w:val="18"/>
          <w:i w:val="1"/>
          <w:iCs w:val="1"/>
          <w:color w:val="auto"/>
        </w:rPr>
        <w:t>—Liquidity and Capital Resources” and “Risk Factors—Risks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Limited Operating History, Financial Condition and Need for Additional Capital</w:t>
      </w:r>
      <w:r>
        <w:rPr>
          <w:rFonts w:ascii="Times New Roman" w:cs="Times New Roman" w:eastAsia="Times New Roman" w:hAnsi="Times New Roman"/>
          <w:sz w:val="18"/>
          <w:szCs w:val="18"/>
          <w:color w:val="auto"/>
        </w:rPr>
        <w:t>” included elsewhere in this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Option and License Agreement with Janssen Pharmaceutical NV</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August 2022, we entered into an option and license agreement with Janssen Pharmaceutical NV, as amended on April 3, 2023, April 18, 2023, May 2, 2023, October 2, 2023, and April 9, 2024 (collectively, the “Janssen License”), under which we received an exclusive option to obtain from Janssen</w:t>
      </w:r>
    </w:p>
    <w:p>
      <w:pPr>
        <w:ind w:right="100" w:firstLine="8"/>
        <w:spacing w:after="0" w:line="253" w:lineRule="auto"/>
        <w:tabs>
          <w:tab w:leader="none" w:pos="2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exclusive license for the research, development, and commercialization of transmembrane TARPg8 AMPAR products for the diagnosis, treatment, prophylaxis or palliation of any disease or condition in humans or other animals (the “Field”) and (b) an assignment of certain patents related to TARPg8, in each case of (a)-(b), subject to certain retained rights by Janssen. Pursuant to the Janssen License, we also received a worldwide, royalty-free, non-exclusive license (exclusive under certain joint patents) for the research, development, and commercialization of certain neuronal nicotinic acetylcholine (“nACh”) products in the Field.</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made a non-refundable, non-creditable upfront payment of $1.0 million to Janssen after we entered into the Janssen License. In October 2022, we exercised the option and paid a non-refundable, non-creditable option fee of $4.0 million to Janssen. If we succeed in developing and commercializing TARPg8 products, Janssen will be eligible to receive (i) up to $76.0 million in development milestone payments and up to $40.0 million sales milestone payments for the product containing the lead TARPg8 development candidate, and (ii) up to $25.0 million in development milestone payments and up to $42.0 million sales milestone payments for other TARPg8 products containing a non-lead TARPg8 development candidate.</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Janssen is also eligible to receive (a) royalties ranging from mid to high-single digit percentages on worldwide net sales of any products containing a TARPg8 development candidate and (b) royalties ranging from low to mid-single digit percentages for other TARPg8 products that do not contain a TARPg8 development candidate, in each case of (a) and (b), subject to potential reductions following the expiration of valid claims and regulatory exclusivity covering such TARPg8 products, the launch of certain generic products and the application of certain anti-stacking reductions for third party intellectual property payments, subject to a customary reduction floor. The royalties for any TARPg8 product will expire on a country-by-country basis upon the latest to occur of (i) the expiration of all valid patent claims covering such product in such country, (ii) the expiration of all regulatory exclusivities in such country, and (iii) a specified number of years following the first commercial sale of such product in such country. The Janssen License provides us with certain other exclusive rights with respect to small molecules with activity against TARPg8 and nACh.</w:t>
      </w:r>
    </w:p>
    <w:p>
      <w:pPr>
        <w:spacing w:after="0" w:line="19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have the right to terminate the Janssen License for any or no reason upon providing prior written notice to Janssen upon ninety (90) days’ prior written notice to Janssen. Either party may terminate the license agreement in its entirety for the other party’s material breach if such party fails to cure the breach or upon certain insolvency events involving the other party.</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NeuroPace Master Services Agreement and Statement of Work</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November 2023, we entered into a master services agreement (the “NeuroPace Agreement”) with NeuroPace Inc. (“NeuroPace”), the manufacturer and distributor of the responsive neurostimulation (“RNS”) system. Pursuant to the NeuroPace Agreement and in accordance with statement of work agreements entered into from time to time, NeuroPace provides us with certain services with respect to data from the RNS systems used in our clinical trials. The NeuroPace Agreement also grants us 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4" w:name="page105"/>
    <w:bookmarkEnd w:id="104"/>
    <w:p>
      <w:pPr>
        <w:ind w:right="40"/>
        <w:spacing w:after="0" w:line="266" w:lineRule="auto"/>
        <w:rPr>
          <w:sz w:val="20"/>
          <w:szCs w:val="20"/>
          <w:color w:val="auto"/>
        </w:rPr>
      </w:pPr>
      <w:r>
        <w:rPr>
          <w:rFonts w:ascii="Times New Roman" w:cs="Times New Roman" w:eastAsia="Times New Roman" w:hAnsi="Times New Roman"/>
          <w:sz w:val="18"/>
          <w:szCs w:val="18"/>
          <w:color w:val="auto"/>
        </w:rPr>
        <w:t>royalty-free, worldwide, exclusive, non-transferable license to all data collected by the RNS systems in our RAP-219 clinical trials in drug-resistant FOS and the outcomes of algorithms that are applied to such data, as well as the ability to publish the outcomes of algorithms, subject to certain conditions. The consideration we will pay to NeuroPace for such services is set out in each statement of work agreement.</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NeuroPace Agreement, the parties also entered into an initial statement of work, as amended in March 2024, and a second SOW in July 2025 (collectively, the “NeuroPace SOWs”) under the NeuroPace Agreement, pursuant to which NeuroPace agreed to provide services related to our RAP-219 Phase 2a clinical trial and planned open-label long term safety trial in RAP-219 for FOS, including, among other things, clinical trial readiness support, identification of potential patients satisfying the enrollment criteria and RNS system data reporting and data analysis. Pursuant to the payment schedule set out in the NeuroPace SOWs, the Company will pay NeuroPace an aggregate of up to $5.3 million over a period of approximately four years in connection with NeuroPace’s provision of services and achievement of certain patient enrollment and deliverable milestones. During the year ended December 31, 2024, we paid NeuroPace $0.6 million and recognized $1.8 million in research and development expense for services performed, resulting in a prepaid expense balance of $0.3 million as of December 31, 2024. The Company has incurred cumulative expenses of $4.2 million on both NeuroPace SOWs through December 31, 2025.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and research of our clinical and pre-clinical potential future product candidates. Our research and development expenses include:</w:t>
      </w:r>
    </w:p>
    <w:p>
      <w:pPr>
        <w:spacing w:after="0" w:line="54" w:lineRule="exact"/>
        <w:rPr>
          <w:sz w:val="20"/>
          <w:szCs w:val="20"/>
          <w:color w:val="auto"/>
        </w:rPr>
      </w:pPr>
    </w:p>
    <w:p>
      <w:pPr>
        <w:ind w:left="1020" w:right="50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bonuses, benefits, and stock-based compensation for employees engaged in manufacturing,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acquire in-process research and development with no alternative future use acquired in an asset acquisition;</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including expenses incurred under arrangements with third parties, such as contract research organizations, contract manufacturing organizations, consultants and our clinical and scientific advisors;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developing and validating our outsourced manufacturing process for use in our preclinical studies and future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obtain licenses to intellectual property and related future payments should certain development milestones be achieved;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laboratory supplies, research materials, and reagents;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depreciation, and other expenses related to research and development activities, which include direct or allocated expenses for rent, maintenance of facilities, and utilities.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primary focus since inception has been the development of RAP-219. Our research and development costs consist primarily of personnel-related costs and external costs, such as fees paid to Contract Manufacturing Organizations (“CMOs”), Contract Research Organizations (“CROs”) and consultants in connection with our non-clinical studies, preclinical studies and clinical trials. We expense all research and development costs in the periods in which they are incurred. Because we are working on multiple research and development programs at one time, we track many of our external expenses on a program-by-program basis. We do not allocate personnel-related costs or other indirect costs, to specific product development programs because these costs are deployed across multiple programs and, as such, are not separately classified.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05" w:name="page106"/>
    <w:bookmarkEnd w:id="105"/>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We expect that our research and development expenses will increase substantially in the near term as we advance RAP-219 through clinical development, pursue regulatory approval of RAP-219, continue to discover and develop additional product candidates and incur expenses associated with hiring additional personnel to support our research and development efforts, including the associated manufacturing activities.</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Upfront and milestone payments made are accrued for and expensed when the achievement of the milestone is probable up to the point of regulatory approval. Milestone payments made upon regulatory approval will be capitalized and amortized over the remaining useful life of the related product.</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68"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biodistribution studies and minimally efficacious dose studies in animals, where applicable;</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INDs or comparable foreign applications that allow commencement of our planned clinical trials or future clinical trials for any product candidates we may develop;</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including under the U.S. FDA’s current Good Clinical Practices (“GCPs”), current Good Laboratory Practices (“GLPs”), and any additional regulatory requirements from foreign regulatory authorities;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future clinical trials that support a finding of safety and effectiveness and an acceptable risk-benefit profile in the intended populations;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through our own facilities or with third-party manufacturers for clinical supply and, where applicable, commercial manufacturing capabilities;</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maintenance, defense and enforcement of patent, trademark, trade secret and other intellectual property protection or regulatory exclusivity for any product candidates we may develop;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tolerability and efficacy profile of any product candidates we may develop following approval.</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or potential future product candidate could mean a significant change in the costs and timing associated with the development of that product candidate or potential future product candidate. For example, if the FDA or another regulatory authority were to require us to conduct clinical trials beyond those that we anticipate would be required for the completion of clinical development of a product candidate or potential future product candidate, or if we experience significant delays in our clinical trials due to slower than expected patient enrollment or other reasons, we would be required to expend significant additional financial resources and time on the completion of clinical development. We may never obtain regulatory approval for any of our product candidates, and, even if we do, drug commercialization takes several years and millions of dollars in development costs.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stock-based compensation charges for those individuals in executive, finance, human resources, facility operations, and other administrative functions. Other costs include legal fees relating to intellectual property and corporate matters, professional fees for auditing, accounting, tax and consulting services, office and information technology costs, insurance costs, and facilities, depreciation and other general and administrative expenses, which include direct or allocated expenses for rent and maintenance of facilities and utilities.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6" w:name="page107"/>
    <w:bookmarkEnd w:id="106"/>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for the foreseeable future to support development of product candidates and our continued research activities. These increases will likely include additional costs related to the hiring of additional personnel and fees paid to outside consultants, among other expenses. We also anticipate increased expenses related to audit, accounting, legal, regulatory, and tax-related services associated with maintaining compliance with The Nasdaq Global Market (“Nasdaq”) and SEC requirements, director and officer insurance premiums, and investor relations costs associated with operating as a public company.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from our cash, cash equivalents and short-term and long-term investments.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 in Fair Value of Preferred Stock Tranche Right Liabilities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Series B convertible preferred stock purchase agreements provided the investors the obligation to participate in subsequent offerings of Series B convertible preferred stock upon achievement of certain specified milestones, upon the waiver of such milestone achievement by a majority vote of the respective series convertible preferred stockholders, or with respect to the Series B convertible preferred stock, upon exercise of the stockholders right to early exercise the preferred stock tranche right. The preferred stock tranche rights are classified as liabilities and initially recorded at fair value upon the issuance date of the rights. The liabilities were subsequently remeasured to fair value at each reporting date and immediately prior to being settled, and changes in fair value of the preferred stock tranche right liabilities were recognized as a component of other income (expense), net in our condensed consolidated statements of operations and comprehensive loss. In March 2024, we closed the Series B second financing, resulting in full settlement of the tranche right, upon which we issued additional shares of Series B convertible preferred stock. Immediately prior to the issuance of such shares, the preferred stock tranche right liability was remeasured to fair value with the change in fair value recognized as a component of other income (expense), net. As a result of the Series B preferred stock tranche right settlement in March 2024, we will no longer recognize changes in the fair value of the Series B preferred stock tranche liability in our condensed consolidated statements of operations and comprehensive loss.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For each of the years ended December 31, 2025 and 2024, we recorded an income tax provision of zero. As of December 31, 2025 and 2024, we recorded a full valuation allowance of our net deferred tax assets, as we believed it was more likely than not we would not be able to realize our deferred tax assets prior to their expiration. The income tax provision reflects the changes to tax law that was enacted during 2025.</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The impacts of OBBBA are not material to the 2025 consolidated balance sheet or statements of operations and comprehensive loss.</w:t>
      </w:r>
    </w:p>
    <w:p>
      <w:pPr>
        <w:spacing w:after="0" w:line="7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2025, we adopted ASU 2023-09, Income Taxes (Topic 740): Improvements to Income Tax Disclosures (“ASU 2023-09”) on a prospective basis. The amendments require disclosure of specific categories in the rate reconciliation and provide additional information for reconciling items that meet a quantitative threshold. This standard also requires further disaggregation of income taxes paid by federal, state, and foreign taxes, and by individual jurisdictions exceeding a specific threshold. Refer to Note 11—</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our annual consolidated financial statements for further information</w:t>
      </w:r>
      <w:r>
        <w:rPr>
          <w:rFonts w:ascii="Arial" w:cs="Arial" w:eastAsia="Arial" w:hAnsi="Arial"/>
          <w:sz w:val="21"/>
          <w:szCs w:val="21"/>
          <w:i w:val="1"/>
          <w:iCs w:val="1"/>
          <w:color w:val="auto"/>
        </w:rPr>
        <w:t>.</w:t>
      </w:r>
    </w:p>
    <w:p>
      <w:pPr>
        <w:spacing w:after="0" w:line="6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losses we have incurred in each year or for our research and development tax credits, as we believe, based upon the weight of available evidence, that it is more likely than not that all of our net operating losses (“NOLs”), carryforwards and tax credits will be not realized. As of December 31, 2025, we had federal NOL carryforwards of approximately $46.1 million and state NOL carryforwards of approximately $15.1 million, respectively. Federal losses have an indefinite carryforward period, but can only offset 80% of federal taxable income in a given year. Losses for state purposes begin to expire in 2043. As of December 31, 2025, we also had federal and state tax research and development credit carryforwards of approximately $8.0 million and $3.2 million, respectively, to offset future tax liabilities, which begin to expire in 2042 and 2037, respectively. We have recorded a full valuation allowance against our net deferred tax assets at December 31, 2025. As of December 31, 2025, we had no unrecognized tax benefits.</w:t>
      </w:r>
    </w:p>
    <w:p>
      <w:pPr>
        <w:spacing w:after="0" w:line="8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part of the Protecting Americans from Tax Hikes Act of 2015 (the “PATH Act”), certain eligible companies have the ability to convert a portion of their R&amp;D tax credits to offset payroll tax liabilities. As of December 31, 2025, the Company had converted $0.5 million of its federal R&amp;D credits to be utilized as an offset against future payroll taxes.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7" w:name="page108"/>
    <w:bookmarkEnd w:id="10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5"/>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94,789</w:t>
            </w:r>
          </w:p>
        </w:tc>
        <w:tc>
          <w:tcPr>
            <w:tcW w:w="80" w:type="dxa"/>
            <w:vAlign w:val="bottom"/>
          </w:tcPr>
          <w:p>
            <w:pPr>
              <w:spacing w:after="0"/>
              <w:rPr>
                <w:sz w:val="18"/>
                <w:szCs w:val="18"/>
                <w:color w:val="auto"/>
              </w:rPr>
            </w:pPr>
          </w:p>
        </w:tc>
        <w:tc>
          <w:tcPr>
            <w:tcW w:w="4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60,935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33,854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30,310</w:t>
            </w: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22,120</w:t>
            </w:r>
          </w:p>
        </w:tc>
        <w:tc>
          <w:tcPr>
            <w:tcW w:w="160" w:type="dxa"/>
            <w:vAlign w:val="bottom"/>
            <w:tcBorders>
              <w:left w:val="single" w:sz="8" w:color="CFF0FC"/>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8,190</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125,099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83,055</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42,044</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6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(125,099)</w:t>
            </w: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(83,055)</w:t>
            </w:r>
          </w:p>
        </w:tc>
        <w:tc>
          <w:tcPr>
            <w:tcW w:w="160" w:type="dxa"/>
            <w:vAlign w:val="bottom"/>
            <w:tcBorders>
              <w:left w:val="single" w:sz="8" w:color="CFF0FC"/>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(42,044)</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13,616</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12,138</w:t>
            </w: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46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Change in fair value of preferred stock tranche right</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7,390</w:t>
            </w: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liability</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6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13,616</w:t>
            </w: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4,748</w:t>
            </w:r>
          </w:p>
        </w:tc>
        <w:tc>
          <w:tcPr>
            <w:tcW w:w="160" w:type="dxa"/>
            <w:vAlign w:val="bottom"/>
            <w:tcBorders>
              <w:left w:val="single" w:sz="8" w:color="CFF0FC"/>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8,868</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(111,483)</w:t>
            </w:r>
          </w:p>
        </w:tc>
        <w:tc>
          <w:tcPr>
            <w:tcW w:w="80" w:type="dxa"/>
            <w:vAlign w:val="bottom"/>
          </w:tcPr>
          <w:p>
            <w:pPr>
              <w:spacing w:after="0"/>
              <w:rPr>
                <w:sz w:val="18"/>
                <w:szCs w:val="18"/>
                <w:color w:val="auto"/>
              </w:rPr>
            </w:pPr>
          </w:p>
        </w:tc>
        <w:tc>
          <w:tcPr>
            <w:tcW w:w="4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(78,307)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(33,176)</w:t>
            </w:r>
          </w:p>
        </w:tc>
        <w:tc>
          <w:tcPr>
            <w:tcW w:w="0" w:type="dxa"/>
            <w:vAlign w:val="bottom"/>
          </w:tcPr>
          <w:p>
            <w:pPr>
              <w:spacing w:after="0"/>
              <w:rPr>
                <w:sz w:val="1"/>
                <w:szCs w:val="1"/>
                <w:color w:val="auto"/>
              </w:rPr>
            </w:pPr>
          </w:p>
        </w:tc>
      </w:tr>
      <w:tr>
        <w:trPr>
          <w:trHeight w:val="318"/>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gridSpan w:val="3"/>
          </w:tcPr>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5"/>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external program expenses:</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RAP-219 program</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41,144</w:t>
            </w:r>
          </w:p>
        </w:tc>
        <w:tc>
          <w:tcPr>
            <w:tcW w:w="22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22,080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Preclinical programs</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16,565</w:t>
            </w:r>
          </w:p>
        </w:tc>
        <w:tc>
          <w:tcPr>
            <w:tcW w:w="2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16,535</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Internal and unallocated expenses: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Personnel-related costs (including stock-based</w:t>
            </w: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compensation)</w:t>
            </w: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22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19,500</w:t>
            </w:r>
          </w:p>
        </w:tc>
        <w:tc>
          <w:tcPr>
            <w:tcW w:w="26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lef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80" w:type="dxa"/>
            <w:vAlign w:val="bottom"/>
            <w:shd w:val="clear" w:color="auto" w:fill="CFF0FC"/>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costs</w:t>
            </w:r>
          </w:p>
        </w:tc>
        <w:tc>
          <w:tcPr>
            <w:tcW w:w="8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94,789</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60,935</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33,854</w:t>
            </w:r>
          </w:p>
        </w:tc>
        <w:tc>
          <w:tcPr>
            <w:tcW w:w="8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-3214370</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-3214370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-2922270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-2922270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-2228215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-2228215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-25400</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$94.8 million for the year ended December 31, 2025, as compared to $60.9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The increase of $33.9 million consisted of the following:</w:t>
      </w:r>
    </w:p>
    <w:p>
      <w:pPr>
        <w:spacing w:after="0" w:line="315" w:lineRule="exact"/>
        <w:rPr>
          <w:sz w:val="20"/>
          <w:szCs w:val="20"/>
          <w:color w:val="auto"/>
        </w:rPr>
      </w:pPr>
    </w:p>
    <w:p>
      <w:pPr>
        <w:ind w:left="1020" w:hanging="503"/>
        <w:spacing w:after="0" w:line="258"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$19.1 million increase in RAP-219 program costs, which consisted of an increase of $17.0 million in clinical trial costs, primarily driven by costs for our Phase 2a trial, open-label long term safety trial, start-up costs for our Phase 3 trials in drug-resistant FOS, and costs for our Phase 2 proof-of-concept trial in bipolar mania, a $2.0 million increase in contract manufacturing costs related to the production of clinical trial supply, and a $0.8 million increase in RAP-219 consulting costs. These increases were offset by a $0.7 million decrease in preclinical toxicology studies related to long-term toxicology work;</w:t>
      </w:r>
    </w:p>
    <w:p>
      <w:pPr>
        <w:spacing w:after="0" w:line="75"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$10.9 million increase in personnel-related costs due to an increase in headcount, which consisted primarily of salaries, bonuses, and other compensation-related costs of $7.7 million, and stock-based compensation of $3.2 million;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$3.9 million increase in other costs, consisting primarily of research and development facilities, information technology, and depreciation expenses related to increased headcount and continued expansion of our Boston and San Diego sites.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8" w:name="page109"/>
    <w:bookmarkEnd w:id="108"/>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21,519</w:t>
            </w:r>
          </w:p>
        </w:tc>
        <w:tc>
          <w:tcPr>
            <w:tcW w:w="5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13,989</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consulting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related and other</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general and administrative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30,310</w:t>
            </w:r>
          </w:p>
        </w:tc>
        <w:tc>
          <w:tcPr>
            <w:tcW w:w="5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-170815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 were $30.3 million for the year ended December 31, 2025, as compared to $22.1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The increase of $8.2 million consisted of the following:</w:t>
      </w:r>
    </w:p>
    <w:p>
      <w:pPr>
        <w:spacing w:after="0" w:line="99" w:lineRule="exact"/>
        <w:rPr>
          <w:sz w:val="20"/>
          <w:szCs w:val="20"/>
          <w:color w:val="auto"/>
        </w:rPr>
      </w:pPr>
    </w:p>
    <w:p>
      <w:pPr>
        <w:ind w:left="1020" w:right="9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$7.5 million increase in workforce expense primarily due to an increase in headcount, consisting of salaries, bonuses, and other compensation-related costs of $2.2 million and stock-based compensation of $5.4 million;</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million increase in facility and other expenses, consisting of administrative expenses due to increased business activities and expanded general and administrative support in connection with operating as a public company; partially offset by</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$0.2 million decrease in professional and consulting fees, as higher costs were incurred in 2024 due to our IPO process completed in June 2024.</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5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2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fair value of preferred stock tranche right</w:t>
            </w:r>
          </w:p>
        </w:tc>
        <w:tc>
          <w:tcPr>
            <w:tcW w:w="24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(7,390)</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liability</w:t>
            </w:r>
          </w:p>
        </w:tc>
        <w:tc>
          <w:tcPr>
            <w:tcW w:w="240" w:type="dxa"/>
            <w:vAlign w:val="bottom"/>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2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2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-170815</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Other income (expense) was $13.6 million for the year ended December 31, 2025, as compared to $4.7 million for the year ended December 31, 2024. The $7.4 million decrease in the expense from the change in fair value of preferred stock tranche right liability was due to the settlement of the Series B preferred stock tranche right liability in March 2024. The $1.5 million increase in interest income is due to the increased cash, cash equivalent and short-term investments balances from the IPO and concurrent private placement in June 2024 and the September 2025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2025 and 2024 we recorded an income tax provision of zero.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in February 2022, we have not generated any revenue from any sources and have incurred significant operating losses and negative cash flows from operations. We expect to incur significant expenses and operating losses for the foreseeable future as we advance the clinical development of our product candidates and pipeline. Further, we expect to continue to incur additional costs associated with operating as a public company. Historically, we have funded our operations with proceeds from the sale of convertible notes, convertible preferred stock, the issuance of common stock in our IPO and concurrent private placement, and the September 2025 Offering. Through December 31, 2025, we received aggregate gross proceeds of $711.9 million from the issuance of convertible promissory notes and the sale of our convertible preferred stock and common stock. As of December 31, 2025, we had cash and cash equivalents of $52.6 million and short-term investments of $437.9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09" w:name="page110"/>
    <w:bookmarkEnd w:id="109"/>
    <w:p>
      <w:pPr>
        <w:ind w:firstLine="509"/>
        <w:spacing w:after="0" w:line="256" w:lineRule="auto"/>
        <w:rPr>
          <w:sz w:val="20"/>
          <w:szCs w:val="20"/>
          <w:color w:val="auto"/>
        </w:rPr>
      </w:pPr>
      <w:r>
        <w:rPr>
          <w:rFonts w:ascii="Times New Roman" w:cs="Times New Roman" w:eastAsia="Times New Roman" w:hAnsi="Times New Roman"/>
          <w:sz w:val="18"/>
          <w:szCs w:val="18"/>
          <w:color w:val="auto"/>
        </w:rPr>
        <w:t>In July 2025, we entered into a common stock sales agreement, by and between the Company and Leerink Partners LLC and Cantor Fitzgerald &amp; Co., acting as sales agents, which established an at-the-market offering program pursuant to which we may offer and sell shares of our common stock from time to time (the “ATM Program”). In connection with the ATM Program, we filed a prospectus supplement with the SEC on January 7, 2026, for the offer and sale of up to $110.0 million of shares of common stock from time to time through the sales agents. To date, no shares have been sold through the ATM Program. As market conditions permit, we may offer and sell securities under the Registration Statement, including through the ATM Program, in order to fund our operations or provide additional liquidity.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19"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For the twelve months ended</w:t>
      </w: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42"/>
        </w:trPr>
        <w:tc>
          <w:tcPr>
            <w:tcW w:w="54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(87,473)</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(64,828)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(187,473)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(170,141)</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270,786</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221,625</w:t>
            </w:r>
          </w:p>
        </w:tc>
      </w:tr>
      <w:tr>
        <w:trPr>
          <w:trHeight w:val="20"/>
        </w:trPr>
        <w:tc>
          <w:tcPr>
            <w:tcW w:w="54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(13,344)</w:t>
            </w: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operating activities used $87.5 million of cash, resulting primarily from our net loss of $111.5 million and non-cash accretion of investments in marketable securities of $1.4 million, partially offset by $18.9 million of non-cash stock-based compensation expense, changes in operating assets and liabilities of $3.5 million, $1.0 million of non-cash depreciation expense, and $2.0 million of non-cash lease expense. The $3.5 million change in operating assets and liabilities is primarily driven by an increase in prepaid expenses and other current assets of $3.6 million, primarily due to advanced payments on new contracts related to our clinical trials, an increase in accrued expenses of $6.2 million and an increase in accounts payable of $2.2 million and due to increased expenditures and timing of payments to vendors, an increase of $0.8 million in other assets due to the payment of the security deposit for our new corporate headquarters lease and an up-front long-term clinical trial payment, and $0.5 million decrease in operating lease liabilities.</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$64.8 million of cash, resulting primarily from our net loss of $78.3 million, non-cash accretion of investments in marketable securities of $3.2 million, and changes in operating assets and liabilities of $2.4 million, partially offset by $10.2 million of non-cash stock-based compensation expense, non-cash change in fair value of preferred stock tranche right liability of $7.4 million, $0.8 million of non-cash depreciation expense, and $0.6 million of non-cash lease expense. The $2.4 million change in operating assets and liabilities is primarily driven by an increase in prepaid expenses and other current assets of $1.9 million, primarily due to advanced payments on new contracts related to our clinical trials, an increase in accrued expenses of $0.4 million and decrease in accounts payable of $0.3 million and due to payments to vendors, and $0.7 million decrease in operating lease liabilities.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net cash used in investing activities was $187.5 million, primarily consisting of purchases of short-term investments of $354.8 million and purchases of property and equipment of $0.6 million, partially offset by maturities of short-term investments of $167.9 million.</w:t>
      </w:r>
    </w:p>
    <w:p>
      <w:pPr>
        <w:spacing w:after="0" w:line="17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used in investing activities was $170.1 million, primarily consisting of purchases of short-term investments of $377.5 million and purchases of property and equipment of $2.4 million, partially offset by maturities of short-term investments of $209.8 million.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financing activities was $270.8 million, primarily consisting of net proceeds from the September 2025 Offering in the aggregate amount of $269.4 million and proceeds from exercise of stock options of $1.3 million.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0" w:name="page111"/>
    <w:bookmarkEnd w:id="110"/>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financing activities was $221.6 million, primarily consisting of net proceeds from our IPO and concurrent private placement of our common stock in the aggregate amount of $157.7 million, and net proceeds of $63.9 million from our additional issuance of Series B convertible preferred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had cash, cash equivalents and short-term investments of $490.5 million, excluding our restricted cash. As of the issuance date of the consolidated financial statements for the year ended December 31, 2025, we expect that our cash, cash equivalents and short-term investments will be sufficient to fund our operating expenses and capital expenditure requirements through at least 12 months from the issuance of the consolidated financial statements. We believe that our existing cash, cash equivalents and short-term investments will enable us to fund our operating expenses and capital expenditure requirements into the second half of 2029. We have based this estimate on assumptions that may prove to be wrong, and we could exhaust our available capital resources sooner than we expect. However, our forecast for the period of time through which our financial resources will be adequate to support our operations is a forward-looking statement that involves risks and uncertainties, and actual results could vary materially. Additionally, the process of conducting preclinical studies and testing potential future product candidates in clinical trials is costly, and the timing of progress and expenses in these studies and trials is uncertain. We will need to raise substantial additional capital in the future.</w:t>
      </w:r>
    </w:p>
    <w:p>
      <w:pPr>
        <w:spacing w:after="0" w:line="18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our preclinical studies and the current and future clinical trials of our product candidates. Our funding requirements and timing and amount of our operating expenditures will depend on many factors, including:</w:t>
      </w:r>
    </w:p>
    <w:p>
      <w:pPr>
        <w:spacing w:after="0" w:line="68"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RAP-219 and our other product candidates;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expansions, results, costs, and timing of, discovery efforts, preclinical studies and clinical trials of RAP-219 and potential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RAP-219 and our potential future product candidates and commercial 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licenses and other similar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of obtaining, maintaining, and enforcing our patents and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future clinical activities increase;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potential future product candidate is approved;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22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to support our cost structure, we expect to finance our cash needs through equity offerings, debt financings, or other capital sources, potentially including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ownership interests will be diluted, and the terms of these securities may include liquidation or other preferences that adversely affect the rights of our common stockholders. Additional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license arrangements, or other similar arrangements with third parties, we may have to relinquish valuable rights to our technologies, future revenue streams, research programs or potential future product candidates or grant licenses on terms that may not be favorable to us and/or may reduce the value of our common stock. Our failure to raise capital or enter into such other arrangements when needed could have a negative impact on our financial condition and on our ability to pursue our business plans and strategies. If we are unable 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1" w:name="page112"/>
    <w:bookmarkEnd w:id="111"/>
    <w:p>
      <w:pPr>
        <w:ind w:right="60"/>
        <w:spacing w:after="0" w:line="266" w:lineRule="auto"/>
        <w:rPr>
          <w:sz w:val="20"/>
          <w:szCs w:val="20"/>
          <w:color w:val="auto"/>
        </w:rPr>
      </w:pPr>
      <w:r>
        <w:rPr>
          <w:rFonts w:ascii="Times New Roman" w:cs="Times New Roman" w:eastAsia="Times New Roman" w:hAnsi="Times New Roman"/>
          <w:sz w:val="18"/>
          <w:szCs w:val="18"/>
          <w:color w:val="auto"/>
        </w:rPr>
        <w:t>raise additional funds through equity or debt financings, or through other sources when needed, we may be required to delay, limit, reduce or terminate our product development or future commercialization efforts or grant rights to develop and market our product candidates and potential future product candidates even if we would otherwise prefer to develop and market such potential future product candidates ourselves.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As of the December 31, 2025, we had future minimum operating lease payments under non-cancelable leases of $13.4 million related to leases we have recognized on our consolidated balance sheet, which included existing laboratory and office leases and the new corporate headquarters lease that commenced June 1, 2025 in Boston, Massachusetts. The future minimum operating lease payments under these non-cancelable leases are due over a weighted average remaining lease term of 4.6 years.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Option and License Agreement with Janssen Pharmaceutical NV</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made an upfront non-refundable, non-creditable payment of $1.0 million to Janssen after we entered into the Janssen License. In October 2022, we exercised the option and made a non-refundable, non-creditable option fee of $4.0 million to Janssen. If we succeed in developing and commercializing TARPg8 products, Janssen will be eligible to receive (i) up to $76.0 million in development milestone payments and up to $40.0 million sales milestone payments for the product containing the lead TARPg8 development candidate and (ii) up to $25.0 million in development milestone payments and up to $42.0 million sales milestone payments for the other products containing a non-lead TARPg8 development candidate. We are also required to pay tiered royalties related to the TARPg8 development candidate of a mid to high single-digit percentage on worldwide net sales and tiered royalties related to the TARPg8 products that do not contain a TARPg8 development candidate of low to mid single-digit percentages on annual net sales of the products covered by the license.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NeuroPace Master Services Agreement and Statement of Work</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NeuroPace Agreement, the parties also entered into an initial statement of work (“SOW”), as amended in March 2024, and a second SOW in July 2025 (collectively, the “NeuroPace SOWs”) under the NeuroPace Agreement, pursuant to which NeuroPace agreed to provide services related to the RAP-219 Phase 2a proof-of-concept clinical trial and planned open-label long term safety trial in RAP-219 for FOS, including, among other things, clinical trial readiness support, identification of potential patients satisfying the enrollment criteria and RNS system data reporting and data analysis. Pursuant to the payment schedule set out in the NeuroPace SOWs, the Company will pay NeuroPace an aggregate of up to $5.3 million over a period of approximately four years in connection with NeuroPace’s provision of services and achievement of certain patient enrollment and deliverable milestones. During the year ended December 31, 2024, we paid NeuroPace $0.6 million and recognized $1.8 million in research and development expense for services performed, resulting in a prepaid expense balance of $0.3 million as of December 31, 2024. The Company has incurred cumulative expenses of $4.2 million on both NeuroPace SOWs through December 31, 2025.</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Apart from the contracts with payment commitments that we have documented above, we have entered into contracts in the normal course of business with CROs, CMOs and other third parties for preclinical research studies and testing, clinical trials and manufacturing services. These contracts do not contain any minimum purchase commitments and are cancelable by us upon prior notice and, as a result, are not included in the table of contractual obligations and commitments above. Payments due upon cancellation consist only of payments for services provided and expenses incurred, including non-cancelable obligations of our service providers, up to the date of cancellation.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generally accepted accounting principles in the United States (“GAAP”). The preparation of our consolidated financial statements requires us to make estimates and assumptions that affect the reported amounts of assets and liabilities and the disclosure of contingent assets and liabilities at the date of the consolidated financial statements, as well as the reported amounts of expenses incurred during the reporting periods. We base our estimates on historical experience, known trends and events, and on various other factors that we believe are reasonable under the circumstances, the results of which form the basis for making judgments about the carrying values of assets and liabilities and expenses that are not readily apparent from other sources. We evaluate our estimates and judgments on an ongoing basis. Our actual results may differ from these estimates under different assumptions or conditions.</w:t>
      </w:r>
    </w:p>
    <w:p>
      <w:pPr>
        <w:spacing w:after="0" w:line="190"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Note 2—</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annual consolidated financial statements, we believe that the following accounting policies are those most critical to the judgments and estimates used in the preparation of our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Accruals</w:t>
      </w:r>
    </w:p>
    <w:p>
      <w:pPr>
        <w:spacing w:after="0" w:line="202"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expenses as incurred. Research and development expenses represent costs incurred by us for the discovery and development of our product candidates and include employee salaries and benefits, including stock-based compensation, third-party research and development expenses, including amounts incurred under agreements with our external vendors and consultants engaged to perform preclinical and clinical studies, contract manufacturing and research services, consulting costs, laboratory supplies, and certain allocated expenses, as well as amounts incurred under third-party license agreements.</w:t>
      </w:r>
    </w:p>
    <w:p>
      <w:pPr>
        <w:spacing w:after="0" w:line="143"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We estimate preclinical study and clinical trial and other research and development expenses based on the services performed, pursuant to contracts with research institutions and third-party service providers that conduct and manage preclinical studies and clinical trials and research services on our behalf. We record the costs of research and development activities based upon the estimated services provided but not yet invoiced and include these costs in accrued expenses and other current liabilities in our consolidated balance sheets and in research and development expense in our consolidated statements of operations and comprehensive loss.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may vary from our estimates and could result in us reporting amounts that are too high or too low in any particular period. Our accrued expenses are dependent, in part, upon the receipt of timely and accurate reporting from external third-party service providers. Contingent milestone payments, if any, are expensed when the milestone results are probable and estimable, which is generally upon the achievement of the milestone.</w:t>
      </w:r>
    </w:p>
    <w:p>
      <w:pPr>
        <w:spacing w:after="0" w:line="151" w:lineRule="exact"/>
        <w:rPr>
          <w:sz w:val="20"/>
          <w:szCs w:val="20"/>
          <w:color w:val="auto"/>
        </w:rPr>
      </w:pPr>
    </w:p>
    <w:p>
      <w:pPr>
        <w:ind w:right="240" w:firstLine="374"/>
        <w:spacing w:after="0" w:line="258" w:lineRule="auto"/>
        <w:rPr>
          <w:sz w:val="20"/>
          <w:szCs w:val="20"/>
          <w:color w:val="auto"/>
        </w:rPr>
      </w:pPr>
      <w:r>
        <w:rPr>
          <w:rFonts w:ascii="Times New Roman" w:cs="Times New Roman" w:eastAsia="Times New Roman" w:hAnsi="Times New Roman"/>
          <w:sz w:val="18"/>
          <w:szCs w:val="18"/>
          <w:color w:val="auto"/>
        </w:rPr>
        <w:t>Our expenses related to clinical trials are based on estimates of patient enrollment and related expenses at clinical investigator sites as well as estimates for the services provided and efforts expended pursuant to contracts with multiple research institutions and contract research organizations that may be used to conduct and manage clinical trials on our behalf. We generally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80" w:firstLine="374"/>
        <w:spacing w:after="0" w:line="253" w:lineRule="auto"/>
        <w:rPr>
          <w:sz w:val="20"/>
          <w:szCs w:val="20"/>
          <w:color w:val="auto"/>
        </w:rPr>
      </w:pPr>
      <w:r>
        <w:rPr>
          <w:rFonts w:ascii="Times New Roman" w:cs="Times New Roman" w:eastAsia="Times New Roman" w:hAnsi="Times New Roman"/>
          <w:sz w:val="18"/>
          <w:szCs w:val="18"/>
          <w:color w:val="auto"/>
        </w:rPr>
        <w:t>We measure stock-based awards granted to employees, directors, and nonemployees based on their fair value on the date of the grant. We recognize compensation expense for awards to employees and directors over the requisite service period, which is generally the vesting period of the respective award. Compensation expense for awards to non-employees with service-based vesting conditions is recognized in the same manner as if we had paid cash in exchange for the goods or services, which is generally over the vesting period of the award. For stock-based awards with service-based vesting conditions, we recognize compensation expense using the straight-line method. For stock-based awards with performance-based vesting conditions, we recognize compensation expense using the graded-vesting method over the requisite service period using the accelerated attribution method, commencing when achievement of the performance condition becomes probable.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our expected dividend yield. For awards to non-employees, the expected term of the option is equal to the contractual term of the non-employees’ service agreement. The fair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value of each restricted common stock award is estimated on the date of grant based on the fair value of our common stock on that same date.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the Fair Value of Common Stock</w:t>
      </w:r>
    </w:p>
    <w:p>
      <w:pPr>
        <w:spacing w:after="0" w:line="200"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As there had been no public market for our common stock prior to June 2024, the estimated fair value of our common stock had been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Our common stock valuation was prepared using either the option-pricing method (“OPM”) or the hybrid method, both of which used a market approach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The hybrid method is a probability-weighted expected return method (“PWERM”) where the equity value in one or more of the scenarios is calculated using an OPM. The PWERM is a scenario-based methodology that estimates the fair value of common stock based upon an analysis of future values for us,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w:t>
      </w:r>
    </w:p>
    <w:p>
      <w:pPr>
        <w:spacing w:after="0" w:line="154" w:lineRule="exact"/>
        <w:rPr>
          <w:sz w:val="20"/>
          <w:szCs w:val="20"/>
          <w:color w:val="auto"/>
        </w:rPr>
      </w:pPr>
    </w:p>
    <w:p>
      <w:pPr>
        <w:ind w:right="200" w:firstLine="419"/>
        <w:spacing w:after="0" w:line="266" w:lineRule="auto"/>
        <w:rPr>
          <w:sz w:val="20"/>
          <w:szCs w:val="20"/>
          <w:color w:val="auto"/>
        </w:rPr>
      </w:pPr>
      <w:r>
        <w:rPr>
          <w:rFonts w:ascii="Times New Roman" w:cs="Times New Roman" w:eastAsia="Times New Roman" w:hAnsi="Times New Roman"/>
          <w:sz w:val="18"/>
          <w:szCs w:val="18"/>
          <w:color w:val="auto"/>
        </w:rPr>
        <w:t>These third-party valuations were performed at various dates, which resulted in valuation of our common stock of $11.57 per share as of March 31, 2024. Our board of directors considered various objective and subjective factors to determine the fair value of our common stock as of each grant date, including:</w:t>
      </w:r>
    </w:p>
    <w:p>
      <w:pPr>
        <w:spacing w:after="0" w:line="135" w:lineRule="exact"/>
        <w:rPr>
          <w:sz w:val="20"/>
          <w:szCs w:val="20"/>
          <w:color w:val="auto"/>
        </w:rPr>
      </w:pPr>
    </w:p>
    <w:p>
      <w:pPr>
        <w:ind w:left="760" w:right="58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shares of convertible preferred stock and the superior rights and preferences of the convertible preferred stock relative to our common stock at the time of each grant;</w:t>
      </w:r>
    </w:p>
    <w:p>
      <w:pPr>
        <w:spacing w:after="0" w:line="134"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programs, including the status and results of clinical and preclinical studies for our product candidates;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our business strategy;</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biotechnology and biopharmaceutical industries and trends within these industries;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including cash on hand, and our historical and forecasted performance and operating results;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our common stock and our convertible preferred stock;</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IPO or sale of our company in light of prevailing market conditions;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IPOs and the market performance of similar companies in the biotechnology industry.</w:t>
      </w:r>
    </w:p>
    <w:p>
      <w:pPr>
        <w:spacing w:after="0" w:line="185"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be materially different.</w:t>
      </w:r>
    </w:p>
    <w:p>
      <w:pPr>
        <w:spacing w:after="0" w:line="135"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Following our IPO, in connection with our accounting for granted stock options and other awards we may grant, the fair value of our common stock is determined based on the quoted market price of our common stock.</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Preferred Stock Tranche Liability</w:t>
      </w:r>
    </w:p>
    <w:p>
      <w:pPr>
        <w:spacing w:after="0" w:line="189"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Our Series B convertible preferred stock purchase agreements obligated the Series B investors to participate in a subsequent offering of Series B convertible preferred stock upon certain conditions being met, which we referred to as the preferred stock tranche rights. We determined that the preferred stock tranche rights were required to be recorded as a liability because it was a freestanding financial instrument that would require us to transfer assets upon exercises of the right. The preferred stock tranche rights met the definition of a freestanding financial instrument because they were legally detachable and separately exercisable from the Series B convertible preferred stock. The preferred stock tranche rights were classified as a liability and initially recorded at fair value upon the issuance date of the right. The liability was remeasured to fair value at each reporting date until settled, and changes in the fair value of the preferred stock tranche right liability was recognized as a component of other income (expense) in our consolidated statements of operations and comprehensive loss.</w:t>
      </w:r>
    </w:p>
    <w:p>
      <w:pPr>
        <w:spacing w:after="0" w:line="165"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In August 2023 and concurrent with the original issuance of the Series B convertible preferred stock, two stockholders exercised their right to early exercise the Series B preferred stock tranche right and purchased 10,731,725 shares. Consequently, we recognized $1.2 million in additional paid-in capital associated with the simultaneous original issuance and early exercise. Additionally, the investors paid a premium of $1.7 million for these shares over their fair value which was also recorded in additional paid-in capital.</w:t>
      </w:r>
    </w:p>
    <w:p>
      <w:pPr>
        <w:spacing w:after="0" w:line="139"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Subsequent to the original issuance, one stockholder exercised its right to early exercise the Series B preferred stock tranche right and purchased shares of Series B convertible preferred stock for cash proceeds of $8.0 million. The fair value of the associated tranche right liability that was settled at the time of the sale of $0.5 million was recognized in additional paid-in capital. Additionally, the investor paid a premium of $0.8 million for these shares over their fair value which was also recorded in additional paid-in capital.</w:t>
      </w:r>
    </w:p>
    <w:p>
      <w:pPr>
        <w:spacing w:after="0" w:line="11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February 2024, our Series B convertible preferred stockholders voted to waive the second tranche milestones and purchase the remaining Series B milestone tranche shares. Immediately prior to the waiver, we remeasured the Series B tranche right liability to be $11.6 million and recognized $7.4 million in other expense for the change in the fair value of the Series B tranche right liability during the period. As a result of the waiver, we remeasured the Series B tranche right liability to be $4.2 million and recognized the change in fair value of $7.4 million in additional paid-in capital as a capital contribution. In conjunction with the closing that occurred in March 2024, an aggregate of 38,157,240 shares of Series B convertible preferred stock were issued at a price of $1.67727 per share, resulting in total cash proceeds of $64.0 million, less $87 thousand of issuance costs. As a result of this issuance, the Series B preferred stock tranche right liability with a then fair value of $4.2 million was settled in full and recognized as part of the carrying value of the Series B convertible preferred stock.</w:t>
      </w:r>
    </w:p>
    <w:p>
      <w:pPr>
        <w:spacing w:after="0" w:line="15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fair value of the tranche right liability was determined based on significant inputs not observable in the market, which represented a Level 3 measurement within the fair value hierarchy. The fair value of the tranche right liability was determined using a Contingent Forward Analysis, which is a scenario-based lattice model that accounts for the different possible milestone scenarios and their associated probabilities, as estimated by us. The valuation model considered the probability of closing the tranche, the estimated future value of the convertible preferred stock to be issued at each closing and the investment required at each closing. Future values were converted to present value using a discount rate appropriate for probability-adjusted cash flows. The most significant assumptions in the Contingent Forward Analysis impacting the fair value of the preferred stock tranche rights were the fair value of the Series B convertible preferred stock as of each remeasurement date, the estimated remaining term of the tranche right as of each remeasurement date, and the probabilities of success for each tranche milestone as of each measurement date. We determined the fair value per share of the underlying convertible preferred stock by taking into consideration the most recent sales of our convertible preferred stock as well as additional factors that we deemed relevant. We assessed these assumptions and estimates on a quarterly basis as additional information impacting the assumptions was obtained. The risk-free rate was determined by reference to the U.S. Treasury yield curve for time periods approximately equal to the remaining estimated time to each tranche closing.</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 of each share of Series B convertible preferred stock was estimated to be $1.79 per share on February 26, 2024 and March 19,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As a result of this election, our consolidated financial statements may not be comparable to other public companies that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5" w:name="page116"/>
    <w:bookmarkEnd w:id="115"/>
    <w:p>
      <w:pPr>
        <w:ind w:right="720"/>
        <w:spacing w:after="0" w:line="282" w:lineRule="auto"/>
        <w:rPr>
          <w:sz w:val="20"/>
          <w:szCs w:val="20"/>
          <w:color w:val="auto"/>
        </w:rPr>
      </w:pPr>
      <w:r>
        <w:rPr>
          <w:rFonts w:ascii="Times New Roman" w:cs="Times New Roman" w:eastAsia="Times New Roman" w:hAnsi="Times New Roman"/>
          <w:sz w:val="18"/>
          <w:szCs w:val="18"/>
          <w:color w:val="auto"/>
        </w:rPr>
        <w:t>comply with new or revised accounting pronouncements as of public company effective dates. We may choose to early adopt any new or revised accounting standards whenever such early adoption is permitted for private companies.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included elsewhere in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and are not required to provide the information required by this item.</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8"/>
        </w:trPr>
        <w:tc>
          <w:tcPr>
            <w:tcW w:w="91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120" w:type="dxa"/>
            <w:vAlign w:val="bottom"/>
          </w:tcPr>
          <w:p>
            <w:pPr>
              <w:spacing w:after="0"/>
              <w:rPr>
                <w:sz w:val="20"/>
                <w:szCs w:val="20"/>
                <w:color w:val="auto"/>
              </w:rPr>
            </w:pPr>
          </w:p>
        </w:tc>
      </w:tr>
      <w:tr>
        <w:trPr>
          <w:trHeight w:val="392"/>
        </w:trPr>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00" w:type="dxa"/>
            <w:vAlign w:val="bottom"/>
            <w:gridSpan w:val="3"/>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9"/>
              </w:rPr>
              <w:t>Rapport Therapeutics, Inc.</w:t>
            </w:r>
          </w:p>
        </w:tc>
        <w:tc>
          <w:tcPr>
            <w:tcW w:w="2120" w:type="dxa"/>
            <w:vAlign w:val="bottom"/>
          </w:tcPr>
          <w:p>
            <w:pPr>
              <w:spacing w:after="0"/>
              <w:rPr>
                <w:sz w:val="24"/>
                <w:szCs w:val="24"/>
                <w:color w:val="auto"/>
              </w:rPr>
            </w:pPr>
          </w:p>
        </w:tc>
      </w:tr>
      <w:tr>
        <w:trPr>
          <w:trHeight w:val="405"/>
        </w:trPr>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120" w:type="dxa"/>
            <w:vAlign w:val="bottom"/>
          </w:tcPr>
          <w:p>
            <w:pPr>
              <w:spacing w:after="0"/>
              <w:rPr>
                <w:sz w:val="24"/>
                <w:szCs w:val="24"/>
                <w:color w:val="auto"/>
              </w:rPr>
            </w:pPr>
          </w:p>
        </w:tc>
      </w:tr>
      <w:tr>
        <w:trPr>
          <w:trHeight w:val="391"/>
        </w:trPr>
        <w:tc>
          <w:tcPr>
            <w:tcW w:w="9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196"/>
        </w:trPr>
        <w:tc>
          <w:tcPr>
            <w:tcW w:w="21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7"/>
                <w:szCs w:val="17"/>
                <w:color w:val="auto"/>
              </w:rPr>
            </w:pPr>
          </w:p>
        </w:tc>
        <w:tc>
          <w:tcPr>
            <w:tcW w:w="2100" w:type="dxa"/>
            <w:vAlign w:val="bottom"/>
            <w:tcBorders>
              <w:top w:val="single" w:sz="8" w:color="0000FF"/>
            </w:tcBorders>
            <w:gridSpan w:val="4"/>
          </w:tcPr>
          <w:p>
            <w:pPr>
              <w:spacing w:after="0"/>
              <w:rPr>
                <w:sz w:val="17"/>
                <w:szCs w:val="17"/>
                <w:color w:val="auto"/>
              </w:rPr>
            </w:pPr>
          </w:p>
        </w:tc>
        <w:tc>
          <w:tcPr>
            <w:tcW w:w="4900" w:type="dxa"/>
            <w:vAlign w:val="bottom"/>
            <w:gridSpan w:val="3"/>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91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40" w:type="dxa"/>
            <w:vAlign w:val="bottom"/>
            <w:tcBorders>
              <w:right w:val="single" w:sz="8" w:color="0000EE"/>
            </w:tcBorders>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91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Convertible Preferred Stock and Stockholders’ Equity (Deficit)</w:t>
            </w: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r>
      <w:tr>
        <w:trPr>
          <w:trHeight w:val="196"/>
        </w:trPr>
        <w:tc>
          <w:tcPr>
            <w:tcW w:w="288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40" w:type="dxa"/>
            <w:vAlign w:val="bottom"/>
            <w:tcBorders>
              <w:top w:val="single" w:sz="8" w:color="0000FF"/>
              <w:bottom w:val="single" w:sz="8" w:color="0000EE"/>
            </w:tcBorders>
          </w:tcPr>
          <w:p>
            <w:pPr>
              <w:spacing w:after="0"/>
              <w:rPr>
                <w:sz w:val="17"/>
                <w:szCs w:val="17"/>
                <w:color w:val="auto"/>
              </w:rPr>
            </w:pPr>
          </w:p>
        </w:tc>
        <w:tc>
          <w:tcPr>
            <w:tcW w:w="3660" w:type="dxa"/>
            <w:vAlign w:val="bottom"/>
            <w:tcBorders>
              <w:top w:val="single" w:sz="8" w:color="0000FF"/>
            </w:tcBorders>
            <w:gridSpan w:val="4"/>
          </w:tcPr>
          <w:p>
            <w:pPr>
              <w:spacing w:after="0"/>
              <w:rPr>
                <w:sz w:val="17"/>
                <w:szCs w:val="17"/>
                <w:color w:val="auto"/>
              </w:rPr>
            </w:pPr>
          </w:p>
        </w:tc>
        <w:tc>
          <w:tcPr>
            <w:tcW w:w="2540" w:type="dxa"/>
            <w:vAlign w:val="bottom"/>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196"/>
        </w:trPr>
        <w:tc>
          <w:tcPr>
            <w:tcW w:w="31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960" w:type="dxa"/>
            <w:vAlign w:val="bottom"/>
            <w:gridSpan w:val="4"/>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668"/>
        </w:trPr>
        <w:tc>
          <w:tcPr>
            <w:tcW w:w="6580" w:type="dxa"/>
            <w:vAlign w:val="bottom"/>
            <w:gridSpan w:val="8"/>
          </w:tcPr>
          <w:p>
            <w:pPr>
              <w:jc w:val="center"/>
              <w:ind w:left="4570"/>
              <w:spacing w:after="0"/>
              <w:rPr>
                <w:sz w:val="20"/>
                <w:szCs w:val="20"/>
                <w:color w:val="auto"/>
              </w:rPr>
            </w:pPr>
            <w:r>
              <w:rPr>
                <w:rFonts w:ascii="Times New Roman" w:cs="Times New Roman" w:eastAsia="Times New Roman" w:hAnsi="Times New Roman"/>
                <w:sz w:val="18"/>
                <w:szCs w:val="18"/>
                <w:color w:val="auto"/>
              </w:rPr>
              <w:t>115</w:t>
            </w:r>
          </w:p>
        </w:tc>
        <w:tc>
          <w:tcPr>
            <w:tcW w:w="2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763"/>
        </w:trPr>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7" w:name="page118"/>
    <w:bookmarkEnd w:id="117"/>
    <w:p>
      <w:pPr>
        <w:ind w:left="2660"/>
        <w:spacing w:after="0"/>
        <w:rPr>
          <w:sz w:val="20"/>
          <w:szCs w:val="20"/>
          <w:color w:val="auto"/>
        </w:rPr>
      </w:pPr>
      <w:r>
        <w:rPr>
          <w:rFonts w:ascii="Georgia" w:cs="Georgia" w:eastAsia="Georgia" w:hAnsi="Georgia"/>
          <w:sz w:val="20"/>
          <w:szCs w:val="20"/>
          <w:b w:val="1"/>
          <w:bCs w:val="1"/>
          <w:color w:val="auto"/>
        </w:rPr>
        <w:t>Report of Independent Registered Public Accounting Firm</w:t>
      </w:r>
    </w:p>
    <w:p>
      <w:pPr>
        <w:spacing w:after="0" w:line="205" w:lineRule="exact"/>
        <w:rPr>
          <w:sz w:val="20"/>
          <w:szCs w:val="20"/>
          <w:color w:val="auto"/>
        </w:rPr>
      </w:pPr>
    </w:p>
    <w:p>
      <w:pPr>
        <w:spacing w:after="0"/>
        <w:rPr>
          <w:sz w:val="20"/>
          <w:szCs w:val="20"/>
          <w:color w:val="auto"/>
        </w:rPr>
      </w:pPr>
      <w:r>
        <w:rPr>
          <w:rFonts w:ascii="Georgia" w:cs="Georgia" w:eastAsia="Georgia" w:hAnsi="Georgia"/>
          <w:sz w:val="20"/>
          <w:szCs w:val="20"/>
          <w:color w:val="auto"/>
        </w:rPr>
        <w:t>To the Board of Directors and Stockholders of Rapport Therapeutics, Inc.</w:t>
      </w:r>
    </w:p>
    <w:p>
      <w:pPr>
        <w:spacing w:after="0" w:line="13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Opinion on the Financial Statements</w:t>
      </w:r>
    </w:p>
    <w:p>
      <w:pPr>
        <w:spacing w:after="0" w:line="128" w:lineRule="exact"/>
        <w:rPr>
          <w:sz w:val="20"/>
          <w:szCs w:val="20"/>
          <w:color w:val="auto"/>
        </w:rPr>
      </w:pPr>
    </w:p>
    <w:p>
      <w:pPr>
        <w:ind w:right="120"/>
        <w:spacing w:after="0" w:line="229" w:lineRule="auto"/>
        <w:rPr>
          <w:sz w:val="20"/>
          <w:szCs w:val="20"/>
          <w:color w:val="auto"/>
        </w:rPr>
      </w:pPr>
      <w:r>
        <w:rPr>
          <w:rFonts w:ascii="Georgia" w:cs="Georgia" w:eastAsia="Georgia" w:hAnsi="Georgia"/>
          <w:sz w:val="20"/>
          <w:szCs w:val="20"/>
          <w:color w:val="auto"/>
        </w:rPr>
        <w:t>We have audited the accompanying consolidated balance sheets of Rapport Therapeutics, Inc. and its subsidiary (the "Company") as of December 31, 2025 and 2024, and the related consolidated statements of operations and comprehensive loss, of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39"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Basis for Opinion</w:t>
      </w:r>
    </w:p>
    <w:p>
      <w:pPr>
        <w:spacing w:after="0" w:line="141" w:lineRule="exact"/>
        <w:rPr>
          <w:sz w:val="20"/>
          <w:szCs w:val="20"/>
          <w:color w:val="auto"/>
        </w:rPr>
      </w:pPr>
    </w:p>
    <w:p>
      <w:pPr>
        <w:ind w:right="20"/>
        <w:spacing w:after="0" w:line="229" w:lineRule="auto"/>
        <w:rPr>
          <w:sz w:val="20"/>
          <w:szCs w:val="20"/>
          <w:color w:val="auto"/>
        </w:rPr>
      </w:pPr>
      <w:r>
        <w:rPr>
          <w:rFonts w:ascii="Georgia" w:cs="Georgia" w:eastAsia="Georgia" w:hAnsi="Georgia"/>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ind w:right="140"/>
        <w:spacing w:after="0" w:line="229" w:lineRule="auto"/>
        <w:rPr>
          <w:sz w:val="20"/>
          <w:szCs w:val="20"/>
          <w:color w:val="auto"/>
        </w:rPr>
      </w:pPr>
      <w:r>
        <w:rPr>
          <w:rFonts w:ascii="Georgia" w:cs="Georgia" w:eastAsia="Georgia" w:hAnsi="Georgia"/>
          <w:sz w:val="20"/>
          <w:szCs w:val="20"/>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4" w:lineRule="exact"/>
        <w:rPr>
          <w:sz w:val="20"/>
          <w:szCs w:val="20"/>
          <w:color w:val="auto"/>
        </w:rPr>
      </w:pPr>
    </w:p>
    <w:p>
      <w:pPr>
        <w:spacing w:after="0" w:line="242" w:lineRule="auto"/>
        <w:rPr>
          <w:sz w:val="20"/>
          <w:szCs w:val="20"/>
          <w:color w:val="auto"/>
        </w:rPr>
      </w:pPr>
      <w:r>
        <w:rPr>
          <w:rFonts w:ascii="Georgia" w:cs="Georgia" w:eastAsia="Georgia" w:hAnsi="Georgia"/>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Georgia" w:cs="Georgia" w:eastAsia="Georgia" w:hAnsi="Georgia"/>
          <w:sz w:val="20"/>
          <w:szCs w:val="20"/>
          <w:color w:val="auto"/>
        </w:rPr>
        <w:t>/s/ PricewaterhouseCoopers LLP</w:t>
      </w:r>
    </w:p>
    <w:p>
      <w:pPr>
        <w:spacing w:after="0" w:line="228" w:lineRule="auto"/>
        <w:rPr>
          <w:sz w:val="20"/>
          <w:szCs w:val="20"/>
          <w:color w:val="auto"/>
        </w:rPr>
      </w:pPr>
      <w:r>
        <w:rPr>
          <w:rFonts w:ascii="Georgia" w:cs="Georgia" w:eastAsia="Georgia" w:hAnsi="Georgia"/>
          <w:sz w:val="20"/>
          <w:szCs w:val="20"/>
          <w:color w:val="auto"/>
        </w:rPr>
        <w:t>Boston, Massachusetts</w:t>
      </w:r>
    </w:p>
    <w:p>
      <w:pPr>
        <w:spacing w:after="0" w:line="236" w:lineRule="auto"/>
        <w:rPr>
          <w:sz w:val="20"/>
          <w:szCs w:val="20"/>
          <w:color w:val="auto"/>
        </w:rPr>
      </w:pPr>
      <w:r>
        <w:rPr>
          <w:rFonts w:ascii="Georgia" w:cs="Georgia" w:eastAsia="Georgia" w:hAnsi="Georgia"/>
          <w:sz w:val="20"/>
          <w:szCs w:val="20"/>
          <w:color w:val="auto"/>
        </w:rPr>
        <w:t>March 10, 2026</w:t>
      </w:r>
    </w:p>
    <w:p>
      <w:pPr>
        <w:spacing w:after="0" w:line="137" w:lineRule="exact"/>
        <w:rPr>
          <w:sz w:val="20"/>
          <w:szCs w:val="20"/>
          <w:color w:val="auto"/>
        </w:rPr>
      </w:pPr>
    </w:p>
    <w:p>
      <w:pPr>
        <w:spacing w:after="0"/>
        <w:rPr>
          <w:sz w:val="20"/>
          <w:szCs w:val="20"/>
          <w:color w:val="auto"/>
        </w:rPr>
      </w:pPr>
      <w:r>
        <w:rPr>
          <w:rFonts w:ascii="Georgia" w:cs="Georgia" w:eastAsia="Georgia" w:hAnsi="Georgia"/>
          <w:sz w:val="20"/>
          <w:szCs w:val="20"/>
          <w:color w:val="auto"/>
        </w:rPr>
        <w:t>We have served as the Company’s auditor since 2023.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0" w:right="359" w:bottom="1440" w:gutter="0" w:footer="0" w:header="0"/>
        </w:sectPr>
      </w:pPr>
    </w:p>
    <w:bookmarkStart w:id="118" w:name="page119"/>
    <w:bookmarkEnd w:id="118"/>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52,645</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56,805</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248,475</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00" w:type="dxa"/>
            <w:vAlign w:val="bottom"/>
          </w:tcPr>
          <w:p>
            <w:pPr>
              <w:spacing w:after="0"/>
              <w:rPr>
                <w:sz w:val="18"/>
                <w:szCs w:val="18"/>
                <w:color w:val="auto"/>
              </w:rPr>
            </w:pPr>
          </w:p>
        </w:tc>
      </w:tr>
      <w:tr>
        <w:trPr>
          <w:trHeight w:val="209"/>
        </w:trPr>
        <w:tc>
          <w:tcPr>
            <w:tcW w:w="6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498,561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309,802</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 of use asset, net</w:t>
            </w: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r>
      <w:tr>
        <w:trPr>
          <w:trHeight w:val="250"/>
        </w:trPr>
        <w:tc>
          <w:tcPr>
            <w:tcW w:w="6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512,431</w:t>
            </w:r>
          </w:p>
        </w:tc>
        <w:tc>
          <w:tcPr>
            <w:tcW w:w="20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314,933</w:t>
            </w:r>
          </w:p>
        </w:tc>
        <w:tc>
          <w:tcPr>
            <w:tcW w:w="100" w:type="dxa"/>
            <w:vAlign w:val="bottom"/>
            <w:shd w:val="clear" w:color="auto" w:fill="CFF0FC"/>
          </w:tcPr>
          <w:p>
            <w:pPr>
              <w:spacing w:after="0"/>
              <w:rPr>
                <w:sz w:val="21"/>
                <w:szCs w:val="21"/>
                <w:color w:val="auto"/>
              </w:rPr>
            </w:pPr>
          </w:p>
        </w:tc>
      </w:tr>
      <w:tr>
        <w:trPr>
          <w:trHeight w:val="197"/>
        </w:trPr>
        <w:tc>
          <w:tcPr>
            <w:tcW w:w="65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20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8"/>
                <w:szCs w:val="18"/>
                <w:color w:val="auto"/>
              </w:rPr>
            </w:pPr>
          </w:p>
        </w:tc>
      </w:tr>
      <w:tr>
        <w:trPr>
          <w:trHeight w:val="210"/>
        </w:trPr>
        <w:tc>
          <w:tcPr>
            <w:tcW w:w="6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8"/>
                <w:szCs w:val="18"/>
                <w:color w:val="auto"/>
              </w:rPr>
            </w:pPr>
          </w:p>
        </w:tc>
      </w:tr>
      <w:tr>
        <w:trPr>
          <w:trHeight w:val="209"/>
        </w:trPr>
        <w:tc>
          <w:tcPr>
            <w:tcW w:w="6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5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Undesignated preferred stock, $0.001 par value; 10,000,000 shares authorized at</w:t>
            </w: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2025 and December 31, 2024, respectively; zero shares issued and</w:t>
            </w: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at December 31, 2025 and December 31, 2024</w:t>
            </w:r>
          </w:p>
        </w:tc>
        <w:tc>
          <w:tcPr>
            <w:tcW w:w="360" w:type="dxa"/>
            <w:vAlign w:val="bottom"/>
          </w:tcPr>
          <w:p>
            <w:pPr>
              <w:spacing w:after="0"/>
              <w:rPr>
                <w:sz w:val="20"/>
                <w:szCs w:val="20"/>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5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500,000,000 shares authorized at December 31,</w:t>
            </w:r>
          </w:p>
        </w:tc>
        <w:tc>
          <w:tcPr>
            <w:tcW w:w="36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2025 and December 31, 2024; 47,772,567 shares and 36,580,202 shares issued and</w:t>
            </w: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outstanding as of December 31, 2025 and December 31, 2024, respectively</w:t>
            </w:r>
          </w:p>
        </w:tc>
        <w:tc>
          <w:tcPr>
            <w:tcW w:w="36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0"/>
                <w:szCs w:val="20"/>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429,657</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(235,228)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(123,745)</w:t>
            </w:r>
          </w:p>
        </w:tc>
      </w:tr>
      <w:tr>
        <w:trPr>
          <w:trHeight w:val="210"/>
        </w:trPr>
        <w:tc>
          <w:tcPr>
            <w:tcW w:w="6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484,653</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512,431</w:t>
            </w:r>
          </w:p>
        </w:tc>
        <w:tc>
          <w:tcPr>
            <w:tcW w:w="20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314,933</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-2965450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-2948305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9" w:name="page120"/>
    <w:bookmarkEnd w:id="119"/>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94,789</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30,310</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125,099</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(125,099)</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(83,055)</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preferred stock tranche right liability</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(7,390)</w:t>
            </w:r>
          </w:p>
        </w:tc>
        <w:tc>
          <w:tcPr>
            <w:tcW w:w="0" w:type="dxa"/>
            <w:vAlign w:val="bottom"/>
          </w:tcPr>
          <w:p>
            <w:pPr>
              <w:spacing w:after="0"/>
              <w:rPr>
                <w:sz w:val="1"/>
                <w:szCs w:val="1"/>
                <w:color w:val="auto"/>
              </w:rPr>
            </w:pPr>
          </w:p>
        </w:tc>
      </w:tr>
      <w:tr>
        <w:trPr>
          <w:trHeight w:val="210"/>
        </w:trPr>
        <w:tc>
          <w:tcPr>
            <w:tcW w:w="62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 income, net</w:t>
            </w:r>
          </w:p>
        </w:tc>
        <w:tc>
          <w:tcPr>
            <w:tcW w:w="15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(111,483)</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(78,307)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18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(2.86)</w:t>
            </w:r>
          </w:p>
        </w:tc>
        <w:tc>
          <w:tcPr>
            <w:tcW w:w="38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4"/>
        </w:trPr>
        <w:tc>
          <w:tcPr>
            <w:tcW w:w="628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1880" w:type="dxa"/>
            <w:vAlign w:val="bottom"/>
            <w:gridSpan w:val="2"/>
            <w:vMerge w:val="continue"/>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380" w:type="dxa"/>
            <w:vAlign w:val="bottom"/>
            <w:vMerge w:val="continue"/>
            <w:shd w:val="clear" w:color="auto" w:fill="CFF0FC"/>
          </w:tcPr>
          <w:p>
            <w:pPr>
              <w:spacing w:after="0"/>
              <w:rPr>
                <w:sz w:val="20"/>
                <w:szCs w:val="20"/>
                <w:color w:val="auto"/>
              </w:rPr>
            </w:pPr>
          </w:p>
        </w:tc>
        <w:tc>
          <w:tcPr>
            <w:tcW w:w="13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5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38,934,569</w:t>
            </w:r>
          </w:p>
        </w:tc>
        <w:tc>
          <w:tcPr>
            <w:tcW w:w="30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20,738,338</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(111,483)</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(78,307)</w:t>
            </w: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 in unrealized gains (losses) on investments, net of tax</w:t>
            </w: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0"/>
        </w:trPr>
        <w:tc>
          <w:tcPr>
            <w:tcW w:w="62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(110,415)</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(78,833)</w:t>
            </w:r>
          </w:p>
        </w:tc>
        <w:tc>
          <w:tcPr>
            <w:tcW w:w="0" w:type="dxa"/>
            <w:vAlign w:val="bottom"/>
          </w:tcPr>
          <w:p>
            <w:pPr>
              <w:spacing w:after="0"/>
              <w:rPr>
                <w:sz w:val="1"/>
                <w:szCs w:val="1"/>
                <w:color w:val="auto"/>
              </w:rPr>
            </w:pPr>
          </w:p>
        </w:tc>
      </w:tr>
      <w:tr>
        <w:trPr>
          <w:trHeight w:val="20"/>
        </w:trPr>
        <w:tc>
          <w:tcPr>
            <w:tcW w:w="628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-2159635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-2159635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-1310640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-1310640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-890905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-873760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-316230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0" w:name="page121"/>
    <w:bookmarkEnd w:id="120"/>
    <w:p>
      <w:pPr>
        <w:jc w:val="center"/>
        <w:ind w:right="-39"/>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Consolidated Statements of Convertible Preferred Stock and Stockholders’ Equity (Deficit)</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ectPr>
          <w:pgSz w:w="11900" w:h="16838" w:orient="portrait"/>
          <w:cols w:equalWidth="0" w:num="1">
            <w:col w:w="11180"/>
          </w:cols>
          <w:pgMar w:left="320" w:top="98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Series A Convertible</w:t>
            </w:r>
          </w:p>
        </w:tc>
        <w:tc>
          <w:tcPr>
            <w:tcW w:w="1520" w:type="dxa"/>
            <w:vAlign w:val="bottom"/>
            <w:gridSpan w:val="5"/>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Series B Convertible</w:t>
            </w: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Borders>
              <w:bottom w:val="single" w:sz="8" w:color="auto"/>
            </w:tcBorders>
            <w:gridSpan w:val="4"/>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20" w:type="dxa"/>
            <w:vAlign w:val="bottom"/>
          </w:tcPr>
          <w:p>
            <w:pPr>
              <w:spacing w:after="0"/>
              <w:rPr>
                <w:sz w:val="13"/>
                <w:szCs w:val="13"/>
                <w:color w:val="auto"/>
              </w:rPr>
            </w:pPr>
          </w:p>
        </w:tc>
        <w:tc>
          <w:tcPr>
            <w:tcW w:w="1480" w:type="dxa"/>
            <w:vAlign w:val="bottom"/>
            <w:tcBorders>
              <w:bottom w:val="single" w:sz="8" w:color="auto"/>
            </w:tcBorders>
            <w:gridSpan w:val="4"/>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20" w:type="dxa"/>
            <w:vAlign w:val="bottom"/>
          </w:tcPr>
          <w:p>
            <w:pPr>
              <w:spacing w:after="0"/>
              <w:rPr>
                <w:sz w:val="22"/>
                <w:szCs w:val="22"/>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22"/>
                <w:szCs w:val="22"/>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22"/>
                <w:szCs w:val="2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0" w:type="dxa"/>
            <w:vAlign w:val="bottom"/>
          </w:tcPr>
          <w:p>
            <w:pPr>
              <w:spacing w:after="0"/>
              <w:rPr>
                <w:sz w:val="1"/>
                <w:szCs w:val="1"/>
                <w:color w:val="auto"/>
              </w:rPr>
            </w:pPr>
          </w:p>
        </w:tc>
      </w:tr>
      <w:tr>
        <w:trPr>
          <w:trHeight w:val="110"/>
        </w:trPr>
        <w:tc>
          <w:tcPr>
            <w:tcW w:w="2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100,182,35</w:t>
            </w: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89,487</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51,273,790</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77,091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line="138" w:lineRule="exact"/>
              <w:rPr>
                <w:sz w:val="20"/>
                <w:szCs w:val="20"/>
                <w:color w:val="auto"/>
              </w:rPr>
            </w:pPr>
            <w:r>
              <w:rPr>
                <w:rFonts w:ascii="Times New Roman" w:cs="Times New Roman" w:eastAsia="Times New Roman" w:hAnsi="Times New Roman"/>
                <w:sz w:val="13"/>
                <w:szCs w:val="13"/>
                <w:color w:val="auto"/>
              </w:rPr>
              <w:t>Issuance of Series B convertible</w:t>
            </w: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preferred stock for the settlement of</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the tranche right liability, net of</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issuance costs of $87</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38,157,240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68,161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Conversion of Series A convertible</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preferred stock to common stock</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upon closing of the initial public</w:t>
            </w: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(100,182,3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offering</w:t>
            </w:r>
          </w:p>
        </w:tc>
        <w:tc>
          <w:tcPr>
            <w:tcW w:w="10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(89,487)</w:t>
            </w: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Conversion of Series B convertible</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preferred stock to common stock</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upon closing of the initial public</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(89,431,03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offering</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(145,252)</w:t>
            </w: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from</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initial public offering, net of</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issuance costs of $15,519</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from</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private placement, net of issuance</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cost of $1,297</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8"/>
              </w:rPr>
              <w:t>Issuance of common stock upon exercise of</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options</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6"/>
        </w:trPr>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Change in unrealized gain (loss) on</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2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auto"/>
              </w:rPr>
              <w:t>investments, net of tax</w:t>
            </w:r>
          </w:p>
        </w:tc>
        <w:tc>
          <w:tcPr>
            <w:tcW w:w="12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6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2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line="138" w:lineRule="exact"/>
              <w:rPr>
                <w:sz w:val="20"/>
                <w:szCs w:val="20"/>
                <w:color w:val="auto"/>
              </w:rPr>
            </w:pPr>
            <w:r>
              <w:rPr>
                <w:rFonts w:ascii="Times New Roman" w:cs="Times New Roman" w:eastAsia="Times New Roman" w:hAnsi="Times New Roman"/>
                <w:sz w:val="13"/>
                <w:szCs w:val="13"/>
                <w:color w:val="auto"/>
              </w:rPr>
              <w:t>Issuance of common stock from</w:t>
            </w: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6"/>
              </w:rPr>
              <w:t>underwritten public offering, net of issuance</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costs of $18,061</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8"/>
              </w:rPr>
              <w:t>Issuance of common stock upon exercise of</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options</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2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Vesting of performance-based restricted</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units</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9"/>
              </w:rPr>
              <w:t>Repurchase of unvested restricted common</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2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2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Change in unrealized gain on investments,</w:t>
            </w:r>
          </w:p>
        </w:tc>
        <w:tc>
          <w:tcPr>
            <w:tcW w:w="120" w:type="dxa"/>
            <w:vAlign w:val="bottom"/>
            <w:shd w:val="clear" w:color="auto" w:fill="CFF0FC"/>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260" w:type="dxa"/>
            <w:vAlign w:val="bottom"/>
            <w:tcBorders>
              <w:bottom w:val="single" w:sz="8" w:color="CFF0FC"/>
            </w:tcBorders>
            <w:shd w:val="clear" w:color="auto" w:fill="CFF0FC"/>
          </w:tcPr>
          <w:p>
            <w:pPr>
              <w:ind w:left="100"/>
              <w:spacing w:after="0" w:line="140" w:lineRule="exact"/>
              <w:rPr>
                <w:sz w:val="20"/>
                <w:szCs w:val="20"/>
                <w:color w:val="auto"/>
              </w:rPr>
            </w:pPr>
            <w:r>
              <w:rPr>
                <w:rFonts w:ascii="Times New Roman" w:cs="Times New Roman" w:eastAsia="Times New Roman" w:hAnsi="Times New Roman"/>
                <w:sz w:val="13"/>
                <w:szCs w:val="13"/>
                <w:color w:val="auto"/>
              </w:rPr>
              <w:t>net of tax</w:t>
            </w: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60" w:type="dxa"/>
            <w:vAlign w:val="bottom"/>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120" w:type="dxa"/>
            <w:vAlign w:val="bottom"/>
            <w:shd w:val="clear" w:color="auto" w:fill="CFF0FC"/>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FF0FC"/>
              <w:bottom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bottom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-4628515</wp:posOffset>
            </wp:positionV>
            <wp:extent cx="7132320" cy="46291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4629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ulated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Additi</w:t>
            </w:r>
          </w:p>
        </w:tc>
        <w:tc>
          <w:tcPr>
            <w:tcW w:w="34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1100" w:type="dxa"/>
            <w:vAlign w:val="bottom"/>
            <w:gridSpan w:val="4"/>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onal</w:t>
            </w:r>
          </w:p>
        </w:tc>
        <w:tc>
          <w:tcPr>
            <w:tcW w:w="34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ehensiv</w:t>
            </w:r>
          </w:p>
        </w:tc>
        <w:tc>
          <w:tcPr>
            <w:tcW w:w="340" w:type="dxa"/>
            <w:vAlign w:val="bottom"/>
          </w:tcPr>
          <w:p>
            <w:pPr>
              <w:spacing w:after="0"/>
              <w:rPr>
                <w:sz w:val="11"/>
                <w:szCs w:val="11"/>
                <w:color w:val="auto"/>
              </w:rPr>
            </w:pPr>
          </w:p>
        </w:tc>
        <w:tc>
          <w:tcPr>
            <w:tcW w:w="8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7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w:t>
            </w:r>
          </w:p>
        </w:tc>
        <w:tc>
          <w:tcPr>
            <w:tcW w:w="0" w:type="dxa"/>
            <w:vAlign w:val="bottom"/>
          </w:tcPr>
          <w:p>
            <w:pPr>
              <w:spacing w:after="0"/>
              <w:rPr>
                <w:sz w:val="1"/>
                <w:szCs w:val="1"/>
                <w:color w:val="auto"/>
              </w:rPr>
            </w:pPr>
          </w:p>
        </w:tc>
      </w:tr>
      <w:tr>
        <w:trPr>
          <w:trHeight w:val="142"/>
        </w:trPr>
        <w:tc>
          <w:tcPr>
            <w:tcW w:w="1100" w:type="dxa"/>
            <w:vAlign w:val="bottom"/>
            <w:tcBorders>
              <w:bottom w:val="single" w:sz="8" w:color="auto"/>
            </w:tcBorders>
            <w:gridSpan w:val="4"/>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3"/>
                <w:szCs w:val="13"/>
                <w:b w:val="1"/>
                <w:bCs w:val="1"/>
                <w:color w:val="auto"/>
              </w:rPr>
              <w:t>ed</w:t>
            </w:r>
          </w:p>
        </w:tc>
        <w:tc>
          <w:tcPr>
            <w:tcW w:w="100" w:type="dxa"/>
            <w:vAlign w:val="bottom"/>
          </w:tcPr>
          <w:p>
            <w:pPr>
              <w:spacing w:after="0"/>
              <w:rPr>
                <w:sz w:val="12"/>
                <w:szCs w:val="12"/>
                <w:color w:val="auto"/>
              </w:rPr>
            </w:pPr>
          </w:p>
        </w:tc>
        <w:tc>
          <w:tcPr>
            <w:tcW w:w="6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 Equity</w:t>
            </w:r>
          </w:p>
        </w:tc>
        <w:tc>
          <w:tcPr>
            <w:tcW w:w="0" w:type="dxa"/>
            <w:vAlign w:val="bottom"/>
          </w:tcPr>
          <w:p>
            <w:pPr>
              <w:spacing w:after="0"/>
              <w:rPr>
                <w:sz w:val="1"/>
                <w:szCs w:val="1"/>
                <w:color w:val="auto"/>
              </w:rPr>
            </w:pPr>
          </w:p>
        </w:tc>
      </w:tr>
      <w:tr>
        <w:trPr>
          <w:trHeight w:val="108"/>
        </w:trPr>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Amoun</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Income</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1"/>
              </w:rPr>
              <w:t>t</w:t>
            </w:r>
          </w:p>
        </w:tc>
        <w:tc>
          <w:tcPr>
            <w:tcW w:w="4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340" w:type="dxa"/>
            <w:vAlign w:val="bottom"/>
          </w:tcPr>
          <w:p>
            <w:pPr>
              <w:spacing w:after="0"/>
              <w:rPr>
                <w:sz w:val="13"/>
                <w:szCs w:val="13"/>
                <w:color w:val="auto"/>
              </w:rPr>
            </w:pPr>
          </w:p>
        </w:tc>
        <w:tc>
          <w:tcPr>
            <w:tcW w:w="5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10"/>
        </w:trPr>
        <w:tc>
          <w:tcPr>
            <w:tcW w:w="4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4,170,</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19,79</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140" w:type="dxa"/>
            <w:vAlign w:val="bottom"/>
          </w:tcPr>
          <w:p>
            <w:pPr>
              <w:spacing w:after="0"/>
              <w:rPr>
                <w:sz w:val="13"/>
                <w:szCs w:val="13"/>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5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3"/>
                <w:szCs w:val="13"/>
                <w:color w:val="auto"/>
              </w:rPr>
            </w:pP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3"/>
                <w:szCs w:val="13"/>
                <w:color w:val="auto"/>
              </w:rPr>
            </w:pP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(45,438)</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(25,634)</w:t>
            </w:r>
          </w:p>
        </w:tc>
        <w:tc>
          <w:tcPr>
            <w:tcW w:w="0" w:type="dxa"/>
            <w:vAlign w:val="bottom"/>
          </w:tcPr>
          <w:p>
            <w:pPr>
              <w:spacing w:after="0"/>
              <w:rPr>
                <w:sz w:val="1"/>
                <w:szCs w:val="1"/>
                <w:color w:val="auto"/>
              </w:rPr>
            </w:pP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7,343</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145,252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140,868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10,23</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(78,307)</w:t>
            </w: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(78,307)</w:t>
            </w:r>
          </w:p>
        </w:tc>
        <w:tc>
          <w:tcPr>
            <w:tcW w:w="0" w:type="dxa"/>
            <w:vAlign w:val="bottom"/>
          </w:tcPr>
          <w:p>
            <w:pPr>
              <w:spacing w:after="0"/>
              <w:rPr>
                <w:sz w:val="1"/>
                <w:szCs w:val="1"/>
                <w:color w:val="auto"/>
              </w:rPr>
            </w:pPr>
          </w:p>
        </w:tc>
      </w:tr>
      <w:tr>
        <w:trPr>
          <w:trHeight w:val="245"/>
        </w:trPr>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(526)</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0" w:type="dxa"/>
            <w:vAlign w:val="bottom"/>
          </w:tcPr>
          <w:p>
            <w:pPr>
              <w:spacing w:after="0"/>
              <w:rPr>
                <w:sz w:val="1"/>
                <w:szCs w:val="1"/>
                <w:color w:val="auto"/>
              </w:rPr>
            </w:pPr>
          </w:p>
        </w:tc>
      </w:tr>
      <w:tr>
        <w:trPr>
          <w:trHeight w:val="110"/>
        </w:trPr>
        <w:tc>
          <w:tcPr>
            <w:tcW w:w="4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36,58</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429,6</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0,202</w:t>
            </w:r>
          </w:p>
        </w:tc>
        <w:tc>
          <w:tcPr>
            <w:tcW w:w="140" w:type="dxa"/>
            <w:vAlign w:val="bottom"/>
          </w:tcPr>
          <w:p>
            <w:pPr>
              <w:spacing w:after="0"/>
              <w:rPr>
                <w:sz w:val="13"/>
                <w:szCs w:val="13"/>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5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40" w:type="dxa"/>
            <w:vAlign w:val="bottom"/>
          </w:tcPr>
          <w:p>
            <w:pPr>
              <w:spacing w:after="0"/>
              <w:rPr>
                <w:sz w:val="13"/>
                <w:szCs w:val="13"/>
                <w:color w:val="auto"/>
              </w:rPr>
            </w:pP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(522)</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(123,745)</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305,427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7,692</w:t>
            </w:r>
          </w:p>
        </w:tc>
        <w:tc>
          <w:tcPr>
            <w:tcW w:w="140" w:type="dxa"/>
            <w:vAlign w:val="bottom"/>
          </w:tcPr>
          <w:p>
            <w:pPr>
              <w:spacing w:after="0"/>
              <w:rPr>
                <w:sz w:val="11"/>
                <w:szCs w:val="11"/>
                <w:color w:val="auto"/>
              </w:rPr>
            </w:pPr>
          </w:p>
        </w:tc>
        <w:tc>
          <w:tcPr>
            <w:tcW w:w="5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54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40" w:type="dxa"/>
            <w:vAlign w:val="bottom"/>
          </w:tcPr>
          <w:p>
            <w:pPr>
              <w:spacing w:after="0"/>
              <w:rPr>
                <w:sz w:val="11"/>
                <w:szCs w:val="11"/>
                <w:color w:val="auto"/>
              </w:rPr>
            </w:pPr>
          </w:p>
        </w:tc>
        <w:tc>
          <w:tcPr>
            <w:tcW w:w="4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269,439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192,8</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140" w:type="dxa"/>
            <w:vAlign w:val="bottom"/>
          </w:tcPr>
          <w:p>
            <w:pPr>
              <w:spacing w:after="0"/>
              <w:rPr>
                <w:sz w:val="11"/>
                <w:szCs w:val="11"/>
                <w:color w:val="auto"/>
              </w:rPr>
            </w:pPr>
          </w:p>
        </w:tc>
        <w:tc>
          <w:tcPr>
            <w:tcW w:w="5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1,348</w:t>
            </w:r>
          </w:p>
        </w:tc>
        <w:tc>
          <w:tcPr>
            <w:tcW w:w="140" w:type="dxa"/>
            <w:vAlign w:val="bottom"/>
          </w:tcPr>
          <w:p>
            <w:pPr>
              <w:spacing w:after="0"/>
              <w:rPr>
                <w:sz w:val="11"/>
                <w:szCs w:val="11"/>
                <w:color w:val="auto"/>
              </w:rPr>
            </w:pPr>
          </w:p>
        </w:tc>
        <w:tc>
          <w:tcPr>
            <w:tcW w:w="4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18,85</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34,75</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(92,94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4"/>
        </w:trPr>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(111,483)</w:t>
            </w: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(111,483)</w:t>
            </w:r>
          </w:p>
        </w:tc>
        <w:tc>
          <w:tcPr>
            <w:tcW w:w="0" w:type="dxa"/>
            <w:vAlign w:val="bottom"/>
          </w:tcPr>
          <w:p>
            <w:pPr>
              <w:spacing w:after="0"/>
              <w:rPr>
                <w:sz w:val="1"/>
                <w:szCs w:val="1"/>
                <w:color w:val="auto"/>
              </w:rPr>
            </w:pPr>
          </w:p>
        </w:tc>
      </w:tr>
      <w:tr>
        <w:trPr>
          <w:trHeight w:val="246"/>
        </w:trPr>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4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47,77</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719,2</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2,567</w:t>
            </w:r>
          </w:p>
        </w:tc>
        <w:tc>
          <w:tcPr>
            <w:tcW w:w="140" w:type="dxa"/>
            <w:vAlign w:val="bottom"/>
          </w:tcPr>
          <w:p>
            <w:pPr>
              <w:spacing w:after="0"/>
              <w:rPr>
                <w:sz w:val="13"/>
                <w:szCs w:val="13"/>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5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40" w:type="dxa"/>
            <w:vAlign w:val="bottom"/>
          </w:tcPr>
          <w:p>
            <w:pPr>
              <w:spacing w:after="0"/>
              <w:rPr>
                <w:sz w:val="13"/>
                <w:szCs w:val="13"/>
                <w:color w:val="auto"/>
              </w:rPr>
            </w:pP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20" w:type="dxa"/>
            <w:vAlign w:val="bottom"/>
          </w:tcPr>
          <w:p>
            <w:pPr>
              <w:spacing w:after="0"/>
              <w:rPr>
                <w:sz w:val="13"/>
                <w:szCs w:val="13"/>
                <w:color w:val="auto"/>
              </w:rPr>
            </w:pP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(235,228)</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484,653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80" w:space="280"/>
            <w:col w:w="5220"/>
          </w:cols>
          <w:pgMar w:left="320" w:top="985" w:right="399" w:bottom="1440" w:gutter="0" w:footer="0" w:header="0"/>
          <w:type w:val="continuous"/>
        </w:sectPr>
      </w:pP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type w:val="continuous"/>
        </w:sectPr>
      </w:pPr>
    </w:p>
    <w:bookmarkStart w:id="121" w:name="page122"/>
    <w:bookmarkEnd w:id="121"/>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jc w:val="center"/>
        <w:ind w:left="7720"/>
        <w:spacing w:after="0" w:line="224" w:lineRule="auto"/>
        <w:rPr>
          <w:sz w:val="20"/>
          <w:szCs w:val="20"/>
          <w:color w:val="auto"/>
        </w:rPr>
      </w:pPr>
      <w:r>
        <w:rPr>
          <w:rFonts w:ascii="Times New Roman" w:cs="Times New Roman" w:eastAsia="Times New Roman" w:hAnsi="Times New Roman"/>
          <w:sz w:val="14"/>
          <w:szCs w:val="14"/>
          <w:b w:val="1"/>
          <w:bCs w:val="1"/>
          <w:color w:val="auto"/>
        </w:rPr>
        <w:t>For the year</w:t>
      </w:r>
    </w:p>
    <w:p>
      <w:pPr>
        <w:jc w:val="center"/>
        <w:ind w:left="7720"/>
        <w:spacing w:after="0" w:line="232" w:lineRule="auto"/>
        <w:rPr>
          <w:sz w:val="20"/>
          <w:szCs w:val="20"/>
          <w:color w:val="auto"/>
        </w:rPr>
      </w:pPr>
      <w:r>
        <w:rPr>
          <w:rFonts w:ascii="Times New Roman" w:cs="Times New Roman" w:eastAsia="Times New Roman" w:hAnsi="Times New Roman"/>
          <w:sz w:val="14"/>
          <w:szCs w:val="14"/>
          <w:b w:val="1"/>
          <w:bCs w:val="1"/>
          <w:color w:val="auto"/>
        </w:rPr>
        <w:t>ended December 31,</w:t>
      </w:r>
    </w:p>
    <w:tbl>
      <w:tblPr>
        <w:tblLayout w:type="fixed"/>
        <w:tblInd w:w="0" w:type="dxa"/>
        <w:tblCellMar>
          <w:top w:w="0" w:type="dxa"/>
          <w:left w:w="0" w:type="dxa"/>
          <w:bottom w:w="0" w:type="dxa"/>
          <w:right w:w="0" w:type="dxa"/>
        </w:tblCellMar>
      </w:tblPr>
      <w:tr>
        <w:trPr>
          <w:trHeight w:val="142"/>
        </w:trPr>
        <w:tc>
          <w:tcPr>
            <w:tcW w:w="78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(111,483)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(78,307)</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(accretion) and amortization of investments in marketable securities</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(1,396)</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(3,211)</w:t>
            </w: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preferred stock tranche right liability</w:t>
            </w:r>
          </w:p>
        </w:tc>
        <w:tc>
          <w:tcPr>
            <w:tcW w:w="3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(3,597)</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(1,854)</w:t>
            </w: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(791)</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w:t>
            </w:r>
          </w:p>
        </w:tc>
      </w:tr>
      <w:tr>
        <w:trPr>
          <w:trHeight w:val="20"/>
        </w:trPr>
        <w:tc>
          <w:tcPr>
            <w:tcW w:w="7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(87,473)</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(64,828)</w:t>
            </w:r>
          </w:p>
        </w:tc>
      </w:tr>
      <w:tr>
        <w:trPr>
          <w:trHeight w:val="209"/>
        </w:trPr>
        <w:tc>
          <w:tcPr>
            <w:tcW w:w="7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(354,784)</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(377,532)</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167,927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209,796</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(616)</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(2,405)</w:t>
            </w:r>
          </w:p>
        </w:tc>
      </w:tr>
      <w:tr>
        <w:trPr>
          <w:trHeight w:val="20"/>
        </w:trPr>
        <w:tc>
          <w:tcPr>
            <w:tcW w:w="78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(187,473)</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(170,141)</w:t>
            </w: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initial public offering and concurrent private placement, net of underwriter discounts and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commissions and deferred offering costs</w:t>
            </w:r>
          </w:p>
        </w:tc>
        <w:tc>
          <w:tcPr>
            <w:tcW w:w="36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157,705</w:t>
            </w:r>
          </w:p>
        </w:tc>
        <w:tc>
          <w:tcPr>
            <w:tcW w:w="100" w:type="dxa"/>
            <w:vAlign w:val="bottom"/>
          </w:tcPr>
          <w:p>
            <w:pPr>
              <w:spacing w:after="0"/>
              <w:rPr>
                <w:sz w:val="20"/>
                <w:szCs w:val="20"/>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Series B convertible preferred stock, net of issuance costs paid</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63,913</w:t>
            </w:r>
          </w:p>
        </w:tc>
        <w:tc>
          <w:tcPr>
            <w:tcW w:w="100" w:type="dxa"/>
            <w:vAlign w:val="bottom"/>
            <w:shd w:val="clear" w:color="auto" w:fill="CFF0FC"/>
          </w:tcPr>
          <w:p>
            <w:pPr>
              <w:spacing w:after="0"/>
              <w:rPr>
                <w:sz w:val="18"/>
                <w:szCs w:val="18"/>
                <w:color w:val="auto"/>
              </w:rPr>
            </w:pPr>
          </w:p>
        </w:tc>
      </w:tr>
      <w:tr>
        <w:trPr>
          <w:trHeight w:val="198"/>
        </w:trPr>
        <w:tc>
          <w:tcPr>
            <w:tcW w:w="7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underwritten public offering, net of underwriter discounts and commissions and deferred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269,439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unvested restricted common stock</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270,786</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(4,160)</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(13,344)</w:t>
            </w: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56,910</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52,750</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56,910</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for noncash investing and 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 of Series B preferred stock tranche right liability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100" w:type="dxa"/>
            <w:vAlign w:val="bottom"/>
            <w:shd w:val="clear" w:color="auto" w:fill="CFF0FC"/>
          </w:tcPr>
          <w:p>
            <w:pPr>
              <w:spacing w:after="0"/>
              <w:rPr>
                <w:sz w:val="18"/>
                <w:szCs w:val="18"/>
                <w:color w:val="auto"/>
              </w:rPr>
            </w:pPr>
          </w:p>
        </w:tc>
      </w:tr>
      <w:tr>
        <w:trPr>
          <w:trHeight w:val="198"/>
        </w:trPr>
        <w:tc>
          <w:tcPr>
            <w:tcW w:w="7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Series A convertible preferred stock into common stock upon closing of initial public</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offering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89,487</w:t>
            </w:r>
          </w:p>
        </w:tc>
        <w:tc>
          <w:tcPr>
            <w:tcW w:w="100" w:type="dxa"/>
            <w:vAlign w:val="bottom"/>
          </w:tcPr>
          <w:p>
            <w:pPr>
              <w:spacing w:after="0"/>
              <w:rPr>
                <w:sz w:val="20"/>
                <w:szCs w:val="20"/>
                <w:color w:val="auto"/>
              </w:rPr>
            </w:pPr>
          </w:p>
        </w:tc>
      </w:tr>
      <w:tr>
        <w:trPr>
          <w:trHeight w:val="198"/>
        </w:trPr>
        <w:tc>
          <w:tcPr>
            <w:tcW w:w="7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Conversion of Series B convertible preferred stock into common stock upon closing of initial public</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offering</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145,252</w:t>
            </w:r>
          </w:p>
        </w:tc>
        <w:tc>
          <w:tcPr>
            <w:tcW w:w="100" w:type="dxa"/>
            <w:vAlign w:val="bottom"/>
            <w:shd w:val="clear" w:color="auto" w:fill="CFF0FC"/>
          </w:tcPr>
          <w:p>
            <w:pPr>
              <w:spacing w:after="0"/>
              <w:rPr>
                <w:sz w:val="20"/>
                <w:szCs w:val="20"/>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Offering costs included in accounts payable and accrued expenses at period end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 at period end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52,645</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56,805</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statement of cash flows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52,750</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-4348480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-4348480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-3791585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-3791585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-2393950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-2111375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-2111375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-156845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2" w:name="page123"/>
    <w:bookmarkEnd w:id="122"/>
    <w:p>
      <w:pPr>
        <w:jc w:val="center"/>
        <w:ind w:right="2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Rapport Therapeutics, Inc., together with its consolidated subsidiary (the “Company”) is a clinical-stage biotechnology company dedicated to discovering and developing small molecule precision medicines for patients with neurological or psychiatric disorders. The Company was incorporated in the state of Delaware in February 2022 as Precision Neuroscience NewCo, Inc. In October 2022, the Company changed its name to Rapport Therapeutics, Inc. The Company is located in Boston, Massachusetts and San Diego, California.</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 stage companies in the biotechnology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the Company’s development efforts are successful, it is uncertain when, if ever, the Company will realize significant revenue from product sales.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May 31, 2024, the Company effected a one-for-8.5648 reverse stock split of its issued and outstanding shares of common stock and a proportional adjustment to the existing conversion ratios of each series of the Company’s preferred stock (see Note 6). Accordingly, all share and per share amounts for all periods presented in the accompanying consolidated financial statements and notes thereto have been adjusted retroactively, where applicable, to reflect this reverse stock split and adjustment of the preferred stock conversion ratio.</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of continuity of operations, realization of assets and the satisfaction of liabilities and commitments in the ordinary course of business. The Company has incurred recurring losses since its inception, including net losses of $111.5 million and $78.3 million for the years ended December 31, 2025 and 2024, respectively. As of December 31, 2025, the Company had an accumulated deficit of $235.2 million. The Company had cash and cash equivalents and short-term investments, excluding restricted cash, of $490.5 million as of December 31, 2025.</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June 2024, the Company completed its initial public offering (“IPO”) and concurrent private placement of its common stock which resulted in net proceeds of $157.6 million.</w:t>
      </w:r>
    </w:p>
    <w:p>
      <w:pPr>
        <w:spacing w:after="0" w:line="162" w:lineRule="exact"/>
        <w:rPr>
          <w:sz w:val="20"/>
          <w:szCs w:val="20"/>
          <w:color w:val="auto"/>
        </w:rPr>
      </w:pPr>
    </w:p>
    <w:p>
      <w:pPr>
        <w:ind w:right="440" w:firstLine="554"/>
        <w:spacing w:after="0" w:line="282" w:lineRule="auto"/>
        <w:rPr>
          <w:sz w:val="20"/>
          <w:szCs w:val="20"/>
          <w:color w:val="auto"/>
        </w:rPr>
      </w:pPr>
      <w:r>
        <w:rPr>
          <w:rFonts w:ascii="Times New Roman" w:cs="Times New Roman" w:eastAsia="Times New Roman" w:hAnsi="Times New Roman"/>
          <w:sz w:val="18"/>
          <w:szCs w:val="18"/>
          <w:color w:val="auto"/>
        </w:rPr>
        <w:t>In September 2025, the Company completed an underwritten follow-on public offering of its common stock which resulted in net proceeds of $269.4 million (the “September 2025 Offering”).</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expects to continue to generate operating losses for the foreseeable future. The Company expects that its cash and cash equivalents and short-term investments will be sufficient to fund its operating expenses and capital expenditure requirements through at least 12 months from the issuance of these consolidated financial statements.</w:t>
      </w:r>
    </w:p>
    <w:p>
      <w:pPr>
        <w:spacing w:after="0" w:line="176"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 will need additional financing to support its continuing operations and pursue its growth strategy. Until such time as the Company can generate significant revenue from product sales, if ever, it expects to finance its operations through equity offerings, debt financings or other capital sources, including collaborations with other companies or other strategic transactions. The Company may not be able to obtain funding on acceptable terms, or at all. The terms of any financing may adversely affect the holdings or the rights of the Company’s stockholders.</w:t>
      </w:r>
    </w:p>
    <w:p>
      <w:pPr>
        <w:spacing w:after="0" w:line="18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23" w:name="page124"/>
    <w:bookmarkEnd w:id="123"/>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funding, it could be forced to delay, reduce or eliminate some or all of its research and development programs, which could adversely affect its business prospects, or it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operations of the Company. Intercompany balances and transactions have been eliminated in consolidation. 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periods. Significant estimates and assumptions reflected within these consolidated financial statements include, but are not limited to, research and development expenses and accruals, the valuation of the Company’s common stock prior to its IPO in June 2024 and stock-based awards and the valuation of preferred stock tranche right liability. The Company bases its estimates on known trends and other market-specific or relevant factors that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 Significant Suppliers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and short-term investments. The Company maintains its cash and cash equivalents at high-quality and accredited financial institutions in amounts that could exceed federally insured limits. Cash equivalents are invested in money market funds and U.S. Treasury bills. However, the Company does not believe that it is subject to unusual credit risk beyond the normal credit risk associated with commercial banking relationships. The Company’s short-term investments consist of U.S. Treasury bills, government securities, and government agency securities and as a result, the Company believes represent minimal credit risk.</w:t>
      </w:r>
    </w:p>
    <w:p>
      <w:pPr>
        <w:spacing w:after="0" w:line="7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is dependent on third-party vendors for its product candidates. In particular, the Company relies, and expects to continue to rely, on a small number of vendors to manufacture supplies and process its product candidates for its development programs. These programs could be adversely affected by a significant interruption in the manufacturing process.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Company's restricted cash of $0.1 million as of December 31, 2025 and 2024 was restricted as cash collateral for the Company’s business credit card program.</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original maturities of three months or less, to be cash equivalents. As of December 31, 2025 and 2024, cash equivalents includes $47.9 million and $9.4 million held in money market funds,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4" w:name="page125"/>
    <w:bookmarkEnd w:id="124"/>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Company’s short-term investments consist of investments in debt securities, including U.S. Treasury bills, government securities, and U.S. agency securities with remaining maturities beyond three months at the date of purchase that are available to be converted into cash to fund its current operations. As of December 31, 2025 and 2024, all of the Company’s debt securities were classified as available-for-sale and were carried at fair market value (see Note 3). The unrealized gains and losses on the Company’s available-for-sale debt securities are recorded in other comprehensive income (loss) in the consolidated statements of operations and comprehensive loss.</w:t>
      </w:r>
    </w:p>
    <w:p>
      <w:pPr>
        <w:spacing w:after="0" w:line="183"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Debt securities in an unrealized loss position are evaluated for impairment at least quarterly. For available-for-sale debt securities in an unrealized loss position, the Company first assesses whether or not it intends to sell, or it is more likely than not that it will be required to sell the security before recovery of its amortized cost basis. If either of the criteria regarding intent or requirement to sell is met, the investment security’s amortized cost basis is written down to fair value through net loss.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For available-for-sale debt securities that do not meet the aforementioned criteria, the Company evaluates whether the decline in fair value has resulted from credit losses or other factors. In conducting this assessment for debt securities in an unrealized loss position, management evaluates the extent to which fair value is less than amortized cost, any changes to the rating of the security by a rating agency, and adverse conditions specifically related to the security, among other factors.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this assessment indicates that a credit loss exists, the present value of cash flows expected to be collected from the investment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unrealized loss that has not been recorded through an allowance for credit loss is recognized in other comprehensive income (loss). As of December 31, 2025 and 2024, there was no allowance for credit losses recorded on the Company’s consolidated balance sheet.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interest income consists of interest earned from cash, cash equivalents, and short-term investments.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as a reduction of the proceeds from the offering, either as a reduction of the carrying value of the convertible preferred stock or in stockholders’ equity (deficit) as a reduction of additional paid-in capital generated as a result of the offering. Should the in-process equity financing be abandoned, the deferred offering costs would be expensed immediately as a charge to operating expenses in the consolidated statements of operations and comprehensive loss. Upon closing of the Company’s IPO in June 2024, these deferred offering costs were included in the $16.8 million issuance costs classified to stockholders equity (deficit) and recorded against the proceeds from the offering. Upon the closing of the September 2025 Offering, there were $0.8 million of deferred offering costs included in the $18.1 million of issuance costs classified to stockholders equity (deficit) and recorded against the proceeds from the offering. In connection with the ATM Program (as defined below), the Company filed a prospectus supplement with the SEC on January 7, 2026, for the offer and sale of up to $110.0 million of shares of common stock from time to time through the sales agents.</w:t>
      </w:r>
    </w:p>
    <w:p>
      <w:pPr>
        <w:spacing w:after="0" w:line="19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recorded deferred offering costs of $35 thousand and zero, respectively, in other assets on its balance sheet.</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5" w:name="page126"/>
    <w:bookmarkEnd w:id="125"/>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9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8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Company’s cash equivalents and short-term investments are carried at fair value, determined according to the fair value hierarchy described above (see Note 3). The carrying values of the Company’s accounts payable and accrued expenses approximate their fair values due to the short-term nature of these liabilities.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 is recognized using the straight-line method over the estimated useful life of each asset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 Classification</w:t>
            </w:r>
          </w:p>
        </w:tc>
        <w:tc>
          <w:tcPr>
            <w:tcW w:w="76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16"/>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w:t>
            </w:r>
          </w:p>
        </w:tc>
        <w:tc>
          <w:tcPr>
            <w:tcW w:w="7660" w:type="dxa"/>
            <w:vAlign w:val="bottom"/>
            <w:shd w:val="clear" w:color="auto" w:fill="CCEEFF"/>
          </w:tcPr>
          <w:p>
            <w:pPr>
              <w:jc w:val="center"/>
              <w:ind w:right="85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76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Lab equipment</w:t>
            </w:r>
          </w:p>
        </w:tc>
        <w:tc>
          <w:tcPr>
            <w:tcW w:w="7660" w:type="dxa"/>
            <w:vAlign w:val="bottom"/>
            <w:shd w:val="clear" w:color="auto" w:fill="CCEEFF"/>
          </w:tcPr>
          <w:p>
            <w:pPr>
              <w:jc w:val="center"/>
              <w:ind w:right="85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76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Shorter of remaining lease term or useful life</w:t>
            </w:r>
          </w:p>
        </w:tc>
      </w:tr>
    </w:tbl>
    <w:p>
      <w:pPr>
        <w:spacing w:after="0" w:line="39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and are depreciated once placed into service. Upon retirement or sale, the cost of assets disposed of and the related accumulated depreciation and amortization are removed from the accounts and any resulting gain or loss is included in loss from operations. Expenditures for repairs and maintenance that do not improve or extend the life of the respective assets are charged to expense as incurred.</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4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Long-lived assets consist primarily of property and equipment, and operating lease right-of-use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If such asset group is considered to not be recoverable, the impairment loss to be recognized is measured based on the excess of the carrying value of the impaired asset group over its fair value.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years ended December 31, 2025 and 2024, the Company did not recognize any impairment losses on long-lived assets.</w:t>
      </w: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a single segment for the purposes of assessing performance and making operating decisions. The Company’s chief executive officer, who is the chief operating decision maker, reviews the Company’s financial information on a consolidated basis for purposes of evaluating financial performance and allocating resources. All of the Company’s long-lived assets are located in the United States (see Note 10).</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4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Costs for research and development activities are expensed as incurred. Research and development expenses consist of costs incurred in connection with performing research and development activities, including amounts incurred under agreements with external vendors and consultants engaged to perform preclinical and clinical studies and to manufacture research and development materials for use in such studies, salaries and related personnel costs, stock-based compensation, consultant fees, and third-party license fees.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6" w:name="page127"/>
    <w:bookmarkEnd w:id="126"/>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Upfront payments under license agreements are expensed upon receipt of the license, and annual maintenance fees under license agreements are expensed over the maintenance period. Milestone payments under license agreements are accrued, with a corresponding expense being recognized, in the period in which the milestone is determined to be probable of achievement and the related amount is reasonably estimable. Contingent milestone payments, if any, are expensed when the milestone results are probable and estimable, which is generally upon the achievement of the milestone.</w:t>
      </w:r>
    </w:p>
    <w:p>
      <w:pPr>
        <w:spacing w:after="0" w:line="11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89"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7"/>
          <w:szCs w:val="17"/>
          <w:color w:val="auto"/>
        </w:rPr>
        <w:t>The Company estimates preclinical study and clinical trial and other research and development expenses based on the services performed but not yet invoiced, pursuant to contracts with research institutions and third-party service providers that conduct and manage preclinical studies and clinical trials and research services on its behalf. The Company includes these costs of research and development activities in accrued expenses and other current liabilities in the consolidated balance sheets and in research and development expense in the consolidated statements of operations and comprehensive loss.</w:t>
      </w:r>
    </w:p>
    <w:p>
      <w:pPr>
        <w:spacing w:after="0" w:line="124"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The Company periodically confirms the accuracy of its estimates with the service providers and adjust if necessary. If timelines or contracts are modified based upon changes in the clinical trial protocol or scope of work to be performed, estimates of accrued expenses are modified on a prospective basis.</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consolidated statements of operations and comprehensive loss.</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is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consolidated balance sheets. The Company does not accrue for contingent losses that, in its judgment, are considered to be reasonably possible, but not probable; however, it discloses the range of reasonably possible losses. As of December 31, 2025 and 2024, no liabilities were recorded for loss contingencies (see Note 12).</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measures all stock options granted to employees, directors and non-employees based on the fair value of the awards on the date of grant using the Black-Scholes option-pricing model. For awards to non-employees, the expected term of the option is equal to the contractual term of the non-employees’ service agreement. The Company measured restricted stock awards using the difference, if any, between the purchase price per share of the award and the fair value of the Company’s common stock at the date of grant.</w:t>
      </w:r>
    </w:p>
    <w:p>
      <w:pPr>
        <w:spacing w:after="0" w:line="11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grants stock options and restricted stock awards that are subject to either service or performance-based vesting conditions and performance-based restricted stock units that are subject to performance-based vesting conditions. Compensation expense for awards to employees and directors with service-based vesting conditions is recognized using the straight-line method over the requisite service period, which is generally the vesting period of the respective award. Compensation expense for awards to non-employees with service-based vesting conditions is recognized in the same manner as if the Company had paid cash in exchange for the goods or services, which is generally over the vesting period of the award. Forfeitures are accounted for as they occur. Compensation expense for awards to employees and non-employees with service and performance-based vesting conditions is recognized based on the grant-date fair value over the requisite service period using the accelerated attribution method to the extent achievement of the performance condition is probable. As of each reporting date, the Company estimates the probability that specified performance criteria will be met and does not recognize compensation expense until it is probable that the performance-based vesting condition will be achieved.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7" w:name="page128"/>
    <w:bookmarkEnd w:id="127"/>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also grants performance-based restricted stock units (“PSUs”) to certain employees that are subject to performance-based vesting conditions. The performance conditions are related to the achievement of certain program milestones in the Company’s drug discovery and development process.</w:t>
      </w:r>
    </w:p>
    <w:p>
      <w:pPr>
        <w:spacing w:after="0" w:line="10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right-of-use (“ROU”) assets and liabilities are recognized at the commencement date based on the present value of lease payments over the lease term. As the Company’s leases do not provide an implicit rate, it uses its incremental borrowing rate based on the information available at the commencement date in determining the present value of lease payments. The operating lease ROU asset also includes any lease payments made and is reduced by lease incentives received. The Company’s lease terms may include options to extend or terminate the lease when it is reasonably certain that the Company will exercise that option. Lease expense for lease payments is recognized on a straight-line basis over the lease term in general and administrative expenses. The Company classifies leases at the lease commencement date as operating or finance leases and records a right-of-use asset and a lease liability on the consolidated balance sheet for all leases with an initial lease term of greater than 12 months. Leases with an initial term of 12 months or less are not recorded in the balance sheet, but payments are recognized as expense on a straight-line basis over the lease term. The Company enters into contracts that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2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differences between the financial statement basis and tax basis of assets and liabilities using enacted tax rates in effect for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2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percent likelihood of being realized upon ultimate settlement. The provision for income taxes includes the effects of any resulting tax reserves, or unrecognized tax benefits, that are considered appropriate as well as the related net interest and penalties. The Company had accrued no amounts for interest or penalties related to uncertain tax positions as of December 31, 2025 and 2024.</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Following the closing of its IPO, the Company only has one class of shares outstanding, and basic net loss per common share is computed by dividing the net loss by the weighted average number of shares of common stock outstanding for the period. Diluted net loss per common share is computed by dividing net loss by the weighted average number of shares of common stock outstanding for the period, including potential dilutive common shares assuming the dilutive effect of outstanding stock awards.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8" w:name="page129"/>
    <w:bookmarkEnd w:id="128"/>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periods in which the Company reports a net loss, diluted net loss per common share is the same as basic net loss per common share, since dilutive common shares are not assumed to have been issued if their effect is anti-dilutive.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For the year ended December 31, 2025, comprehensive loss includes unrealized gains on short-term investments. For the year ended December 31, 2024, comprehensive loss includes unrealized losses on short-term investments.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were effective for annual periods beginning after December 15, 2024. The Company adopted this standard on a prospective basis for the year ended December 31, 2025. The Company’s adoption of the standard had an immaterial impact on its consolidated financial statements and related disclosures. See Note 11 for additional information.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disclosures about specific types of expenses included in the expense captions presented on the face of the income statement as well as disclosures about selling expenses. The requirements of the ASU are effective for annual periods beginning after December 15, 2026, and for interim periods beginning after December 15, 2027, with early adoption permitted. The requirements will be applied prospectively with the option for retrospective application. The Company is currently in the process of evaluating the effects of this pronouncement on its related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and indicate the level within the fair value hierarchy of the valuation techniques the Company utilized to determine such fair value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3"/>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gridSpan w:val="2"/>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47,947</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47,947</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198"/>
        </w:trPr>
        <w:tc>
          <w:tcPr>
            <w:tcW w:w="580" w:type="dxa"/>
            <w:vAlign w:val="bottom"/>
          </w:tcPr>
          <w:p>
            <w:pPr>
              <w:spacing w:after="0"/>
              <w:rPr>
                <w:sz w:val="17"/>
                <w:szCs w:val="17"/>
                <w:color w:val="auto"/>
              </w:rPr>
            </w:pPr>
          </w:p>
        </w:tc>
        <w:tc>
          <w:tcPr>
            <w:tcW w:w="36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Short-term investments:</w:t>
            </w: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79,359</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securities</w:t>
            </w: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248,398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248,398</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110,137</w:t>
            </w:r>
          </w:p>
        </w:tc>
        <w:tc>
          <w:tcPr>
            <w:tcW w:w="2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110,137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36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47,947</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437,894</w:t>
            </w:r>
          </w:p>
        </w:tc>
        <w:tc>
          <w:tcPr>
            <w:tcW w:w="102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485,841</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29"/>
        </w:trPr>
        <w:tc>
          <w:tcPr>
            <w:tcW w:w="580" w:type="dxa"/>
            <w:vAlign w:val="bottom"/>
          </w:tcPr>
          <w:p>
            <w:pPr>
              <w:spacing w:after="0"/>
              <w:rPr>
                <w:sz w:val="24"/>
                <w:szCs w:val="24"/>
                <w:color w:val="auto"/>
              </w:rPr>
            </w:pPr>
          </w:p>
        </w:tc>
        <w:tc>
          <w:tcPr>
            <w:tcW w:w="3640" w:type="dxa"/>
            <w:vAlign w:val="bottom"/>
            <w:tcBorders>
              <w:top w:val="single" w:sz="8" w:color="CFF0FC"/>
            </w:tcBorders>
          </w:tcPr>
          <w:p>
            <w:pPr>
              <w:spacing w:after="0"/>
              <w:rPr>
                <w:sz w:val="24"/>
                <w:szCs w:val="24"/>
                <w:color w:val="auto"/>
              </w:rPr>
            </w:pPr>
          </w:p>
        </w:tc>
        <w:tc>
          <w:tcPr>
            <w:tcW w:w="15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-933450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-916305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-933450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-916305</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-933450</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-916305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-933450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-916305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9" w:name="page130"/>
    <w:bookmarkEnd w:id="129"/>
    <w:p>
      <w:pPr>
        <w:jc w:val="center"/>
        <w:ind w:right="-39"/>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28,723</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28,723</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securities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136,514</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136,514</w:t>
            </w:r>
          </w:p>
        </w:tc>
        <w:tc>
          <w:tcPr>
            <w:tcW w:w="12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83,238</w:t>
            </w: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83,238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248,475</w:t>
            </w:r>
          </w:p>
        </w:tc>
        <w:tc>
          <w:tcPr>
            <w:tcW w:w="102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257,907</w:t>
            </w:r>
          </w:p>
        </w:tc>
        <w:tc>
          <w:tcPr>
            <w:tcW w:w="12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Money market funds are highly liquid and actively traded marketable securities that generally transact at a stable $1.00 net asset value representing its estimated fair value. During the years ended December 31, 2025 and 2024, there were no transfers between Level 1, Level 2 and Level 3.</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classifies its marketable securities as short-term because they are available to be converted into cash to fund current operations. The fair value of the Company’s U.S. Treasury bills, government securities, and government agency securities are classified as Level 2 because they are valued using observable inputs to quoted market prices, benchmark yields, reported trades, broker/dealer quotes or alternative pricing sources with reasonable levels of price transparency.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underlying securities held in the money market funds held by the Company are all government backed securities.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Short-term investments consisted of the following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securities</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247,968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110,046</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437,348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securities</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136,829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248,997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-1182370</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-1165225</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-1182370</wp:posOffset>
            </wp:positionV>
            <wp:extent cx="603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-1165225</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-1182370</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-1165225</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-1182370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-1165225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contractual maturities of the Company’s short-term investments in available-for-sale debt securities held were as follows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243,613</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117,761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Due between one and two years</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194,281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130,714</w:t>
            </w:r>
          </w:p>
        </w:tc>
      </w:tr>
      <w:tr>
        <w:trPr>
          <w:trHeight w:val="20"/>
        </w:trPr>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4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437,894</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248,475</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-25400</wp:posOffset>
            </wp:positionV>
            <wp:extent cx="431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431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no investments were in an unrealized loss position. As of December 31, 2024, all investments in an unrealized loss position were in this position for less than 12 months. The Company evaluated its securities for potential</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130" w:name="page131"/>
    <w:bookmarkEnd w:id="130"/>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other-than-temporary impairment and considered the decline in market value to be primarily attributable to current economic and market conditions. Additionally, the Company does not intend to sell the securities in an unrealized loss position and does not expect it will be required to sell the securities before recovery of the unamortized cost basis. The Company did not recognize any credit losses during both the years ended December 31, 2025 and 2024.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Preferred Stock Tranche Right Liability</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Series B preferred stock tranche right liabilities in the table below are composed of the fair value of obligations to issue Series B convertible preferred stock (see Note 6), either upon achievement of certain specified milestones, upon the waiver of such milestone achievement by a majority vote of the respective series convertible preferred stockholders, or upon a shareholder exercising its right to early exercise the tranche right. The fair value of the tranche right liability was determined based on significant inputs not observable in the market, which represented a Level 3 measurement within the fair value hierarchy. The fair value of the tranche right liabilities were determined using a Contingent Forward Analysis, which is a scenario-based lattice model that accounts for the different possible milestone scenarios and their associated probabilities, as estimated by the Company. The valuation model considered the probability of closing the tranche, the estimated future value of the Convertible Preferred Stock to be issued at each closing and the investment required at each closing. Future values were converted to present value using a discount rate appropriate for probability-adjusted cash flows. The risk-free rate was determined by reference to the U.S. Treasury yield curve for time periods approximately equal to the remaining estimated time to each tranche closing.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Tranche Right Liability</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roll-forward of the aggregate fair value of the Company’s Series B preferred stock tranche right liability during the year ended December 31, 2024, for which fair value is determined using Level 3 inputs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80" w:type="dxa"/>
            <w:vAlign w:val="bottom"/>
            <w:gridSpan w:val="3"/>
          </w:tcPr>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gridSpan w:val="3"/>
          </w:tcPr>
          <w:p>
            <w:pPr>
              <w:jc w:val="center"/>
              <w:ind w:right="246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gridSpan w:val="3"/>
          </w:tcPr>
          <w:p>
            <w:pPr>
              <w:jc w:val="center"/>
              <w:ind w:right="2440"/>
              <w:spacing w:after="0" w:line="149" w:lineRule="exact"/>
              <w:rPr>
                <w:sz w:val="20"/>
                <w:szCs w:val="20"/>
                <w:color w:val="auto"/>
              </w:rPr>
            </w:pPr>
            <w:r>
              <w:rPr>
                <w:rFonts w:ascii="Times New Roman" w:cs="Times New Roman" w:eastAsia="Times New Roman" w:hAnsi="Times New Roman"/>
                <w:sz w:val="14"/>
                <w:szCs w:val="14"/>
                <w:b w:val="1"/>
                <w:bCs w:val="1"/>
                <w:color w:val="auto"/>
              </w:rPr>
              <w:t>Stock Tranche</w:t>
            </w: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Right Liability</w:t>
            </w:r>
          </w:p>
        </w:tc>
        <w:tc>
          <w:tcPr>
            <w:tcW w:w="2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80" w:type="dxa"/>
            <w:vAlign w:val="bottom"/>
            <w:shd w:val="clear" w:color="auto" w:fill="CFF0FC"/>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46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Change in fair value of Series B preferred stock</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tranche right liability</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46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Settlement of Series B preferred stock tranche right</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(11,590)</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260" w:type="dxa"/>
            <w:vAlign w:val="bottom"/>
          </w:tcPr>
          <w:p>
            <w:pPr>
              <w:spacing w:after="0"/>
              <w:rPr>
                <w:sz w:val="19"/>
                <w:szCs w:val="19"/>
                <w:color w:val="auto"/>
              </w:rPr>
            </w:pPr>
          </w:p>
        </w:tc>
        <w:tc>
          <w:tcPr>
            <w:tcW w:w="4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liability upon waiver of milestone</w:t>
            </w: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line="20" w:lineRule="exact"/>
              <w:rPr>
                <w:sz w:val="1"/>
                <w:szCs w:val="1"/>
                <w:color w:val="auto"/>
              </w:rPr>
            </w:pPr>
          </w:p>
        </w:tc>
        <w:tc>
          <w:tcPr>
            <w:tcW w:w="464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129</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9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-1079500</wp:posOffset>
            </wp:positionV>
            <wp:extent cx="514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(1,982)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(965)</w:t>
            </w:r>
          </w:p>
        </w:tc>
      </w:tr>
      <w:tr>
        <w:trPr>
          <w:trHeight w:val="209"/>
        </w:trPr>
        <w:tc>
          <w:tcPr>
            <w:tcW w:w="20" w:type="dxa"/>
            <w:vAlign w:val="bottom"/>
          </w:tcPr>
          <w:p>
            <w:pPr>
              <w:spacing w:after="0"/>
              <w:rPr>
                <w:sz w:val="18"/>
                <w:szCs w:val="18"/>
                <w:color w:val="auto"/>
              </w:rPr>
            </w:pPr>
          </w:p>
        </w:tc>
        <w:tc>
          <w:tcPr>
            <w:tcW w:w="46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-453390</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-170815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of property and equipment for the years ended December 31, 2025 and 2024 was $1.0 million and $0.8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0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80" w:type="dxa"/>
            <w:vAlign w:val="bottom"/>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8"/>
                <w:szCs w:val="18"/>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w:t>
            </w: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80" w:type="dxa"/>
            <w:vAlign w:val="bottom"/>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18"/>
                <w:szCs w:val="18"/>
                <w:color w:val="auto"/>
              </w:rPr>
            </w:pPr>
          </w:p>
        </w:tc>
      </w:tr>
      <w:tr>
        <w:trPr>
          <w:trHeight w:val="250"/>
        </w:trPr>
        <w:tc>
          <w:tcPr>
            <w:tcW w:w="33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431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431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Preferred Stock</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Prior to the closing of the Company’s IPO in June 2024, the Company had issued Series A convertible preferred stock and Series B convertible preferred stock.</w:t>
      </w:r>
    </w:p>
    <w:p>
      <w:pPr>
        <w:spacing w:after="0" w:line="162"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On May 30, 2024, the Company’s stockholders approved the third amended and restated certificate of incorporation, which was filed upon the closing of the IPO on June 10, 2024, and which, among other things, created 10,000,000 undesignated shares of authorized preferred stock, $0.001 par value per share.</w:t>
      </w:r>
    </w:p>
    <w:p>
      <w:pPr>
        <w:spacing w:after="0" w:line="176"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Company’s IPO on June 6, 2024, pursuant to the reverse stock split and a proportional adjustment to the existing conversion ratios of each series of the Company’s preferred stock as discussed further below, all of the Company’s outstanding shares of convertible preferred stock were converted into an aggregate of 22,146,816 shares of common stock.</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holders of the convertible preferred stock had the following rights and preferences: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convertible preferred stock were entitled to vote, together with the holders of common stock, as a single class, on all matters submitted to the shareholders for a vote and were entitled to the number of votes equal to the number of shares of common stock into which the convertible preferred stock could convert on the record date for determination of shareholders entitled to vote. A majority vote of the holders of convertible preferred stock along with a majority vote of the Series B convertible preferred stock (the “Required Vote”) was required to, among others, liquidate or dissolve the Company, amend the certificate of incorporation or bylaws, reclassify common stock or establish another class of capital stock, create shares that would rank senior to or authorize additional shares of convertible preferred stock, declare a dividend or make a distribution, or change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authorized number of directors constituting the board of directors.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holders of shares of Series A convertible preferred stock, voting exclusively and as a separate class, were entitled to elect up to three directors of the Company. The holders of shares of Series B convertible preferred stock, voting exclusively and as a separate class, were entitled to elect up to two directors of the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Each share of Series A convertible preferred stock was convertible into common stock, at any time, at the option of the holder, and without the payment of additional consideration, at the applicable conversion ratio then in effect, provided that such holder may waive such option to convert upon written notice to the Company. Holders of Series B convertible preferred stock were not entitled to elect to convert shares of Series B convertible preferred stock into shares of Common Stock at any time during the period commencing on the date of the first issuance of the Series B convertible preferred stock and ending immediately following the earliest to occur of (i) the Series B Milestone Tranche closing, (ii) the achievement of the second tranche milestone,</w:t>
      </w:r>
    </w:p>
    <w:p>
      <w:pPr>
        <w:spacing w:after="0" w:line="3" w:lineRule="exact"/>
        <w:rPr>
          <w:sz w:val="20"/>
          <w:szCs w:val="20"/>
          <w:color w:val="auto"/>
        </w:rPr>
      </w:pPr>
    </w:p>
    <w:p>
      <w:pPr>
        <w:ind w:firstLine="8"/>
        <w:spacing w:after="0" w:line="252" w:lineRule="auto"/>
        <w:tabs>
          <w:tab w:leader="none" w:pos="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such holder’s obligation to purchase its Second Tranche Shares is fulfilled, (iv) the termination of such holder’s obligations to complete the Series B Milestone Tranche closing and (v) such date as agreed to by the Company and the holders of a majority of the then outstanding shares of Series B convertible preferred stock, voting as a separate, exclusive class. In addition, each share of convertible preferred stock would be automatically converted into shares of common stock at the then-effective applicable conversion ratio upon either (i) the closing of a firm-commitment underwritten public offering of its common stock at a price per share of at least $14.70302 resulting in at least $50.0 million of gross proceeds, net of underwriting discount and commissions, to the Company, or (ii) the date specified by vote or written consent of the holders of the Required Vote, voting as a single class.</w:t>
      </w:r>
    </w:p>
    <w:p>
      <w:pPr>
        <w:spacing w:after="0" w:line="19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conversion ratio of each class of convertible preferred stock was determined by dividing the Applicable Original Issue Price of each class of convertible preferred stock by the Conversion Price of each class. Immediately prior to the closing of the Company’s IPO on June 6, 2024, all outstanding convertible preferred stock was converted into common stock at a Conversion Price of $8.5648 per share for Series A convertible preferred stock and $14.3655 per share for Series B convertible preferred stock.</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There was no adjustment in the conversion price of the convertible preferred stock as the result of the issuance or deemed issuance of additional shares of the Company’s common stock if the Company received written notice from the holders of the Required Vote of the then outstanding shares of convertible preferred stock agreeing that no such adjustment shall be made as the result of the issuance or deemed issuance of additional shares of the Company’s common stock.</w:t>
      </w:r>
    </w:p>
    <w:p>
      <w:pPr>
        <w:spacing w:after="0" w:line="180"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the event that any holder of convertible preferred stock who was required to participate in a subsequent closing pursuant to the purchase agreement did not purchase the aggregate number of subsequent closing shares, then each share of convertible preferred stock held by such holder was automatically converted into shares of common stock at a ratio of one share of common stock for every ten shares of convertible preferred stock held immediately prior to the consummation of such subsequent closing.</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convertible preferred stock were entitled to receive, only when, as and if declared by the Board of Directors, non-cumulative dividends at the rate of 8% of the Applicable Original Issue Price of the convertible preferred stock (the “Preferred Dividend”).</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shall not declare, pay or set aside any dividends on common shares of the Company unless the holders of convertible preferred stock then outstanding first received, or simultaneously received, the Preferred Dividend on each outstanding convertible preferred stock and a dividend on each outstanding convertible preferred stock in an amount at least equal to the product of (1) the dividend payable on each share of such class or series determined, as if all shares of such class or series had been converted into common stock and (2) the number of shares of common stock issuable upon conversion of a share of such series of convertible preferred stock, in each case calculated on the record date for determination of the holders entitled to receive such dividend. To-date, the Company has never declared or paid cash dividends.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or upon the occurrence of a Deemed Liquidation Event (as defined below), the holders of shares of convertible preferred stock then outstanding were entitled, on a pari passu basis among the series of convertible preferred stock, to be paid out of the assets or funds of the Company available for distribution to stockholders before any payment was made to the holders of common stock. The holders of convertible preferred stock were entitled to an amount per share equal to the greater of (i) the Applicable Original Issue Price, plus any dividends declared but unpaid thereon, or (ii) the amount that would have been payable had all shares of each series of convertible preferred stock been converted into common stock immediately prior to such liquidation, dissolution, winding up or Deemed Liquidation Event (as defined below). After the payment in full of the convertible preferred stock preference amount, the remaining assets of the Company available for distribution to stockholders shall be distributed among the holders of common stock on a pro rata basis.</w:t>
      </w:r>
    </w:p>
    <w:p>
      <w:pPr>
        <w:spacing w:after="0" w:line="192"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Unless at least the holders of the Required Vote, elect otherwise, a Deemed Liquidation Event shall include a merger, consolidation, or share exchange (other than one in which stockholders of the Company own a majority by voting power of the outstanding shares of the surviving or acquiring corporation) or a sale, lease, transfer, exclusive license or other disposition of all or substantially all of the assets of the Company, or the closing of the transfer of 50% or more of the Company’s outstanding voting stock, or any merger or consolidation in connection with a SPAC transaction or reverse merger transaction.</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convertible preferred stock did not have redemption rights, except for the contingent redemption upon the occurrence of a Deemed Liquidation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4" w:name="page135"/>
    <w:bookmarkEnd w:id="134"/>
    <w:p>
      <w:pPr>
        <w:jc w:val="center"/>
        <w:ind w:right="2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the Company’s common stock were subject to and qualified by the rights, powers and preferences of the holders of the convertible preferred stock set forth above. Each share of common stock entitles the holder to one vote, together with the holders of the convertible preferred stock, on all matters submitted to the stockholders for a vote. The holders of common stock are entitled to receive dividends, if any, as declared by the Company’s board of directors, subject to the preferential dividend rights of convertible preferred stock. As of December 31, 2025 and 2024, no dividends have been declared or paid.</w:t>
      </w:r>
    </w:p>
    <w:p>
      <w:pPr>
        <w:spacing w:after="0" w:line="183"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On May 30, 2024, the Company’s stockholders approved the third amended and restated certificate of incorporation, which was filed upon the closing of the IPO on June 10, 2024 and which, among other things, increased the number of shares of common stock authorized for issuance from 250,000,000 to 500,000,000 shares of common stock.</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June 2024, the Company completed its IPO of its common stock. In connection with its IPO, the Company issued and sold 9,200,000 shares of its common stock at a price of $17.00 per share. As a result, the Company received $140.9 million in net proceeds, after deducting underwriting discounts and commissions and offering costs of $15.5 million.</w:t>
      </w:r>
    </w:p>
    <w:p>
      <w:pPr>
        <w:spacing w:after="0" w:line="17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its IPO, the Company issued and sold 1,058,824 shares of its common stock in a concurrent private placement, at a price of $17.00 per share, and received $16.7 million in net proceeds, after deducting placement agent fees and other private placement costs of $1.3 million.</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July 2025, the Company filed a registration statement on Form S-3 (the “Registration Statement”) with the U.S. Securities and Exchange Commission (the “SEC”) covering the offering of up to $400.0 million in common stock, preferred stock, debt securities, warrants and/or units. Concurrent with the filing of the Registration Statement, the Company entered into a common stock sales agreement, dated July 1, 2025, by and between the Company and Leerink Partners LLC and Cantor Fitzgerald &amp; Co., acting as sales agents (the “Sales Agreement”), which established an at-the-market offering program for the offer and sale of common stock from time to time (the “ATM Program”). In connection with the ATM Program, the Company also filed a prospectus with the Registration Statement for the offer and sale of up to $150.0 million of shares of common stock from time to time through the sales agents (the “ATM Prospectus”). In September 2025, the Company terminated the ATM Prospectus.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2025, the Company completed an underwritten public offering of 11,057,692 shares of common stock (inclusive of 1,442,307 shares of common stock sold pursuant to the underwriters’ full exercise of their option to purchase additional shares) at a public offering price of $26.00 per share (the “September 2025 Offering”) pursuant to an effective shelf registration statement (File No. 333-288444) and a related prospectus supplement filed with the SEC. The net proceeds from the September 2025 Offering were approximately $269.4 million, after deducting underwriter discounts, commissions, and other offering costs of $18.1 million.</w:t>
      </w:r>
    </w:p>
    <w:p>
      <w:pPr>
        <w:spacing w:after="0" w:line="183" w:lineRule="exact"/>
        <w:rPr>
          <w:sz w:val="20"/>
          <w:szCs w:val="20"/>
          <w:color w:val="auto"/>
        </w:rPr>
      </w:pPr>
    </w:p>
    <w:p>
      <w:pPr>
        <w:jc w:val="both"/>
        <w:ind w:right="220" w:firstLine="554"/>
        <w:spacing w:after="0" w:line="266" w:lineRule="auto"/>
        <w:rPr>
          <w:sz w:val="20"/>
          <w:szCs w:val="20"/>
          <w:color w:val="auto"/>
        </w:rPr>
      </w:pPr>
      <w:r>
        <w:rPr>
          <w:rFonts w:ascii="Times New Roman" w:cs="Times New Roman" w:eastAsia="Times New Roman" w:hAnsi="Times New Roman"/>
          <w:sz w:val="18"/>
          <w:szCs w:val="18"/>
          <w:color w:val="auto"/>
        </w:rPr>
        <w:t>In connection with the ATM Program, the Company filed a prospectus supplement with the Securities and Exchange Commission on January 7, 2026, for the offer and sale of up to $110.0 million of shares of common stock from time to time through the sales agents. To date, the Company had not issued and sold any shares of common stock under the Sales Agreement.</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reserved 8,878,968 shares of common stock, of which 2,503,036 shares were reserved for issuance under the 2022 Plan, 5,685,887 shares under the 2024 Stock Option and Grant Plan (the “2024 Plan”) and 690,045 shares under the 2024 Employee Stock Purchase Plan (the “2024 ESPP”) (see Note 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2022 Plan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2022 Plan provides for the Company to grant incentive stock options (“ISO”) or non-qualified stock options, unrestricted stock awards, restricted stock awards and restricted stock units (collectively, the “Awards”) to the employees, directors, and consultants of the Company. The 2022 Plan is administered by the board of directors, or at the discretion of the board of directors, by a committee of the board of directors. The exercise prices, vesting and other restrictions are determined at the discretion of the board of directors, or its committee if so delegated.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5" w:name="page136"/>
    <w:bookmarkEnd w:id="135"/>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right="80" w:firstLine="554"/>
        <w:spacing w:after="0" w:line="266" w:lineRule="auto"/>
        <w:rPr>
          <w:sz w:val="20"/>
          <w:szCs w:val="20"/>
          <w:color w:val="auto"/>
        </w:rPr>
      </w:pPr>
      <w:r>
        <w:rPr>
          <w:rFonts w:ascii="Times New Roman" w:cs="Times New Roman" w:eastAsia="Times New Roman" w:hAnsi="Times New Roman"/>
          <w:sz w:val="18"/>
          <w:szCs w:val="18"/>
          <w:color w:val="auto"/>
        </w:rPr>
        <w:t>The remaining shares reserved for issuance under the 2022 Plan ceased to be available for issuance at the time that the 2024 Plan became effective. There will be no further awards granted under the 2022 Plan, but all outstanding awards under the 2022 Plan will continue to be governed by their existing terms.</w:t>
      </w:r>
    </w:p>
    <w:p>
      <w:pPr>
        <w:spacing w:after="0" w:line="17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Subsequent to the effectiveness of the 2024 Plan, the shares of common stock underlying any awards under the 2022 Plan that are forfeited, canceled, reacquired by the Company prior to vesting, satisfied without the issuance of stock or otherwise terminated (other than by exercise) and shares withheld upon exercise of an option or settlement of an award to cover the exercise price or tax withholding will be added to the shares of common stock available for issuance under the 2024 Plan.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Plan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May 2024, the Company’s board of directors adopted, and its stockholders approved, the 2024 Plan, which became effective in June 2024. The 2024 Plan allows the Company to make equity-based and cash-based incentive awards to its officers, employees, directors, and consultants. The 2024 plan provides for the grant of incentive stock options, non-qualified stock options, stock appreciation rights, restricted stock awards, restricted stock units and other stock-based awards. The number of shares initially reserved for issuance under the 2024 Plan is 3,814,618 shares. In addition, the number of shares reserved and available for issuance under the 2024 Plan will automatically increase on January 1, 2025 and each January 1 thereafter, by five percent of the outstanding number of shares of common stock on the immediately preceding December 31 or such lesser number of shares as determined by the compensation committee. As of December 31, 2025, there have been 115,875 stock-based awards cancelled under the 2022 Plan from which the underlying shares were added to the shares reserved under the 2024 Plan. As of December 31, 2025, the Company had 1,839,709 shares remaining available for future grants.</w:t>
      </w:r>
    </w:p>
    <w:p>
      <w:pPr>
        <w:spacing w:after="0" w:line="80" w:lineRule="exact"/>
        <w:rPr>
          <w:sz w:val="20"/>
          <w:szCs w:val="20"/>
          <w:color w:val="auto"/>
        </w:rPr>
      </w:pPr>
    </w:p>
    <w:p>
      <w:pPr>
        <w:jc w:val="both"/>
        <w:ind w:right="120" w:firstLine="509"/>
        <w:spacing w:after="0" w:line="289" w:lineRule="auto"/>
        <w:rPr>
          <w:sz w:val="20"/>
          <w:szCs w:val="20"/>
          <w:color w:val="auto"/>
        </w:rPr>
      </w:pPr>
      <w:r>
        <w:rPr>
          <w:rFonts w:ascii="Times New Roman" w:cs="Times New Roman" w:eastAsia="Times New Roman" w:hAnsi="Times New Roman"/>
          <w:sz w:val="17"/>
          <w:szCs w:val="17"/>
          <w:color w:val="auto"/>
        </w:rPr>
        <w:t>The shares of common stock underlying any awards under the 2024 Plan and the 2022 Plan that are forfeited, cancelled, held back upon exercise or settlement of an award to satisfy the exercise price or tax withholding, reacquired by the Company prior to vesting, satisfied without the issuance of stock, expire, or are otherwise terminated (other than by exercise) will be added back to the shares of common stock available for issuance under the 2024 Plan.</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ESPP</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May 2024, the Company’s board of directors adopted, and its stockholders approved, the 2024 ESPP, which became effective in June 2024. The 2024 ESPP initially reserved and authorized the issuance of up to a total of 324,243 shares of the Company’s common stock to participating employees. The 2024 ESPP provides that the number of shares reserved and available for issuance will automatically increase on January 1, 2025 and each January 1 thereafter through January 1, 2034, by the lesser of (i) 648,486 shares of common stock, (ii) one percent of the outstanding number of shares of common stock on the immediately preceding December 31, or (iii) such lesser number of shares of common stock as determined by the administrator of the 2024 ESPP. On January 1, 2026, the annual increase resulted in no additional shares being reserved and authorized pursuant to the 2024 ESPP as determined by the administrator. The number of shares reserved under the 2024 ESPP is subject to adjustment in the event of a stock split, stock dividend or other change in our capitalization. As of December 31, 2025, the Company had 690,045 shares reserved for the 2024 ESPP.</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 Company has not issued shares under the 2024 ESPP.</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was estimated on the grant date using the Black-Scholes option-pricing model. The Company historically had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stock and does not expect to pay any cash dividends in the foreseeable future.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the assumptions used in the Black-Scholes option-pricing model to determine the fair value of stock options granted: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6" w:name="page137"/>
    <w:bookmarkEnd w:id="136"/>
    <w:p>
      <w:pPr>
        <w:jc w:val="center"/>
        <w:ind w:right="-79"/>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38"/>
        </w:trPr>
        <w:tc>
          <w:tcPr>
            <w:tcW w:w="4380" w:type="dxa"/>
            <w:vAlign w:val="bottom"/>
          </w:tcPr>
          <w:p>
            <w:pPr>
              <w:spacing w:after="0"/>
              <w:rPr>
                <w:sz w:val="20"/>
                <w:szCs w:val="20"/>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20"/>
                <w:szCs w:val="20"/>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4380" w:type="dxa"/>
            <w:vAlign w:val="bottom"/>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- 90.25%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- 99.30%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- 4.43%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- 4.48%</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- 6.08</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$7.15 - $28.55</w:t>
            </w:r>
          </w:p>
        </w:tc>
        <w:tc>
          <w:tcPr>
            <w:tcW w:w="1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$6.34 - $26.90</w:t>
            </w: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granted stock options with service-based vesting conditions. Stock options generally vest over four years and have a maximum term of ten years. Prior to the IPO, the Company typically granted stock options to employees and non-employees at exercise prices deemed by the Board to be equal to the fair value of the common stock at the time of grant. Subsequent to the IPO, exercise prices are determined by the closing price of the Company’s stock on the date of the grant. The following table summarizes the Company’s stock option activity for the year ended December 31, 2025:</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3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0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4,189,746</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2,522,420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(192,864)</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(231,825)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December 31, 2025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6,287,477</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Options vested and exercisable at December 31, 2025</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2,035,935</w:t>
            </w:r>
          </w:p>
        </w:tc>
        <w:tc>
          <w:tcPr>
            <w:tcW w:w="3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vested and expected to vest at December 31, 2025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6,287,477</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-281940</wp:posOffset>
            </wp:positionV>
            <wp:extent cx="603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-281940</wp:posOffset>
            </wp:positionV>
            <wp:extent cx="60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-281940</wp:posOffset>
            </wp:positionV>
            <wp:extent cx="603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-281940</wp:posOffset>
            </wp:positionV>
            <wp:extent cx="603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stock options granted during the years ended December 31, 2025 and 2024 was $11.41 per share and $11.35 per share, respectively. As of December 31, 2025, there was $43.1 million of total unrecognized compensation cost related to unvested stock options, which is expected to be recognized over a remaining weighted average period of 2.5 years.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(“RSA”)</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awarded restricted stock both under the 2022 Plan as well as outside of the 2022 Plan.</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Service-Based RSAs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majority of the RSAs have service-based vesting conditions and vest over a period from immediately to four years. Compensation expense is recognized on a straight-line basis over the requisite service period.</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137" w:name="page138"/>
    <w:bookmarkEnd w:id="137"/>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service-based RSA grant activity for the year ended December 31, 2025:</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1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RSAs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December 31, 2024</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976,596</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(513,038)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December 31, 2025</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411,833</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fair value of service-based RSAs that vested during the years ended December 31, 2025 and 2024, was $8.9 million and $10.1 million, respectively. As of December 31, 2025, there was $1.5 million of total unrecognized compensation cost related to unvested service-based RSAs, which is expected to be recognized over a remaining weighted average period of 1.2 years.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Performance-Based RSAs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has also granted performance-based RSAs to certain employees and directors with a vesting commencement date contingent upon the subsequent closing of the Company’s Series A convertible preferred stock financing. Share-based compensation expense associated with the performance-based RSAs is recognized if the performance condition is considered probable of achievement. The vesting of the performance-based RSAs is also subject to grantees’ continued service until the 4th anniversary date of the closing of a subsequent financing. In February 2023, the existing Series A convertible preferred stock investors waived the second and third tranche milestones and the Company closed on the sale of its second and third tranches of Series A convertible preferred stock. As a result, the performance condition was deemed to be met.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performance-based RSA grant activity for the year ended December 31, 2025:</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1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RSAs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December 31, 2024</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444,235</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(190,042)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December 31, 2025</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212,977</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3"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fair value of performance-based RSAs that vested during the years ended December 31, 2025 and 2024 was $3.3 million and $3.4 million, respectively. The aggregate intrinsic value of restricted stock awards is calculated as the positive difference between the prices paid, if any, of the restricted stock awards and the fair value of the Company’s common stock.</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$0.1 million of total unrecognized compensation cost related to unvested performance-based restricted common stock, which is expected to be recognized over a remaining weighted average period of 0.8 years.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 (“PSUs”)</w:t>
      </w:r>
    </w:p>
    <w:p>
      <w:pPr>
        <w:spacing w:after="0" w:line="16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granted 95,500 performance-based restricted stock units (“PSUs”) to certain employees. Each PSU represents a right to receive one share of the Company’s Common Stock when it becomes vested. The PSUs will vest in two equal tranches over two performance periods starting on the grant date and ending, respectively, on December 31, 2025, and December 31, 2026, subject to the satisfaction of both service and performance conditions specifically defined for each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8" w:name="page139"/>
    <w:bookmarkEnd w:id="138"/>
    <w:p>
      <w:pPr>
        <w:jc w:val="center"/>
        <w:ind w:right="2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performance period and each PSU award. The performance conditions are related to the achievement of certain program milestones in the Company’s drug discovery and development process. The grant-date fair value of the PSUs were $21.56.</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December 2025, the Compensation Committee of the Board of Directors (the “Compensation Committee”) approved a modification of the vesting schedules related to two PSU awards. The first tranche of the original vesting schedules vested upon achievement of two separate milestones. The first tranche of these awards was modified to split into two separate tranches, with one milestone to be achieved for each tranche, both vesting on December 31, 2025.</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Also in December 2025, the Compensation Committee confirmed the achievement of certain performance milestones for the first tranche of the PSUs granted in December 2024 related to the achievement of certain drug discovery and development milestones in 2025, with 34,750 PSU shares vesting on December 31, 2025, and also confirmed there were certain milestones for the first tranche that were not achieved, resulting in the forfeiture of 13,000 PSU awards. For the twelve months ended December 31, 2025, the Company recognized $0.9 million compensation expense in connection with the PSUs.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 unrecognized compensation expenses associated with the PSUs were $1.0 million.</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recorded stock-based compensation expense for stock options of $15.7 million and $7.4 million in the years ended December 31, 2025 and 2024, respectively. The Company recorded stock-based compensation expense for RSAs of $2.2 million and $2.8 million in the years ended December 31, 2025 and 2024, respectively. The Company recorded stock-based compensation expense for PSUs of $0.9 million and zero in the years ended December 31, 2025 and 2024, respectively. The following table below summarizes the classification of the Company’s stock-based compensation expense in the consolidated statements of operations and comprehensive loss (in thousands):</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Twelve Months</w:t>
            </w: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4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420" w:type="dxa"/>
            <w:vAlign w:val="bottom"/>
          </w:tcPr>
          <w:p>
            <w:pPr>
              <w:spacing w:after="0"/>
              <w:rPr>
                <w:sz w:val="12"/>
                <w:szCs w:val="12"/>
                <w:color w:val="auto"/>
              </w:rPr>
            </w:pPr>
          </w:p>
        </w:tc>
        <w:tc>
          <w:tcPr>
            <w:tcW w:w="138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8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shd w:val="clear" w:color="auto" w:fill="CFF0FC"/>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0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2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20" w:type="dxa"/>
            <w:vAlign w:val="bottom"/>
          </w:tcPr>
          <w:p>
            <w:pPr>
              <w:spacing w:after="0"/>
              <w:rPr>
                <w:sz w:val="18"/>
                <w:szCs w:val="18"/>
                <w:color w:val="auto"/>
              </w:rPr>
            </w:pPr>
          </w:p>
        </w:tc>
      </w:tr>
      <w:tr>
        <w:trPr>
          <w:trHeight w:val="230"/>
        </w:trPr>
        <w:tc>
          <w:tcPr>
            <w:tcW w:w="5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18,855</w:t>
            </w:r>
          </w:p>
        </w:tc>
        <w:tc>
          <w:tcPr>
            <w:tcW w:w="10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20" w:type="dxa"/>
            <w:vAlign w:val="bottom"/>
            <w:shd w:val="clear" w:color="auto" w:fill="CFF0FC"/>
          </w:tcPr>
          <w:p>
            <w:pPr>
              <w:spacing w:after="0"/>
              <w:rPr>
                <w:sz w:val="19"/>
                <w:szCs w:val="19"/>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June 2023, the Company entered into a lease for its corporate headquarters in Boston, Massachusetts. The lease commenced August 31, 2023 with an initial term of 40 months. The monthly lease payments are $66 thousand for the first 12 months, with 2% escalation each year. In conjunction with the lease, the Company paid a security deposit of $0.1 million that is recorded on the Company’s consolidated balance sheet in prepaid expenses and other current assets as of December 31, 2025.</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February 2024, the Company entered into a lease in San Diego, California to lease a total of 20,626 square feet for laboratory and office space. The lease commenced January 11, 2025 with an initial term of 60 months with no option to extend for an additional term. The lease provides for annual base rent for the premises of approximately $1.9 million for the first year of the lease. Thereafter, the annual base rent will increase at an adjustment rate of 3.0% each year until the end of the term. The Company is also obligated to pay the landlord certain fees, taxes, and operating expenses, subject to certain exclusions.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Company entered into a sublease for a new corporate headquarters space in Boston, Massachusetts for 15,275 square feet of office space. The lease commenced June 1, 2025 with a lease term of 6.5 years with no option to extend for an additional term. The lease provides for annual base rent for the premise of approximately $0.8 million for the first year of the lease. Thereafter, the annual base rent will increase at an adjustment of 2.0% each year until the end of the term. The Company is also obligated to pay the landlord certain fees, taxes, and operating expenses, subject to certain exclusions. In conjunction with the lease commencement, the Company paid a security deposit of $0.4 million that is recorded on the Company’s condensed consolidated balance sheet in other assets as of December 31, 2025.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9" w:name="page140"/>
    <w:bookmarkEnd w:id="139"/>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Right-of-use lease assets and lease liabilities are reported in the Company’s consolidated balance sheets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372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8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20"/>
                <w:szCs w:val="20"/>
                <w:color w:val="auto"/>
              </w:rPr>
            </w:pPr>
          </w:p>
        </w:tc>
        <w:tc>
          <w:tcPr>
            <w:tcW w:w="17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13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1700" w:type="dxa"/>
            <w:vAlign w:val="bottom"/>
            <w:gridSpan w:val="3"/>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liabilities, current</w:t>
            </w:r>
          </w:p>
        </w:tc>
        <w:tc>
          <w:tcPr>
            <w:tcW w:w="1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liabilities, non-current</w:t>
            </w:r>
          </w:p>
        </w:tc>
        <w:tc>
          <w:tcPr>
            <w:tcW w:w="1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360" w:type="dxa"/>
            <w:vAlign w:val="bottom"/>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1700" w:type="dxa"/>
            <w:vAlign w:val="bottom"/>
            <w:gridSpan w:val="3"/>
            <w:shd w:val="clear" w:color="auto" w:fill="CFF0FC"/>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67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The components of operating lease costs were as follows (in thousands):</w:t>
            </w:r>
          </w:p>
        </w:tc>
        <w:tc>
          <w:tcPr>
            <w:tcW w:w="13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6780" w:type="dxa"/>
            <w:vAlign w:val="bottom"/>
          </w:tcPr>
          <w:p>
            <w:pPr>
              <w:spacing w:after="0"/>
              <w:rPr>
                <w:sz w:val="24"/>
                <w:szCs w:val="24"/>
                <w:color w:val="auto"/>
              </w:rPr>
            </w:pPr>
          </w:p>
        </w:tc>
        <w:tc>
          <w:tcPr>
            <w:tcW w:w="372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780" w:type="dxa"/>
            <w:vAlign w:val="bottom"/>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300" w:type="dxa"/>
            <w:vAlign w:val="bottom"/>
            <w:gridSpan w:val="2"/>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700" w:type="dxa"/>
            <w:vAlign w:val="bottom"/>
            <w:gridSpan w:val="3"/>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3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20" w:type="dxa"/>
            <w:vAlign w:val="bottom"/>
          </w:tcPr>
          <w:p>
            <w:pPr>
              <w:spacing w:after="0"/>
              <w:rPr>
                <w:sz w:val="18"/>
                <w:szCs w:val="18"/>
                <w:color w:val="auto"/>
              </w:rPr>
            </w:pPr>
          </w:p>
        </w:tc>
        <w:tc>
          <w:tcPr>
            <w:tcW w:w="158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5480"/>
              <w:spacing w:after="0"/>
              <w:rPr>
                <w:sz w:val="20"/>
                <w:szCs w:val="20"/>
                <w:color w:val="auto"/>
              </w:rPr>
            </w:pPr>
            <w:r>
              <w:rPr>
                <w:rFonts w:ascii="Times New Roman" w:cs="Times New Roman" w:eastAsia="Times New Roman" w:hAnsi="Times New Roman"/>
                <w:sz w:val="18"/>
                <w:szCs w:val="18"/>
                <w:color w:val="auto"/>
              </w:rPr>
              <w:t>138</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7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7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-2914015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-2348230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-2331085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-1079500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0" w:name="page141"/>
    <w:bookmarkEnd w:id="140"/>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information related to leases was as follows (in thousands):</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6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38"/>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included in the measurement of lease liabilities:</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Right-of-use lease assets obtained in exchange for new operating lease liabilities</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12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term–operating lease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rate–operating lease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7.24%</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7.29%</w:t>
            </w:r>
          </w:p>
        </w:tc>
      </w:tr>
    </w:tbl>
    <w:p>
      <w:pPr>
        <w:spacing w:after="0" w:line="200" w:lineRule="exact"/>
        <w:rPr>
          <w:sz w:val="20"/>
          <w:szCs w:val="20"/>
          <w:color w:val="auto"/>
        </w:rPr>
      </w:pPr>
    </w:p>
    <w:p>
      <w:pPr>
        <w:spacing w:after="0" w:line="236" w:lineRule="exact"/>
        <w:rPr>
          <w:sz w:val="20"/>
          <w:szCs w:val="20"/>
          <w:color w:val="auto"/>
        </w:rPr>
      </w:pPr>
    </w:p>
    <w:p>
      <w:pPr>
        <w:jc w:val="both"/>
        <w:ind w:right="20" w:firstLine="606"/>
        <w:spacing w:after="0" w:line="282" w:lineRule="auto"/>
        <w:rPr>
          <w:sz w:val="20"/>
          <w:szCs w:val="20"/>
          <w:color w:val="auto"/>
        </w:rPr>
      </w:pPr>
      <w:r>
        <w:rPr>
          <w:rFonts w:ascii="Times New Roman" w:cs="Times New Roman" w:eastAsia="Times New Roman" w:hAnsi="Times New Roman"/>
          <w:sz w:val="18"/>
          <w:szCs w:val="18"/>
          <w:color w:val="auto"/>
        </w:rPr>
        <w:t>As of December 31, 2025, maturities of operating lease liabilities for each of the following five years and a total thereafter were as follows (in thousands):</w:t>
      </w: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90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0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0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future lease payments</w:t>
            </w:r>
          </w:p>
        </w:tc>
        <w:tc>
          <w:tcPr>
            <w:tcW w:w="30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3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90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FF0FC"/>
            </w:tcBorders>
            <w:shd w:val="clear" w:color="auto" w:fill="CFF0FC"/>
          </w:tcPr>
          <w:p>
            <w:pPr>
              <w:spacing w:after="0" w:line="20" w:lineRule="exact"/>
              <w:rPr>
                <w:sz w:val="1"/>
                <w:szCs w:val="1"/>
                <w:color w:val="auto"/>
              </w:rPr>
            </w:pPr>
          </w:p>
        </w:tc>
        <w:tc>
          <w:tcPr>
            <w:tcW w:w="30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7025640</wp:posOffset>
            </wp:positionH>
            <wp:positionV relativeFrom="paragraph">
              <wp:posOffset>-24765</wp:posOffset>
            </wp:positionV>
            <wp:extent cx="774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w:t>
      </w:r>
    </w:p>
    <w:p>
      <w:pPr>
        <w:spacing w:after="0" w:line="148" w:lineRule="exact"/>
        <w:rPr>
          <w:sz w:val="20"/>
          <w:szCs w:val="20"/>
          <w:color w:val="auto"/>
        </w:rPr>
      </w:pPr>
    </w:p>
    <w:p>
      <w:pPr>
        <w:ind w:right="140" w:firstLine="450"/>
        <w:spacing w:after="0" w:line="266" w:lineRule="auto"/>
        <w:rPr>
          <w:sz w:val="20"/>
          <w:szCs w:val="20"/>
          <w:color w:val="auto"/>
        </w:rPr>
      </w:pPr>
      <w:r>
        <w:rPr>
          <w:rFonts w:ascii="Times New Roman" w:cs="Times New Roman" w:eastAsia="Times New Roman" w:hAnsi="Times New Roman"/>
          <w:sz w:val="18"/>
          <w:szCs w:val="18"/>
          <w:color w:val="auto"/>
        </w:rPr>
        <w:t>The Company is currently developing medicines for patients with neurological or psychiatric disorders in the United States. The Company does not have any revenue generating products, and revenue will not be generated from any other current or future product candidates until regulatory approval is obtained and products are commercialized.</w:t>
      </w:r>
    </w:p>
    <w:p>
      <w:pPr>
        <w:spacing w:after="0" w:line="68" w:lineRule="exact"/>
        <w:rPr>
          <w:sz w:val="20"/>
          <w:szCs w:val="20"/>
          <w:color w:val="auto"/>
        </w:rPr>
      </w:pPr>
    </w:p>
    <w:p>
      <w:pPr>
        <w:jc w:val="both"/>
        <w:ind w:right="520" w:firstLine="45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has identified one operating and reportable segment. The Company defines its operating segments based on internally reported financial information that is regularly reviewed by the Chief Operating Decision Maker (“CODM”) to analyze financial performance, make decisions, and allocate resources. The Company’s Chief Executive Officer (“CEO”) is the CODM.</w:t>
      </w:r>
    </w:p>
    <w:p>
      <w:pPr>
        <w:spacing w:after="0" w:line="176"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18"/>
          <w:szCs w:val="18"/>
          <w:color w:val="auto"/>
        </w:rPr>
        <w:t>The CODM reviews the segment’s profit or loss based on net (loss) income reported on the consolidated statement of operations and comprehensive loss and considers forecast-to-actuals variances on a quarterly basis for expenses that are deemed significant. Further, the CODM reviews the segment’s assets based on total assets reported on the consolidated balance sheet. In addition, the CODM is regularly provided information on total cash, which is inclusive of cash, cash equivalents and short-term investments, as a measure of segment assets. As of December 31, 2025, the Company’s cash, cash equivalents and short-term investments were $490.5 million. All long-lived assets are held in the United States.</w:t>
      </w:r>
    </w:p>
    <w:p>
      <w:pPr>
        <w:spacing w:after="0" w:line="183" w:lineRule="exact"/>
        <w:rPr>
          <w:sz w:val="20"/>
          <w:szCs w:val="20"/>
          <w:color w:val="auto"/>
        </w:rPr>
      </w:pPr>
    </w:p>
    <w:p>
      <w:pPr>
        <w:ind w:right="120" w:firstLine="450"/>
        <w:spacing w:after="0" w:line="282" w:lineRule="auto"/>
        <w:rPr>
          <w:sz w:val="20"/>
          <w:szCs w:val="20"/>
          <w:color w:val="auto"/>
        </w:rPr>
      </w:pPr>
      <w:r>
        <w:rPr>
          <w:rFonts w:ascii="Times New Roman" w:cs="Times New Roman" w:eastAsia="Times New Roman" w:hAnsi="Times New Roman"/>
          <w:sz w:val="18"/>
          <w:szCs w:val="18"/>
          <w:color w:val="auto"/>
        </w:rPr>
        <w:t>The Company’s CODM views specific categories within research and development expenses and general and administrative expenses as significant given the direct correlation between cash burn and profitability as a pre-revenue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1" w:name="page142"/>
    <w:bookmarkEnd w:id="141"/>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reconciles reported revenues to net loss under the significant expense principle for the years ended December 31, 2025 and 2024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55"/>
        </w:trPr>
        <w:tc>
          <w:tcPr>
            <w:tcW w:w="5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RAP-219 program external expenses</w:t>
            </w:r>
          </w:p>
        </w:tc>
        <w:tc>
          <w:tcPr>
            <w:tcW w:w="2600" w:type="dxa"/>
            <w:vAlign w:val="bottom"/>
            <w:gridSpan w:val="2"/>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41,144</w:t>
            </w:r>
          </w:p>
        </w:tc>
        <w:tc>
          <w:tcPr>
            <w:tcW w:w="6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22,080</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Preclinical programs external expenses</w:t>
            </w:r>
          </w:p>
        </w:tc>
        <w:tc>
          <w:tcPr>
            <w:tcW w:w="1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16,565</w:t>
            </w: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100" w:type="dxa"/>
            <w:vAlign w:val="bottom"/>
            <w:shd w:val="clear" w:color="auto" w:fill="CFF0FC"/>
          </w:tcPr>
          <w:p>
            <w:pPr>
              <w:spacing w:after="0"/>
              <w:rPr>
                <w:sz w:val="18"/>
                <w:szCs w:val="18"/>
                <w:color w:val="auto"/>
              </w:rPr>
            </w:pPr>
          </w:p>
        </w:tc>
      </w:tr>
      <w:tr>
        <w:trPr>
          <w:trHeight w:val="198"/>
        </w:trPr>
        <w:tc>
          <w:tcPr>
            <w:tcW w:w="56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R&amp;D personnel-related costs (including stock-based</w:t>
            </w: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w:t>
            </w: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Pr>
          <w:p>
            <w:pPr>
              <w:spacing w:after="0"/>
              <w:rPr>
                <w:sz w:val="20"/>
                <w:szCs w:val="20"/>
                <w:color w:val="auto"/>
              </w:rPr>
            </w:pPr>
          </w:p>
        </w:tc>
      </w:tr>
      <w:tr>
        <w:trPr>
          <w:trHeight w:val="216"/>
        </w:trPr>
        <w:tc>
          <w:tcPr>
            <w:tcW w:w="5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costs</w:t>
            </w:r>
          </w:p>
        </w:tc>
        <w:tc>
          <w:tcPr>
            <w:tcW w:w="1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6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G&amp;A personnel-related costs (including stock-based</w:t>
            </w:r>
          </w:p>
        </w:tc>
        <w:tc>
          <w:tcPr>
            <w:tcW w:w="1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compensation)</w:t>
            </w:r>
          </w:p>
        </w:tc>
        <w:tc>
          <w:tcPr>
            <w:tcW w:w="13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21,519</w:t>
            </w:r>
          </w:p>
        </w:tc>
        <w:tc>
          <w:tcPr>
            <w:tcW w:w="6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13,989</w:t>
            </w:r>
          </w:p>
        </w:tc>
        <w:tc>
          <w:tcPr>
            <w:tcW w:w="100" w:type="dxa"/>
            <w:vAlign w:val="bottom"/>
            <w:shd w:val="clear" w:color="auto" w:fill="CFF0FC"/>
          </w:tcPr>
          <w:p>
            <w:pPr>
              <w:spacing w:after="0"/>
              <w:rPr>
                <w:sz w:val="20"/>
                <w:szCs w:val="20"/>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and consulting costs</w:t>
            </w: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Facility related and other</w:t>
            </w:r>
          </w:p>
        </w:tc>
        <w:tc>
          <w:tcPr>
            <w:tcW w:w="130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6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CFF0FC"/>
          </w:tcPr>
          <w:p>
            <w:pPr>
              <w:spacing w:after="0"/>
              <w:rPr>
                <w:sz w:val="18"/>
                <w:szCs w:val="18"/>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300" w:type="dxa"/>
            <w:vAlign w:val="bottom"/>
          </w:tcPr>
          <w:p>
            <w:pPr>
              <w:spacing w:after="0"/>
              <w:rPr>
                <w:sz w:val="18"/>
                <w:szCs w:val="18"/>
                <w:color w:val="auto"/>
              </w:rPr>
            </w:pPr>
          </w:p>
        </w:tc>
        <w:tc>
          <w:tcPr>
            <w:tcW w:w="1300" w:type="dxa"/>
            <w:vAlign w:val="bottom"/>
            <w:tcBorders>
              <w:bottom w:val="single" w:sz="8" w:color="auto"/>
            </w:tcBorders>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(125,099)</w:t>
            </w:r>
          </w:p>
        </w:tc>
        <w:tc>
          <w:tcPr>
            <w:tcW w:w="6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(83,055)</w:t>
            </w:r>
          </w:p>
        </w:tc>
        <w:tc>
          <w:tcPr>
            <w:tcW w:w="100" w:type="dxa"/>
            <w:vAlign w:val="bottom"/>
          </w:tcPr>
          <w:p>
            <w:pPr>
              <w:spacing w:after="0"/>
              <w:rPr>
                <w:sz w:val="18"/>
                <w:szCs w:val="18"/>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preferred stock tranche right liability</w:t>
            </w: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(7,390)</w:t>
            </w:r>
          </w:p>
        </w:tc>
      </w:tr>
      <w:tr>
        <w:trPr>
          <w:trHeight w:val="20"/>
        </w:trPr>
        <w:tc>
          <w:tcPr>
            <w:tcW w:w="5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(111,483)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(78,307)</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Accordingly, the Company consists of a single operating and reportable segment and the consolidated financial statements and notes thereto are presented as a single reportable segment.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recorded tax provisions of zero. In addition, the Company has recorded a full valuation allowance against its net deferred tax assets as of December 31, 2025 and 2024.</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adopted ASU 2023-09, Income Taxes (Topic 740): Improvements to Income Tax Disclosures, prospectively as of January 1, 2025. Income tax benefit attributable to loss from continuing operations for the year ended December 31, 2025 differed from the amounts computed by applying the statutory U.S. federal income tax rate of 21% to pretax loss from continuing operations as a result of the following:</w:t>
      </w:r>
    </w:p>
    <w:p>
      <w:pPr>
        <w:spacing w:after="0" w:line="223"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6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(benefit)</w:t>
            </w:r>
          </w:p>
        </w:tc>
        <w:tc>
          <w:tcPr>
            <w:tcW w:w="4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(23,412)</w:t>
            </w:r>
          </w:p>
        </w:tc>
        <w:tc>
          <w:tcPr>
            <w:tcW w:w="1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Tax Credits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R&amp;D Credit</w:t>
            </w: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Excess Officer Compensation</w:t>
            </w: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1,831</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684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25,133</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reconciling items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 State</w:t>
            </w: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State income taxes, net of federal effect</w:t>
            </w: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549"/>
        </w:trPr>
        <w:tc>
          <w:tcPr>
            <w:tcW w:w="2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year ended December</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31,</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 Reconciliation</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Statutory U.S. federal rate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-1731010</wp:posOffset>
            </wp:positionV>
            <wp:extent cx="939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-153670</wp:posOffset>
            </wp:positionV>
            <wp:extent cx="1111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Topic 740. Deferred income tax assets and liabilities are determined based upon temporary differences between the financial reporting and tax bases of assets and liabilities and are measured using the enacted tax rates and laws that will be in effect when the differences are expected to reverse.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3" w:name="page144"/>
    <w:bookmarkEnd w:id="143"/>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Deferred tax assets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Summary</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top w:val="single" w:sz="8" w:color="auto"/>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50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and State net operating loss carryforwards</w:t>
            </w: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10,195</w:t>
            </w:r>
          </w:p>
        </w:tc>
        <w:tc>
          <w:tcPr>
            <w:tcW w:w="24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3,246</w:t>
            </w: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2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34,006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19,043</w:t>
            </w:r>
          </w:p>
        </w:tc>
        <w:tc>
          <w:tcPr>
            <w:tcW w:w="0" w:type="dxa"/>
            <w:vAlign w:val="bottom"/>
          </w:tcPr>
          <w:p>
            <w:pPr>
              <w:spacing w:after="0"/>
              <w:rPr>
                <w:sz w:val="1"/>
                <w:szCs w:val="1"/>
                <w:color w:val="auto"/>
              </w:rPr>
            </w:pPr>
          </w:p>
        </w:tc>
      </w:tr>
      <w:tr>
        <w:trPr>
          <w:trHeight w:val="216"/>
        </w:trPr>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License fees capitalization</w:t>
            </w:r>
          </w:p>
        </w:tc>
        <w:tc>
          <w:tcPr>
            <w:tcW w:w="12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12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10,589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5,065</w:t>
            </w:r>
          </w:p>
        </w:tc>
        <w:tc>
          <w:tcPr>
            <w:tcW w:w="0" w:type="dxa"/>
            <w:vAlign w:val="bottom"/>
          </w:tcPr>
          <w:p>
            <w:pPr>
              <w:spacing w:after="0"/>
              <w:rPr>
                <w:sz w:val="1"/>
                <w:szCs w:val="1"/>
                <w:color w:val="auto"/>
              </w:rPr>
            </w:pPr>
          </w:p>
        </w:tc>
      </w:tr>
      <w:tr>
        <w:trPr>
          <w:trHeight w:val="216"/>
        </w:trPr>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Accruals</w:t>
            </w:r>
          </w:p>
        </w:tc>
        <w:tc>
          <w:tcPr>
            <w:tcW w:w="12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Lease liability</w:t>
            </w:r>
          </w:p>
        </w:tc>
        <w:tc>
          <w:tcPr>
            <w:tcW w:w="12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2,809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75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62,002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30,633</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1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75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Right-of-Use Asset</w:t>
            </w:r>
          </w:p>
        </w:tc>
        <w:tc>
          <w:tcPr>
            <w:tcW w:w="1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0"/>
        </w:trPr>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(59,457)</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(30,211)</w:t>
            </w:r>
          </w:p>
        </w:tc>
        <w:tc>
          <w:tcPr>
            <w:tcW w:w="0" w:type="dxa"/>
            <w:vAlign w:val="bottom"/>
          </w:tcPr>
          <w:p>
            <w:pPr>
              <w:spacing w:after="0"/>
              <w:rPr>
                <w:sz w:val="1"/>
                <w:szCs w:val="1"/>
                <w:color w:val="auto"/>
              </w:rPr>
            </w:pPr>
          </w:p>
        </w:tc>
      </w:tr>
      <w:tr>
        <w:trPr>
          <w:trHeight w:val="20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6138545</wp:posOffset>
            </wp:positionH>
            <wp:positionV relativeFrom="paragraph">
              <wp:posOffset>-2566670</wp:posOffset>
            </wp:positionV>
            <wp:extent cx="179705" cy="16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9705" cy="1625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-1045210</wp:posOffset>
            </wp:positionV>
            <wp:extent cx="15430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-462280</wp:posOffset>
            </wp:positionV>
            <wp:extent cx="15430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15430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and 2024, the Company had U.S. federal net operating loss carryforwards of $46.1 million and $13.7 million and state net operating loss carryforwards of $15.1 million and $12.0 million, respectively. Federal losses have an indefinite carryforward period, but can only offset 80% of federal taxable income in a given year. Losses for state purposes begin to expire in 2043. For the years ended December 31, 2025 and 2024, the Company had federal research and development tax credit carryforwards of $8.0 million and $3.8 million, and state research and development tax credit carryforwards of $3.2 million and $1.6 million, respectively, which begin to expire in 2042 and 2037.</w:t>
      </w:r>
    </w:p>
    <w:p>
      <w:pPr>
        <w:spacing w:after="0" w:line="1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Management of the Company has evaluated the positive and negative evidence bearing upon the realizability of its deferred tax assets, which are comprised principally of capitalized research and development expenses, net operating loss carryforwards, and research and development tax credit carryforwards. Under the applicable accounting standards, management has considered the Company’s activity and concluded that it is more likely than not that the Company will not recognize the benefits of deferred tax assets. Accordingly, a full valuation allowance of $59.5 million as of December 31, 2025 and $30.2 million as of December 31, 2024, respectively, was recorded. Changes in valuation allowance for deferred tax assets for the years ended December 31, 2025 and 2024 related primarily to the increases in NOLs, research and development tax credit carryforwards, capitalized research and development expenses pursuant to IRC Section 174 and Section 59(e), and stock-based compensation were as follows: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26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as of beginning of year</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(30,211)</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(13,145)</w:t>
            </w:r>
          </w:p>
        </w:tc>
      </w:tr>
      <w:tr>
        <w:trPr>
          <w:trHeight w:val="216"/>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Decreases recorded as benefit to income tax provision</w:t>
            </w:r>
          </w:p>
        </w:tc>
        <w:tc>
          <w:tcPr>
            <w:tcW w:w="480" w:type="dxa"/>
            <w:vAlign w:val="bottom"/>
          </w:tcPr>
          <w:p>
            <w:pPr>
              <w:spacing w:after="0"/>
              <w:rPr>
                <w:sz w:val="18"/>
                <w:szCs w:val="18"/>
                <w:color w:val="auto"/>
              </w:rPr>
            </w:pPr>
          </w:p>
        </w:tc>
        <w:tc>
          <w:tcPr>
            <w:tcW w:w="1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4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(29,246)</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(17,066)</w:t>
            </w:r>
          </w:p>
        </w:tc>
      </w:tr>
      <w:tr>
        <w:trPr>
          <w:trHeight w:val="20"/>
        </w:trPr>
        <w:tc>
          <w:tcPr>
            <w:tcW w:w="72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as of end of year</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(59,457)</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(30,211)</w:t>
            </w:r>
          </w:p>
        </w:tc>
      </w:tr>
      <w:tr>
        <w:trPr>
          <w:trHeight w:val="20"/>
        </w:trPr>
        <w:tc>
          <w:tcPr>
            <w:tcW w:w="7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-732155</wp:posOffset>
            </wp:positionV>
            <wp:extent cx="93980" cy="162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-732155</wp:posOffset>
            </wp:positionV>
            <wp:extent cx="93980" cy="162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federal and state net operating loss and research and development credit carryforwards may be subject to a substantial annual limitation under Section 382 of the Internal Revenue Code of 1986, and similar state provisions,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As of December 31, 2025, the Company has not completed a 382 study to assess whether a change of ownership has occurred since its 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4" w:name="page145"/>
    <w:bookmarkEnd w:id="144"/>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Section 174 previously made by the Tax Cuts and Jobs Act of 2017 (the TCJA) for tax year beginning on or after Jan. 1, 2022, no longer permitted an immediate deduction for qualified research and development expenditures in the tax year that such costs are incurred. Section 174 costs were expenditures which represented research and development costs incidental to the development or improvement of a product, process, formula, invention, computer software or technique. Between January 1, 2022 and December 31, 2024, the research and experimental expenses under the Section 174 were required to be capitalized and amortized over five years for research performed in the U.S and fifteen years for research performed outside the U.S.</w:t>
      </w:r>
    </w:p>
    <w:p>
      <w:pPr>
        <w:spacing w:after="0" w:line="183" w:lineRule="exact"/>
        <w:rPr>
          <w:sz w:val="20"/>
          <w:szCs w:val="20"/>
          <w:color w:val="auto"/>
        </w:rPr>
      </w:pPr>
    </w:p>
    <w:p>
      <w:pPr>
        <w:jc w:val="both"/>
        <w:ind w:firstLine="424"/>
        <w:spacing w:after="0" w:line="266" w:lineRule="auto"/>
        <w:rPr>
          <w:sz w:val="20"/>
          <w:szCs w:val="20"/>
          <w:color w:val="auto"/>
        </w:rPr>
      </w:pPr>
      <w:r>
        <w:rPr>
          <w:rFonts w:ascii="Times New Roman" w:cs="Times New Roman" w:eastAsia="Times New Roman" w:hAnsi="Times New Roman"/>
          <w:sz w:val="18"/>
          <w:szCs w:val="18"/>
          <w:color w:val="auto"/>
        </w:rPr>
        <w:t>The One Big Beautiful Bill Act (“OBBBA") passed on July 4th, 2025, reinstated immediate expensing of research and development costs performed in the U.S. The Company has included the impact of the OBBBA in the provision, which results in a deferred tax asset of approximately $19.1 million as of December 31, 2025.</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adopted the authoritative guidance on accounting for and disclosure of uncertain tax positions, which requires the Company to determine whether a tax position of the Company is more likely than not to be sustained upon examination, including resolution of any related appeals of litigation processes, based on the technical merits of the position. For tax positions meeting the more likely than not threshold, the tax amount recognized in the financial statements is reduced by the largest benefit that has a greater than fifty percent likelihood of being realized upon the ultimate settlement with the relevant taxing authority. As of December 31, 2025, the Company had not recorded any reserves for uncertain tax positions or related interest and penalties. The Company’s policy is to record interest and penalties related to income taxes as part of the tax provision.</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the jurisdictions in which it operates. In the normal course of business, the Company is subject to examination by federal and state jurisdictions in the United States, where applicable. There are currently no pending tax examinations. The Company is open to federal and state tax examination under statute from 2022 to present. Carryforward attributes from prior years can be adjusted upon examination by federal and state tax authorities to the extent utilized in an open tax year or in future periods.</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are no tax matters under discussion with taxing authorities that are expected to have a material effect on the Company’s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scopes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the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consolidated financial statements as of December 31, 2025 and 2024.</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2025 and 2024, the Company was not a party to any material legal proceedings or claims.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NeuroPace Master Services Agreement and Statement of Work</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Company entered into a master services agreement (the “NeuroPace Agreement”) with NeuroPace Inc. (“NeuroPace”), the manufacturer and distributor of the RNS system. Pursuant to the NeuroPace Agreement and in accordance with statement of work agreements entered into from time to time, NeuroPace provides the Company with certain services with respect to data from the RNS systems used in the Company’s clinical trials of RAP-219 in drug-resistant focal onset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5" w:name="page146"/>
    <w:bookmarkEnd w:id="145"/>
    <w:p>
      <w:pPr>
        <w:jc w:val="center"/>
        <w:ind w:right="4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seizures. The NeuroPace Agreement also grants the Company a royalty-free, worldwide, exclusive, non-transferable license to all data collected by the RNS systems in its RAP-219 clinical trials in drug-resistant FOS and the outcomes of algorithms that are applied to such data, as well as the ability to publish the outcomes of algorithms, subject to certain conditions. The consideration the Company will pay to NeuroPace for such services is set out in each statement of work agreement.</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NeuroPace Agreement, the parties also entered into an initial statement of work, as amended in March 2024, and a second SOW in July 2025 (collectively, the “NeuroPace SOWs”) under the NeuroPace Agreement, pursuant to which NeuroPace agreed to provide services related to the RAP-219 Phase 2a clinical trial and planned open-label long term safety trial in RAP-219 for FOS, including, among other things, clinical trial readiness support, identification of potential patients satisfying the enrollment criteria and RNS system data reporting and data analysis. Pursuant to the payment schedule set out in the NeuroPace SOWs, the Company will pay NeuroPace an aggregate of up to $5.3 million over a period of approximately four years in connection with NeuroPace’s provision of services and achievement of certain patient enrollment and deliverable milestones. The Company has incurred cumulative expenses of $4.2 million on both NeuroPace SOWs through December 31,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common share attributable to common stockholders was calculated as follows (in thousands, except share and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(111,483)</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(78,307)</w:t>
            </w: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38,934,569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20,738,338</w:t>
            </w: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(2.86)</w:t>
            </w: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(3.78)</w:t>
            </w:r>
          </w:p>
        </w:tc>
      </w:tr>
      <w:tr>
        <w:trPr>
          <w:trHeight w:val="648"/>
        </w:trPr>
        <w:tc>
          <w:tcPr>
            <w:tcW w:w="5380" w:type="dxa"/>
            <w:vAlign w:val="bottom"/>
          </w:tcPr>
          <w:p>
            <w:pPr>
              <w:spacing w:after="0"/>
              <w:rPr>
                <w:sz w:val="24"/>
                <w:szCs w:val="24"/>
                <w:color w:val="auto"/>
              </w:rPr>
            </w:pPr>
          </w:p>
        </w:tc>
        <w:tc>
          <w:tcPr>
            <w:tcW w:w="234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53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6" w:name="page147"/>
    <w:bookmarkEnd w:id="146"/>
    <w:p>
      <w:pPr>
        <w:jc w:val="center"/>
        <w:ind w:right="-199"/>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purposes of this calculation, the Company excluded the following potential common shares, presented based on amounts outstanding at each period end, from the computation of diluted net loss per share available to common shareholders for the periods indicated because including them would have had an anti-dilutive effect:</w:t>
      </w:r>
    </w:p>
    <w:p>
      <w:pPr>
        <w:spacing w:after="0" w:line="1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2200" w:type="dxa"/>
        <w:tblCellMar>
          <w:top w:w="0" w:type="dxa"/>
          <w:left w:w="0" w:type="dxa"/>
          <w:bottom w:w="0" w:type="dxa"/>
          <w:right w:w="0" w:type="dxa"/>
        </w:tblCellMar>
      </w:tblPr>
      <w:tr>
        <w:trPr>
          <w:trHeight w:val="142"/>
        </w:trPr>
        <w:tc>
          <w:tcPr>
            <w:tcW w:w="1280" w:type="dxa"/>
            <w:vAlign w:val="bottom"/>
          </w:tcPr>
          <w:p>
            <w:pPr>
              <w:spacing w:after="0"/>
              <w:rPr>
                <w:sz w:val="12"/>
                <w:szCs w:val="12"/>
                <w:color w:val="auto"/>
              </w:rPr>
            </w:pPr>
          </w:p>
        </w:tc>
        <w:tc>
          <w:tcPr>
            <w:tcW w:w="3000" w:type="dxa"/>
            <w:vAlign w:val="bottom"/>
            <w:tcBorders>
              <w:top w:val="single" w:sz="8" w:color="auto"/>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91"/>
        </w:trPr>
        <w:tc>
          <w:tcPr>
            <w:tcW w:w="428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Options to</w:t>
            </w:r>
          </w:p>
        </w:tc>
        <w:tc>
          <w:tcPr>
            <w:tcW w:w="1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6"/>
        </w:trPr>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6,287,477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4,189,746</w:t>
            </w:r>
          </w:p>
        </w:tc>
        <w:tc>
          <w:tcPr>
            <w:tcW w:w="80" w:type="dxa"/>
            <w:vAlign w:val="bottom"/>
            <w:shd w:val="clear" w:color="auto" w:fill="CFF0FC"/>
          </w:tcPr>
          <w:p>
            <w:pPr>
              <w:spacing w:after="0"/>
              <w:rPr>
                <w:sz w:val="20"/>
                <w:szCs w:val="20"/>
                <w:color w:val="auto"/>
              </w:rPr>
            </w:pP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Unvested</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based restricted</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47,750</w:t>
            </w: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2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Unvested</w:t>
            </w: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Unvested</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based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976,596</w:t>
            </w:r>
          </w:p>
        </w:tc>
        <w:tc>
          <w:tcPr>
            <w:tcW w:w="80" w:type="dxa"/>
            <w:vAlign w:val="bottom"/>
          </w:tcPr>
          <w:p>
            <w:pPr>
              <w:spacing w:after="0"/>
              <w:rPr>
                <w:sz w:val="20"/>
                <w:szCs w:val="20"/>
                <w:color w:val="auto"/>
              </w:rPr>
            </w:pPr>
          </w:p>
        </w:tc>
      </w:tr>
      <w:tr>
        <w:trPr>
          <w:trHeight w:val="198"/>
        </w:trPr>
        <w:tc>
          <w:tcPr>
            <w:tcW w:w="42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Unvested</w:t>
            </w: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based</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212,977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444,235</w:t>
            </w:r>
          </w:p>
        </w:tc>
        <w:tc>
          <w:tcPr>
            <w:tcW w:w="8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March 6 2026, the Company entered into a strategic collaboration and license agreement with Tenacia Biotechnology (Hong Kong)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(“Tenacia”) to develop and commercialize RAP-219 in Greater China across indications, including focal onset seizures and bipolar mania.</w:t>
      </w:r>
    </w:p>
    <w:p>
      <w:pPr>
        <w:spacing w:after="0" w:line="9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Tenacia Biotechnology collaboration and license agreement, the Company is eligible to receive an upfront payment of $20 million and will be eligible to receive up to an aggregate of approximately $308 million in potential development and commercialization milestones and other payments and mid-single digits to mid-teens tiered royalties on net sales of RAP-219 in China, Hong Kong, Macau, and Taiwan. Tenacia will be responsible for the development and commercialization of RAP-219 in Greater China, while Rapport retains rights in all other territories globally.</w:t>
      </w:r>
    </w:p>
    <w:p>
      <w:pPr>
        <w:spacing w:after="0" w:line="1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769" w:right="5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the reports we file or submit under the Securities Exchange Act of 1934, as amended (the “Exchange Act”), is recorded, processed, summarized and reported within the time periods specified in the rules and forms of the U.S. Securities and Exchange Commission (“SEC”).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on Form 10-K (this “Annual Report”). Based on the foregoing, our principal executive officer and principal financial officer concluded that our disclosure controls and procedures were effective as of the end of the period covered by this Annual Report at the reasonable assurance level.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United States generally accepted accounting principles (“GAAP”). Our internal control over financial reporting includes those policies and procedures that:</w:t>
      </w:r>
    </w:p>
    <w:p>
      <w:pPr>
        <w:spacing w:after="0" w:line="75" w:lineRule="exact"/>
        <w:rPr>
          <w:sz w:val="20"/>
          <w:szCs w:val="20"/>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spacing w:after="0" w:line="117"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53"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2025. In making this assessment, management used the criteria set forth by the Committee of Sponsoring Organizations of the Treadway Commission in its 2013 Internal Control - Integrated Framework. Based on this assessment, our management has concluded that, as of December 31, 2025, our internal control over financial reporting is effective based on those criteria.</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opine on the effectiveness of our internal control over financial reporting pursuant to Section 404 until we are no longer an “emerging growth company” as defined in the Jumpstart Our Business Startups Act.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48" w:name="page149"/>
    <w:bookmarkEnd w:id="14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760" w:hanging="243"/>
        <w:spacing w:after="0"/>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right="80" w:firstLine="517"/>
        <w:spacing w:after="0" w:line="282" w:lineRule="auto"/>
        <w:tabs>
          <w:tab w:leader="none" w:pos="7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December 31, 2025, the following directors and officers (as defined in Rule 16a-1(f) under the Exchange Act) adopted certain trading plans intended to satisfy the requirements of Rule 10b5-1(c):</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2060" w:type="dxa"/>
            <w:vAlign w:val="bottom"/>
            <w:tcBorders>
              <w:top w:val="single" w:sz="8" w:color="auto"/>
              <w:left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i w:val="1"/>
                <w:iCs w:val="1"/>
                <w:color w:val="auto"/>
              </w:rPr>
              <w:t>(Title)</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Action Taken</w:t>
            </w:r>
          </w:p>
        </w:tc>
        <w:tc>
          <w:tcPr>
            <w:tcW w:w="282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Type of Trading Arrangement</w:t>
            </w:r>
          </w:p>
        </w:tc>
        <w:tc>
          <w:tcPr>
            <w:tcW w:w="214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Nature of Trading</w:t>
            </w:r>
          </w:p>
        </w:tc>
        <w:tc>
          <w:tcPr>
            <w:tcW w:w="162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Duration of Trading</w:t>
            </w:r>
          </w:p>
        </w:tc>
        <w:tc>
          <w:tcPr>
            <w:tcW w:w="1280" w:type="dxa"/>
            <w:vAlign w:val="bottom"/>
            <w:tcBorders>
              <w:top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218"/>
        </w:trPr>
        <w:tc>
          <w:tcPr>
            <w:tcW w:w="206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(Date of Action)</w:t>
            </w:r>
          </w:p>
        </w:tc>
        <w:tc>
          <w:tcPr>
            <w:tcW w:w="282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Arrangement</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Arrangement</w:t>
            </w:r>
          </w:p>
        </w:tc>
        <w:tc>
          <w:tcPr>
            <w:tcW w:w="128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Number of</w:t>
            </w:r>
          </w:p>
        </w:tc>
        <w:tc>
          <w:tcPr>
            <w:tcW w:w="0" w:type="dxa"/>
            <w:vAlign w:val="bottom"/>
          </w:tcPr>
          <w:p>
            <w:pPr>
              <w:spacing w:after="0"/>
              <w:rPr>
                <w:sz w:val="1"/>
                <w:szCs w:val="1"/>
                <w:color w:val="auto"/>
              </w:rPr>
            </w:pPr>
          </w:p>
        </w:tc>
      </w:tr>
      <w:tr>
        <w:trPr>
          <w:trHeight w:val="251"/>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2820" w:type="dxa"/>
            <w:vAlign w:val="bottom"/>
            <w:tcBorders>
              <w:bottom w:val="single" w:sz="8" w:color="auto"/>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Securities</w:t>
            </w:r>
          </w:p>
        </w:tc>
        <w:tc>
          <w:tcPr>
            <w:tcW w:w="0" w:type="dxa"/>
            <w:vAlign w:val="bottom"/>
          </w:tcPr>
          <w:p>
            <w:pPr>
              <w:spacing w:after="0"/>
              <w:rPr>
                <w:sz w:val="1"/>
                <w:szCs w:val="1"/>
                <w:color w:val="auto"/>
              </w:rPr>
            </w:pPr>
          </w:p>
        </w:tc>
      </w:tr>
      <w:tr>
        <w:trPr>
          <w:trHeight w:val="172"/>
        </w:trPr>
        <w:tc>
          <w:tcPr>
            <w:tcW w:w="20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Cheryl Gault</w:t>
            </w:r>
          </w:p>
        </w:tc>
        <w:tc>
          <w:tcPr>
            <w:tcW w:w="1320" w:type="dxa"/>
            <w:vAlign w:val="bottom"/>
            <w:tcBorders>
              <w:right w:val="single" w:sz="8" w:color="auto"/>
            </w:tcBorders>
          </w:tcPr>
          <w:p>
            <w:pPr>
              <w:spacing w:after="0" w:line="172" w:lineRule="exact"/>
              <w:rPr>
                <w:sz w:val="20"/>
                <w:szCs w:val="20"/>
                <w:color w:val="auto"/>
              </w:rPr>
            </w:pPr>
            <w:r>
              <w:rPr>
                <w:rFonts w:ascii="Times New Roman" w:cs="Times New Roman" w:eastAsia="Times New Roman" w:hAnsi="Times New Roman"/>
                <w:sz w:val="18"/>
                <w:szCs w:val="18"/>
                <w:color w:val="auto"/>
              </w:rPr>
              <w:t>Adoption</w:t>
            </w:r>
          </w:p>
        </w:tc>
        <w:tc>
          <w:tcPr>
            <w:tcW w:w="2820" w:type="dxa"/>
            <w:vAlign w:val="bottom"/>
            <w:tcBorders>
              <w:right w:val="single" w:sz="8" w:color="auto"/>
            </w:tcBorders>
          </w:tcPr>
          <w:p>
            <w:pPr>
              <w:spacing w:after="0" w:line="172" w:lineRule="exact"/>
              <w:rPr>
                <w:sz w:val="20"/>
                <w:szCs w:val="20"/>
                <w:color w:val="auto"/>
              </w:rPr>
            </w:pPr>
            <w:r>
              <w:rPr>
                <w:rFonts w:ascii="Times New Roman" w:cs="Times New Roman" w:eastAsia="Times New Roman" w:hAnsi="Times New Roman"/>
                <w:sz w:val="18"/>
                <w:szCs w:val="18"/>
                <w:color w:val="auto"/>
              </w:rPr>
              <w:t>Trading plan intended to satisfy the</w:t>
            </w:r>
          </w:p>
        </w:tc>
        <w:tc>
          <w:tcPr>
            <w:tcW w:w="2140" w:type="dxa"/>
            <w:vAlign w:val="bottom"/>
            <w:tcBorders>
              <w:right w:val="single" w:sz="8" w:color="auto"/>
            </w:tcBorders>
          </w:tcPr>
          <w:p>
            <w:pPr>
              <w:spacing w:after="0" w:line="172" w:lineRule="exact"/>
              <w:rPr>
                <w:sz w:val="20"/>
                <w:szCs w:val="20"/>
                <w:color w:val="auto"/>
              </w:rPr>
            </w:pPr>
            <w:r>
              <w:rPr>
                <w:rFonts w:ascii="Times New Roman" w:cs="Times New Roman" w:eastAsia="Times New Roman" w:hAnsi="Times New Roman"/>
                <w:sz w:val="18"/>
                <w:szCs w:val="18"/>
                <w:color w:val="auto"/>
              </w:rPr>
              <w:t>Sale of the Company’s</w:t>
            </w:r>
          </w:p>
        </w:tc>
        <w:tc>
          <w:tcPr>
            <w:tcW w:w="1620" w:type="dxa"/>
            <w:vAlign w:val="bottom"/>
            <w:tcBorders>
              <w:right w:val="single" w:sz="8" w:color="auto"/>
            </w:tcBorders>
          </w:tcPr>
          <w:p>
            <w:pPr>
              <w:spacing w:after="0" w:line="172" w:lineRule="exact"/>
              <w:rPr>
                <w:sz w:val="20"/>
                <w:szCs w:val="20"/>
                <w:color w:val="auto"/>
              </w:rPr>
            </w:pPr>
            <w:r>
              <w:rPr>
                <w:rFonts w:ascii="Times New Roman" w:cs="Times New Roman" w:eastAsia="Times New Roman" w:hAnsi="Times New Roman"/>
                <w:sz w:val="18"/>
                <w:szCs w:val="18"/>
                <w:color w:val="auto"/>
              </w:rPr>
              <w:t>Approximately 12</w:t>
            </w:r>
          </w:p>
        </w:tc>
        <w:tc>
          <w:tcPr>
            <w:tcW w:w="1280" w:type="dxa"/>
            <w:vAlign w:val="bottom"/>
            <w:tcBorders>
              <w:right w:val="single" w:sz="8" w:color="auto"/>
            </w:tcBorders>
          </w:tcPr>
          <w:p>
            <w:pPr>
              <w:spacing w:after="0" w:line="172" w:lineRule="exact"/>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10,</w:t>
            </w:r>
          </w:p>
        </w:tc>
        <w:tc>
          <w:tcPr>
            <w:tcW w:w="2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21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common stock pursuant to</w:t>
            </w:r>
          </w:p>
        </w:tc>
        <w:tc>
          <w:tcPr>
            <w:tcW w:w="1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months</w:t>
            </w: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Chief Operating Officer</w:t>
            </w:r>
            <w:r>
              <w:rPr>
                <w:rFonts w:ascii="Times New Roman" w:cs="Times New Roman" w:eastAsia="Times New Roman" w:hAnsi="Times New Roman"/>
                <w:sz w:val="18"/>
                <w:szCs w:val="18"/>
                <w:color w:val="auto"/>
              </w:rPr>
              <w:t>)</w:t>
            </w:r>
          </w:p>
        </w:tc>
        <w:tc>
          <w:tcPr>
            <w:tcW w:w="1320" w:type="dxa"/>
            <w:vAlign w:val="bottom"/>
            <w:tcBorders>
              <w:right w:val="single" w:sz="8" w:color="auto"/>
            </w:tcBorders>
            <w:vMerge w:val="continue"/>
          </w:tcPr>
          <w:p>
            <w:pPr>
              <w:spacing w:after="0"/>
              <w:rPr>
                <w:sz w:val="9"/>
                <w:szCs w:val="9"/>
                <w:color w:val="auto"/>
              </w:rPr>
            </w:pPr>
          </w:p>
        </w:tc>
        <w:tc>
          <w:tcPr>
            <w:tcW w:w="282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2060" w:type="dxa"/>
            <w:vAlign w:val="bottom"/>
            <w:tcBorders>
              <w:right w:val="single" w:sz="8" w:color="auto"/>
            </w:tcBorders>
            <w:vMerge w:val="continue"/>
          </w:tcPr>
          <w:p>
            <w:pPr>
              <w:spacing w:after="0"/>
              <w:rPr>
                <w:sz w:val="18"/>
                <w:szCs w:val="18"/>
                <w:color w:val="auto"/>
              </w:rPr>
            </w:pP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2025</w:t>
            </w:r>
            <w:r>
              <w:rPr>
                <w:rFonts w:ascii="Times New Roman" w:cs="Times New Roman" w:eastAsia="Times New Roman" w:hAnsi="Times New Roman"/>
                <w:sz w:val="18"/>
                <w:szCs w:val="18"/>
                <w:color w:val="auto"/>
              </w:rPr>
              <w:t>)</w:t>
            </w: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Securities Exchange Act Rule 10b5-</w:t>
            </w: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terms of the plan</w:t>
            </w:r>
          </w:p>
        </w:tc>
        <w:tc>
          <w:tcPr>
            <w:tcW w:w="16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1(c)</w:t>
            </w:r>
          </w:p>
        </w:tc>
        <w:tc>
          <w:tcPr>
            <w:tcW w:w="21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Krishnaswamy</w:t>
            </w:r>
          </w:p>
        </w:tc>
        <w:tc>
          <w:tcPr>
            <w:tcW w:w="132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Adoption</w:t>
            </w:r>
          </w:p>
        </w:tc>
        <w:tc>
          <w:tcPr>
            <w:tcW w:w="282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Trading plan intended to satisfy the</w:t>
            </w:r>
          </w:p>
        </w:tc>
        <w:tc>
          <w:tcPr>
            <w:tcW w:w="214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Sale of the Company’s</w:t>
            </w:r>
          </w:p>
        </w:tc>
        <w:tc>
          <w:tcPr>
            <w:tcW w:w="162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Approximately 12</w:t>
            </w:r>
          </w:p>
        </w:tc>
        <w:tc>
          <w:tcPr>
            <w:tcW w:w="128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202,257</w:t>
            </w: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(December 10,</w:t>
            </w:r>
          </w:p>
        </w:tc>
        <w:tc>
          <w:tcPr>
            <w:tcW w:w="2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21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common stock pursuant to</w:t>
            </w:r>
          </w:p>
        </w:tc>
        <w:tc>
          <w:tcPr>
            <w:tcW w:w="1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months</w:t>
            </w: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Yeleswaram </w:t>
            </w:r>
            <w:r>
              <w:rPr>
                <w:rFonts w:ascii="Times New Roman" w:cs="Times New Roman" w:eastAsia="Times New Roman" w:hAnsi="Times New Roman"/>
                <w:sz w:val="18"/>
                <w:szCs w:val="18"/>
                <w:i w:val="1"/>
                <w:iCs w:val="1"/>
                <w:color w:val="auto"/>
              </w:rPr>
              <w:t>(Chief</w:t>
            </w:r>
          </w:p>
        </w:tc>
        <w:tc>
          <w:tcPr>
            <w:tcW w:w="1320" w:type="dxa"/>
            <w:vAlign w:val="bottom"/>
            <w:tcBorders>
              <w:right w:val="single" w:sz="8" w:color="auto"/>
            </w:tcBorders>
            <w:vMerge w:val="continue"/>
          </w:tcPr>
          <w:p>
            <w:pPr>
              <w:spacing w:after="0"/>
              <w:rPr>
                <w:sz w:val="9"/>
                <w:szCs w:val="9"/>
                <w:color w:val="auto"/>
              </w:rPr>
            </w:pPr>
          </w:p>
        </w:tc>
        <w:tc>
          <w:tcPr>
            <w:tcW w:w="282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2025)</w:t>
            </w:r>
          </w:p>
        </w:tc>
        <w:tc>
          <w:tcPr>
            <w:tcW w:w="2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Securities Exchange Act Rule 10b5-</w:t>
            </w:r>
          </w:p>
        </w:tc>
        <w:tc>
          <w:tcPr>
            <w:tcW w:w="21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the terms of the plan</w:t>
            </w:r>
          </w:p>
        </w:tc>
        <w:tc>
          <w:tcPr>
            <w:tcW w:w="162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Development Officer)</w:t>
            </w:r>
          </w:p>
        </w:tc>
        <w:tc>
          <w:tcPr>
            <w:tcW w:w="1320" w:type="dxa"/>
            <w:vAlign w:val="bottom"/>
            <w:tcBorders>
              <w:right w:val="single" w:sz="8" w:color="auto"/>
            </w:tcBorders>
            <w:vMerge w:val="continue"/>
          </w:tcPr>
          <w:p>
            <w:pPr>
              <w:spacing w:after="0"/>
              <w:rPr>
                <w:sz w:val="9"/>
                <w:szCs w:val="9"/>
                <w:color w:val="auto"/>
              </w:rPr>
            </w:pPr>
          </w:p>
        </w:tc>
        <w:tc>
          <w:tcPr>
            <w:tcW w:w="282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1(c)</w:t>
            </w:r>
          </w:p>
        </w:tc>
        <w:tc>
          <w:tcPr>
            <w:tcW w:w="21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6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820" w:type="dxa"/>
            <w:vAlign w:val="bottom"/>
            <w:tcBorders>
              <w:bottom w:val="single" w:sz="8" w:color="auto"/>
              <w:right w:val="single" w:sz="8" w:color="auto"/>
            </w:tcBorders>
            <w:vMerge w:val="continue"/>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Securities and Exchange Commission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11(excluding the information under the heading “Pay Versus Performance”) will be included in our definitive proxy statement to be filed with the Securities and Exchange Commission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Securities and Exchange Commission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Securities and Exchange Commission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Securities and Exchange Commission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For a list of the financial statements included herein, see the Index to Consolidated Financial Statements under Item 8 of this Annual Report on Form 10-K, which is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80" w:type="dxa"/>
            <w:vAlign w:val="bottom"/>
            <w:gridSpan w:val="2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480" w:type="dxa"/>
            <w:vAlign w:val="bottom"/>
            <w:tcBorders>
              <w:bottom w:val="single" w:sz="8" w:color="auto"/>
            </w:tcBorders>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978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Third Amended and Restated Certificate of Incorporation of Rapport Therapeutics, Inc. (incorporated by reference to Exhibit 3.1 to the</w:t>
              </w:r>
            </w:hyperlink>
          </w:p>
        </w:tc>
        <w:tc>
          <w:tcPr>
            <w:tcW w:w="4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Company’s Current Report on Form 8-K filed on June 10, 2024).</w:t>
              </w:r>
            </w:hyperlink>
          </w:p>
        </w:tc>
        <w:tc>
          <w:tcPr>
            <w:tcW w:w="54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101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Amended and Restated Bylaws of Rapport Therapeutics, Inc. (incorporated by reference to Exhibit 3.2 to the Company’s Current Report on</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Form 8-K filed on June 10, 2024).</w:t>
              </w:r>
            </w:hyperlink>
          </w:p>
        </w:tc>
        <w:tc>
          <w:tcPr>
            <w:tcW w:w="76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100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Specimen Common Stock Certificate (incorporated by reference to Exhibit 4.1 to the Company’s Registration Statement on Form S-1 filed</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319">
              <w:r>
                <w:rPr>
                  <w:rFonts w:ascii="Times New Roman" w:cs="Times New Roman" w:eastAsia="Times New Roman" w:hAnsi="Times New Roman"/>
                  <w:sz w:val="18"/>
                  <w:szCs w:val="18"/>
                  <w:color w:val="0000FF"/>
                  <w:w w:val="98"/>
                </w:rPr>
                <w:t>on May 17, 2024).</w:t>
              </w:r>
            </w:hyperlink>
          </w:p>
        </w:tc>
        <w:tc>
          <w:tcPr>
            <w:tcW w:w="20" w:type="dxa"/>
            <w:vAlign w:val="bottom"/>
            <w:tcBorders>
              <w:bottom w:val="single" w:sz="8" w:color="0000EE"/>
            </w:tcBorders>
          </w:tcPr>
          <w:p>
            <w:pPr>
              <w:spacing w:after="0"/>
              <w:rPr>
                <w:sz w:val="17"/>
                <w:szCs w:val="17"/>
                <w:color w:val="auto"/>
              </w:rPr>
            </w:pPr>
          </w:p>
        </w:tc>
        <w:tc>
          <w:tcPr>
            <w:tcW w:w="882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1018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Amended and Restated Investors’ Rights Agreement, by and among the Company and certain of its stockholders, dated as of August 7, 2023</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(incorporated by reference to Exhibit 4.2 to the Company’s Registration Statement on Form S-1 filed on May 17, 2024).</w:t>
              </w:r>
            </w:hyperlink>
          </w:p>
        </w:tc>
        <w:tc>
          <w:tcPr>
            <w:tcW w:w="1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1018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Description of Securities of the Company. (incorporated by reference to Exhibit 4.3 to the Company’s Annual Report on Form 10-K filed on</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March 11, 2025).</w:t>
              </w:r>
            </w:hyperlink>
          </w:p>
        </w:tc>
        <w:tc>
          <w:tcPr>
            <w:tcW w:w="88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018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Form of Stock Purchase Agreement, by and among the Company and the Purchasers party thereto (incorporated by reference to Exhibit 10.1</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to the Company’s Form 8-K filed on June 10, 2024).</w:t>
              </w:r>
            </w:hyperlink>
          </w:p>
        </w:tc>
        <w:tc>
          <w:tcPr>
            <w:tcW w:w="63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100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Rapport Therapeutics, Inc. 2024 Stock Option and Incentive Plan and forms of award agreements thereunder (incorporated by reference to</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32"/>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Exhibit 10.2 to Amendment No. 1 to the Company’s Registration Statement on Form S-1 filed on June 3, 2024).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95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2024 Employee Stock Purchase Plan (incorporated by reference to Exhibit 10.3 to Amendment No. 1 to the Company’s Registration</w:t>
              </w:r>
            </w:hyperlink>
          </w:p>
        </w:tc>
        <w:tc>
          <w:tcPr>
            <w:tcW w:w="6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Statement on Form S-1 filed on June 3, 2024).</w:t>
              </w:r>
            </w:hyperlink>
          </w:p>
        </w:tc>
        <w:tc>
          <w:tcPr>
            <w:tcW w:w="20" w:type="dxa"/>
            <w:vAlign w:val="bottom"/>
            <w:tcBorders>
              <w:bottom w:val="single" w:sz="8" w:color="0000EE"/>
            </w:tcBorders>
          </w:tcPr>
          <w:p>
            <w:pPr>
              <w:spacing w:after="0"/>
              <w:rPr>
                <w:sz w:val="17"/>
                <w:szCs w:val="17"/>
                <w:color w:val="auto"/>
              </w:rPr>
            </w:pPr>
          </w:p>
        </w:tc>
        <w:tc>
          <w:tcPr>
            <w:tcW w:w="68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96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Form of Indemnification Agreements (incorporated by reference to Exhibit 10.4 to Amendment No. 1 to the Company’s Registration</w:t>
              </w:r>
            </w:hyperlink>
          </w:p>
        </w:tc>
        <w:tc>
          <w:tcPr>
            <w:tcW w:w="5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25">
              <w:r>
                <w:rPr>
                  <w:rFonts w:ascii="Times New Roman" w:cs="Times New Roman" w:eastAsia="Times New Roman" w:hAnsi="Times New Roman"/>
                  <w:sz w:val="18"/>
                  <w:szCs w:val="18"/>
                  <w:color w:val="0000FF"/>
                  <w:w w:val="99"/>
                </w:rPr>
                <w:t>Statement on Form S-1 filed on June 3, 2024).</w:t>
              </w:r>
            </w:hyperlink>
          </w:p>
        </w:tc>
        <w:tc>
          <w:tcPr>
            <w:tcW w:w="20" w:type="dxa"/>
            <w:vAlign w:val="bottom"/>
            <w:tcBorders>
              <w:bottom w:val="single" w:sz="8" w:color="0000EE"/>
            </w:tcBorders>
          </w:tcPr>
          <w:p>
            <w:pPr>
              <w:spacing w:after="0"/>
              <w:rPr>
                <w:sz w:val="17"/>
                <w:szCs w:val="17"/>
                <w:color w:val="auto"/>
              </w:rPr>
            </w:pPr>
          </w:p>
        </w:tc>
        <w:tc>
          <w:tcPr>
            <w:tcW w:w="68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101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Senior Executive Cash Incentive Bonus Plan (incorporated by reference to Exhibit 10.5 to Amendment No. 1 to the Company’s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Statement on Form S-1 filed on June 3, 2024).</w:t>
              </w:r>
            </w:hyperlink>
          </w:p>
        </w:tc>
        <w:tc>
          <w:tcPr>
            <w:tcW w:w="20" w:type="dxa"/>
            <w:vAlign w:val="bottom"/>
            <w:tcBorders>
              <w:bottom w:val="single" w:sz="8" w:color="0000EE"/>
            </w:tcBorders>
          </w:tcPr>
          <w:p>
            <w:pPr>
              <w:spacing w:after="0"/>
              <w:rPr>
                <w:sz w:val="17"/>
                <w:szCs w:val="17"/>
                <w:color w:val="auto"/>
              </w:rPr>
            </w:pPr>
          </w:p>
        </w:tc>
        <w:tc>
          <w:tcPr>
            <w:tcW w:w="68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7"/>
                <w:szCs w:val="17"/>
                <w:color w:val="auto"/>
              </w:rPr>
            </w:pPr>
          </w:p>
        </w:tc>
        <w:tc>
          <w:tcPr>
            <w:tcW w:w="70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Rapport Therapeutics, Inc. Amended and Restated Non-Employee Director Compensation Policy</w:t>
            </w:r>
          </w:p>
        </w:tc>
        <w:tc>
          <w:tcPr>
            <w:tcW w:w="20" w:type="dxa"/>
            <w:vAlign w:val="bottom"/>
            <w:tcBorders>
              <w:bottom w:val="single" w:sz="8" w:color="0000EE"/>
            </w:tcBorders>
          </w:tcPr>
          <w:p>
            <w:pPr>
              <w:spacing w:after="0"/>
              <w:rPr>
                <w:sz w:val="17"/>
                <w:szCs w:val="17"/>
                <w:color w:val="auto"/>
              </w:rPr>
            </w:pPr>
          </w:p>
        </w:tc>
        <w:tc>
          <w:tcPr>
            <w:tcW w:w="31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98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Employment Agreement, by and between the Company and Abraham N. Ceesay, M.B.A., effective as of June 10, 2024 (incorporated by</w:t>
              </w:r>
            </w:hyperlink>
          </w:p>
        </w:tc>
        <w:tc>
          <w:tcPr>
            <w:tcW w:w="3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27">
              <w:r>
                <w:rPr>
                  <w:rFonts w:ascii="Times New Roman" w:cs="Times New Roman" w:eastAsia="Times New Roman" w:hAnsi="Times New Roman"/>
                  <w:sz w:val="18"/>
                  <w:szCs w:val="18"/>
                  <w:color w:val="0000FF"/>
                  <w:w w:val="99"/>
                </w:rPr>
                <w:t>reference to Exhibit 10.7 to the Company’s Form 10-Q filed on August 8, 2024).</w:t>
              </w:r>
            </w:hyperlink>
          </w:p>
        </w:tc>
        <w:tc>
          <w:tcPr>
            <w:tcW w:w="20" w:type="dxa"/>
            <w:vAlign w:val="bottom"/>
            <w:tcBorders>
              <w:bottom w:val="single" w:sz="8" w:color="0000EE"/>
            </w:tcBorders>
          </w:tcPr>
          <w:p>
            <w:pPr>
              <w:spacing w:after="0"/>
              <w:rPr>
                <w:sz w:val="17"/>
                <w:szCs w:val="17"/>
                <w:color w:val="auto"/>
              </w:rPr>
            </w:pPr>
          </w:p>
        </w:tc>
        <w:tc>
          <w:tcPr>
            <w:tcW w:w="43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7"/>
                <w:szCs w:val="17"/>
                <w:color w:val="auto"/>
              </w:rPr>
            </w:pPr>
          </w:p>
        </w:tc>
        <w:tc>
          <w:tcPr>
            <w:tcW w:w="101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Employment Agreement, by and between the Company and Troy Ignelzi, effective as of June 10, 2024(incorporated by reference to Exhibit</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32"/>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0000FF"/>
                </w:rPr>
                <w:t xml:space="preserve"> to the Company’s Form 10-Q filed on August 8, 2024).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40" w:type="dxa"/>
            <w:vAlign w:val="bottom"/>
            <w:gridSpan w:val="8"/>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7"/>
                <w:szCs w:val="17"/>
                <w:color w:val="auto"/>
              </w:rPr>
            </w:pPr>
          </w:p>
        </w:tc>
        <w:tc>
          <w:tcPr>
            <w:tcW w:w="101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Employment Agreement, by and between the Company and Jeffrey Sevigny, effective as of March 11, 2025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20" w:type="dxa"/>
            <w:vAlign w:val="bottom"/>
            <w:gridSpan w:val="11"/>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8"/>
                <w:szCs w:val="18"/>
                <w:color w:val="auto"/>
              </w:rPr>
            </w:pPr>
          </w:p>
        </w:tc>
        <w:tc>
          <w:tcPr>
            <w:tcW w:w="94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Option and License Agreement, by and between the Company and Janssen Pharmaceutica NV, dated August 9, 2022, as amended</w:t>
              </w:r>
            </w:hyperlink>
          </w:p>
        </w:tc>
        <w:tc>
          <w:tcPr>
            <w:tcW w:w="7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32"/>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(incorporated by reference to Exhibit 10.10 to the Company’s Registration Statement on Form S-1 filed on May 17, 2024).</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7"/>
                <w:szCs w:val="17"/>
                <w:color w:val="auto"/>
              </w:rPr>
            </w:pPr>
          </w:p>
        </w:tc>
        <w:tc>
          <w:tcPr>
            <w:tcW w:w="770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Master Services Agreement, by and between the Company and NeuroPace Inc., dated November 28, 2023.</w:t>
              </w:r>
            </w:hyperlink>
          </w:p>
        </w:tc>
        <w:tc>
          <w:tcPr>
            <w:tcW w:w="1160" w:type="dxa"/>
            <w:vAlign w:val="bottom"/>
            <w:tcBorders>
              <w:top w:val="single" w:sz="8" w:color="0000FF"/>
            </w:tcBorders>
            <w:gridSpan w:val="4"/>
          </w:tcPr>
          <w:p>
            <w:pPr>
              <w:spacing w:after="0"/>
              <w:rPr>
                <w:sz w:val="17"/>
                <w:szCs w:val="17"/>
                <w:color w:val="auto"/>
              </w:rPr>
            </w:pPr>
          </w:p>
        </w:tc>
        <w:tc>
          <w:tcPr>
            <w:tcW w:w="1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32"/>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(incorporated by reference to Exhibit 10.11 to the Company’s Registration Statement on Form S-1 filed on May 17, 2024).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20" w:type="dxa"/>
            <w:vAlign w:val="bottom"/>
            <w:gridSpan w:val="11"/>
            <w:shd w:val="clear" w:color="auto" w:fill="0000FF"/>
          </w:tcPr>
          <w:p>
            <w:pPr>
              <w:spacing w:after="0" w:line="20" w:lineRule="exact"/>
              <w:rPr>
                <w:sz w:val="1"/>
                <w:szCs w:val="1"/>
                <w:color w:val="auto"/>
              </w:rPr>
            </w:pPr>
          </w:p>
        </w:tc>
        <w:tc>
          <w:tcPr>
            <w:tcW w:w="3640" w:type="dxa"/>
            <w:vAlign w:val="bottom"/>
            <w:tcBorders>
              <w:right w:val="single" w:sz="8" w:color="0000EE"/>
            </w:tcBorders>
            <w:gridSpan w:val="9"/>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7"/>
                <w:szCs w:val="17"/>
                <w:color w:val="auto"/>
              </w:rPr>
            </w:pPr>
          </w:p>
        </w:tc>
        <w:tc>
          <w:tcPr>
            <w:tcW w:w="93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Statement of Work #1, by and between the Company and NeuroPace Inc., dated November 28, 2023, as amended March 1, 2024</w:t>
              </w:r>
            </w:hyperlink>
          </w:p>
        </w:tc>
        <w:tc>
          <w:tcPr>
            <w:tcW w:w="8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32"/>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(incorporated by reference to Exhibit 10.12 to the Company’s Registration Statement on Form S-1 filed on May 17, 2024).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20" w:type="dxa"/>
            <w:vAlign w:val="bottom"/>
            <w:gridSpan w:val="11"/>
            <w:shd w:val="clear" w:color="auto" w:fill="0000FF"/>
          </w:tcPr>
          <w:p>
            <w:pPr>
              <w:spacing w:after="0" w:line="20" w:lineRule="exact"/>
              <w:rPr>
                <w:sz w:val="1"/>
                <w:szCs w:val="1"/>
                <w:color w:val="auto"/>
              </w:rPr>
            </w:pPr>
          </w:p>
        </w:tc>
        <w:tc>
          <w:tcPr>
            <w:tcW w:w="3640" w:type="dxa"/>
            <w:vAlign w:val="bottom"/>
            <w:tcBorders>
              <w:right w:val="single" w:sz="8" w:color="0000EE"/>
            </w:tcBorders>
            <w:gridSpan w:val="9"/>
            <w:shd w:val="clear" w:color="auto" w:fill="0000FF"/>
          </w:tcPr>
          <w:p>
            <w:pPr>
              <w:spacing w:after="0" w:line="20" w:lineRule="exact"/>
              <w:rPr>
                <w:sz w:val="1"/>
                <w:szCs w:val="1"/>
                <w:color w:val="auto"/>
              </w:rPr>
            </w:pPr>
          </w:p>
        </w:tc>
        <w:tc>
          <w:tcPr>
            <w:tcW w:w="12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7"/>
                <w:szCs w:val="17"/>
                <w:color w:val="auto"/>
              </w:rPr>
            </w:pPr>
          </w:p>
        </w:tc>
        <w:tc>
          <w:tcPr>
            <w:tcW w:w="101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Sublease Agreement, by and between the Company and Whoop, Inc., dated June 15, 2023 (incorporated by reference to Exhibit 10.13 to the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32"/>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Company’s Registration Statement on Form S-1 filed on May 17, 2024).</w:t>
              </w:r>
            </w:hyperlink>
          </w:p>
        </w:tc>
        <w:tc>
          <w:tcPr>
            <w:tcW w:w="0" w:type="dxa"/>
            <w:vAlign w:val="bottom"/>
          </w:tcPr>
          <w:p>
            <w:pPr>
              <w:spacing w:after="0"/>
              <w:rPr>
                <w:sz w:val="1"/>
                <w:szCs w:val="1"/>
                <w:color w:val="auto"/>
              </w:rPr>
            </w:pPr>
          </w:p>
        </w:tc>
      </w:tr>
      <w:tr>
        <w:trPr>
          <w:trHeight w:val="453"/>
        </w:trPr>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Borders>
              <w:top w:val="single" w:sz="8" w:color="0000FF"/>
            </w:tcBorders>
            <w:gridSpan w:val="10"/>
          </w:tcPr>
          <w:p>
            <w:pPr>
              <w:ind w:left="4420"/>
              <w:spacing w:after="0"/>
              <w:rPr>
                <w:sz w:val="20"/>
                <w:szCs w:val="20"/>
                <w:color w:val="auto"/>
              </w:rPr>
            </w:pPr>
            <w:r>
              <w:rPr>
                <w:rFonts w:ascii="Times New Roman" w:cs="Times New Roman" w:eastAsia="Times New Roman" w:hAnsi="Times New Roman"/>
                <w:sz w:val="18"/>
                <w:szCs w:val="18"/>
                <w:color w:val="auto"/>
              </w:rPr>
              <w:t>148</w:t>
            </w:r>
          </w:p>
        </w:tc>
        <w:tc>
          <w:tcPr>
            <w:tcW w:w="48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1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Lease Agreement, by and between the Company and ARE-9880 Campus Point, LLC, dated February 12, 2024 (incorporated by reference to</w:t>
              </w:r>
            </w:hyperlink>
          </w:p>
        </w:tc>
        <w:tc>
          <w:tcPr>
            <w:tcW w:w="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3"/>
          </w:tcPr>
          <w:p>
            <w:pPr>
              <w:spacing w:after="0" w:line="19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Exhibit 10.15 to the Company’s Registration Statement on Form S-1 filed on May 17, 2024).</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1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Separation Agreement, by and between the Company and Bradley Galer, dated as of January 31, 2025 (incorporated by reference to Exhibit</w:t>
              </w:r>
            </w:hyperlink>
          </w:p>
        </w:tc>
        <w:tc>
          <w:tcPr>
            <w:tcW w:w="6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3"/>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Quarterly Report on Form 10-Q filed on May 8, 2025).</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4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Lease Agreement, by and between the Company and Karuna Therapeutics, Inc., dated November 26, 2024, as supplemented by the</w:t>
              </w:r>
            </w:hyperlink>
          </w:p>
        </w:tc>
        <w:tc>
          <w:tcPr>
            <w:tcW w:w="700" w:type="dxa"/>
            <w:vAlign w:val="bottom"/>
            <w:gridSpan w:val="9"/>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Commencement Agreement, effective June 3, 2025 (incorporated by reference to Exhibit 10.1 to the Company’s Quarterly Report on Form</w:t>
              </w:r>
            </w:hyperlink>
          </w:p>
        </w:tc>
        <w:tc>
          <w:tcPr>
            <w:tcW w:w="10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3"/>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10-Q filed on August 7, 2025).</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01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Sales Agreement, dated as of July 1, 2025, by and among the Company, Leerink Partners LLC and Cantor Fitzgerald &amp; Co. (incorporated by</w:t>
              </w:r>
            </w:hyperlink>
          </w:p>
        </w:tc>
      </w:tr>
      <w:tr>
        <w:trPr>
          <w:trHeight w:val="196"/>
        </w:trPr>
        <w:tc>
          <w:tcPr>
            <w:tcW w:w="1060" w:type="dxa"/>
            <w:vAlign w:val="bottom"/>
          </w:tcPr>
          <w:p>
            <w:pPr>
              <w:spacing w:after="0"/>
              <w:rPr>
                <w:sz w:val="17"/>
                <w:szCs w:val="17"/>
                <w:color w:val="auto"/>
              </w:rPr>
            </w:pPr>
          </w:p>
        </w:tc>
        <w:tc>
          <w:tcPr>
            <w:tcW w:w="10180" w:type="dxa"/>
            <w:vAlign w:val="bottom"/>
            <w:gridSpan w:val="23"/>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reference to Exhibit 1.2 to the Company’s Registration Statement on Form S-3 filed on July 1, 2025).</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00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Statement of Work #2, by and between the Company and NeuroPace Inc., dated July 7, 2025 (incorporated by reference to Exhibit 10.1 to</w:t>
              </w:r>
            </w:hyperlink>
          </w:p>
        </w:tc>
        <w:tc>
          <w:tcPr>
            <w:tcW w:w="180" w:type="dxa"/>
            <w:vAlign w:val="bottom"/>
            <w:gridSpan w:val="6"/>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55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the Company’s Quarterly Report on Form 10-Q filed on November 6, 2025).</w:t>
              </w:r>
            </w:hyperlink>
          </w:p>
        </w:tc>
        <w:tc>
          <w:tcPr>
            <w:tcW w:w="4640" w:type="dxa"/>
            <w:vAlign w:val="bottom"/>
            <w:gridSpan w:val="14"/>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0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Rapport Therapeutics, Inc. Amended and Restated Insider Trading Policy.</w:t>
            </w:r>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180" w:type="dxa"/>
            <w:vAlign w:val="bottom"/>
            <w:gridSpan w:val="23"/>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Subsidiaries of the Company (incorporated by reference to Exhibit 21.1 to the Company’s Registration Statement on Form S-1 filed on May</w:t>
              </w:r>
            </w:hyperlink>
          </w:p>
        </w:tc>
      </w:tr>
      <w:tr>
        <w:trPr>
          <w:trHeight w:val="196"/>
        </w:trPr>
        <w:tc>
          <w:tcPr>
            <w:tcW w:w="106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340">
              <w:r>
                <w:rPr>
                  <w:rFonts w:ascii="Times New Roman" w:cs="Times New Roman" w:eastAsia="Times New Roman" w:hAnsi="Times New Roman"/>
                  <w:sz w:val="18"/>
                  <w:szCs w:val="18"/>
                  <w:color w:val="0000FF"/>
                  <w:w w:val="97"/>
                </w:rPr>
                <w:t>17, 2024).</w:t>
              </w:r>
            </w:hyperlink>
          </w:p>
        </w:tc>
        <w:tc>
          <w:tcPr>
            <w:tcW w:w="20" w:type="dxa"/>
            <w:vAlign w:val="bottom"/>
            <w:tcBorders>
              <w:top w:val="single" w:sz="8" w:color="0000FF"/>
              <w:bottom w:val="single" w:sz="8" w:color="0000EE"/>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0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r>
      <w:tr>
        <w:trPr>
          <w:trHeight w:val="2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6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c>
          <w:tcPr>
            <w:tcW w:w="3580" w:type="dxa"/>
            <w:vAlign w:val="bottom"/>
            <w:gridSpan w:val="12"/>
          </w:tcPr>
          <w:p>
            <w:pPr>
              <w:spacing w:after="0"/>
              <w:rPr>
                <w:sz w:val="21"/>
                <w:szCs w:val="21"/>
                <w:color w:val="auto"/>
              </w:rPr>
            </w:pPr>
          </w:p>
        </w:tc>
      </w:tr>
      <w:tr>
        <w:trPr>
          <w:trHeight w:val="194"/>
        </w:trPr>
        <w:tc>
          <w:tcPr>
            <w:tcW w:w="10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20" w:type="dxa"/>
            <w:vAlign w:val="bottom"/>
            <w:gridSpan w:val="7"/>
          </w:tcPr>
          <w:p>
            <w:pPr>
              <w:spacing w:after="0"/>
              <w:rPr>
                <w:sz w:val="16"/>
                <w:szCs w:val="16"/>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06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tcBorders>
              <w:right w:val="single" w:sz="8" w:color="0000EE"/>
            </w:tcBorders>
            <w:shd w:val="clear" w:color="auto" w:fill="0000FF"/>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60" w:type="dxa"/>
            <w:vAlign w:val="bottom"/>
            <w:gridSpan w:val="8"/>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06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tcBorders>
              <w:right w:val="single" w:sz="8" w:color="0000EE"/>
            </w:tcBorders>
            <w:shd w:val="clear" w:color="auto" w:fill="0000FF"/>
          </w:tcPr>
          <w:p>
            <w:pPr>
              <w:spacing w:after="0" w:line="20" w:lineRule="exact"/>
              <w:rPr>
                <w:sz w:val="1"/>
                <w:szCs w:val="1"/>
                <w:color w:val="auto"/>
              </w:rPr>
            </w:pPr>
          </w:p>
        </w:tc>
        <w:tc>
          <w:tcPr>
            <w:tcW w:w="502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8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60" w:type="dxa"/>
            <w:vAlign w:val="bottom"/>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00" w:type="dxa"/>
            <w:vAlign w:val="bottom"/>
            <w:gridSpan w:val="1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00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Rapport Therapeutics, Inc. Compensation Recovery Policy (incorporated by reference to Exhibit 97.1 to the Company’s Annual Report on</w:t>
              </w:r>
            </w:hyperlink>
          </w:p>
        </w:tc>
        <w:tc>
          <w:tcPr>
            <w:tcW w:w="160" w:type="dxa"/>
            <w:vAlign w:val="bottom"/>
            <w:gridSpan w:val="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7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Form 10-K filed on March 11, 2025).</w:t>
              </w:r>
            </w:hyperlink>
          </w:p>
        </w:tc>
        <w:tc>
          <w:tcPr>
            <w:tcW w:w="20" w:type="dxa"/>
            <w:vAlign w:val="bottom"/>
            <w:tcBorders>
              <w:bottom w:val="single" w:sz="8" w:color="0000EE"/>
            </w:tcBorders>
          </w:tcPr>
          <w:p>
            <w:pPr>
              <w:spacing w:after="0"/>
              <w:rPr>
                <w:sz w:val="17"/>
                <w:szCs w:val="17"/>
                <w:color w:val="auto"/>
              </w:rPr>
            </w:pPr>
          </w:p>
        </w:tc>
        <w:tc>
          <w:tcPr>
            <w:tcW w:w="7460" w:type="dxa"/>
            <w:vAlign w:val="bottom"/>
            <w:gridSpan w:val="17"/>
          </w:tcPr>
          <w:p>
            <w:pPr>
              <w:spacing w:after="0"/>
              <w:rPr>
                <w:sz w:val="17"/>
                <w:szCs w:val="17"/>
                <w:color w:val="auto"/>
              </w:rPr>
            </w:pPr>
          </w:p>
        </w:tc>
      </w:tr>
      <w:tr>
        <w:trPr>
          <w:trHeight w:val="2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1060" w:type="dxa"/>
            <w:vAlign w:val="bottom"/>
          </w:tcPr>
          <w:p>
            <w:pPr>
              <w:spacing w:after="0"/>
              <w:rPr>
                <w:sz w:val="18"/>
                <w:szCs w:val="18"/>
                <w:color w:val="auto"/>
              </w:rPr>
            </w:pPr>
          </w:p>
        </w:tc>
        <w:tc>
          <w:tcPr>
            <w:tcW w:w="10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any compensatory plan, contract or arrangement.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portions of this document that constitute confidential information have been redacted pursuant to Item 601(b)(10) of Regulation S-K.</w:t>
      </w:r>
    </w:p>
    <w:p>
      <w:pPr>
        <w:spacing w:after="0" w:line="50" w:lineRule="exact"/>
        <w:rPr>
          <w:sz w:val="20"/>
          <w:szCs w:val="20"/>
          <w:color w:val="auto"/>
        </w:rPr>
      </w:pPr>
    </w:p>
    <w:p>
      <w:pPr>
        <w:ind w:right="200" w:firstLine="8"/>
        <w:spacing w:after="0" w:line="282" w:lineRule="auto"/>
        <w:tabs>
          <w:tab w:leader="none" w:pos="1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these agreements have been omitted pursuant to Item 601(a)(5) and (6) of Regulation S-K. The Company will furnish copies of any of the exhibits and schedules to the Securities and Exchange Commission upon request.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Rapport Therapeutics, Inc.</w:t>
      </w:r>
    </w:p>
    <w:p>
      <w:pPr>
        <w:sectPr>
          <w:pgSz w:w="11900" w:h="16838" w:orient="portrait"/>
          <w:cols w:equalWidth="0" w:num="1">
            <w:col w:w="11240"/>
          </w:cols>
          <w:pgMar w:left="320" w:top="981" w:right="339" w:bottom="1440" w:gutter="0" w:footer="0" w:header="0"/>
        </w:sect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10, 2026</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17"/>
          <w:szCs w:val="17"/>
          <w:color w:val="auto"/>
        </w:rPr>
        <w:t>/s/ Abraham N. Ceesay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24765</wp:posOffset>
            </wp:positionV>
            <wp:extent cx="33089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4980" w:space="720"/>
            <w:col w:w="1380" w:space="720"/>
            <w:col w:w="3440"/>
          </w:cols>
          <w:pgMar w:left="320" w:top="981" w:right="339" w:bottom="1440" w:gutter="0" w:footer="0" w:header="0"/>
          <w:type w:val="continuous"/>
        </w:sectPr>
      </w:pPr>
    </w:p>
    <w:p>
      <w:pPr>
        <w:jc w:val="center"/>
        <w:ind w:left="6020"/>
        <w:spacing w:after="0"/>
        <w:rPr>
          <w:sz w:val="20"/>
          <w:szCs w:val="20"/>
          <w:color w:val="auto"/>
        </w:rPr>
      </w:pPr>
      <w:r>
        <w:rPr>
          <w:rFonts w:ascii="Times New Roman" w:cs="Times New Roman" w:eastAsia="Times New Roman" w:hAnsi="Times New Roman"/>
          <w:sz w:val="18"/>
          <w:szCs w:val="18"/>
          <w:color w:val="auto"/>
        </w:rPr>
        <w:t>Abraham N. Ceesay, M.B.A.</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each of Abraham N. Ceesay, M.B.A. and Troy Ignelzi, as such person’s true and lawful attorney-in-fact and agent with full power of substitution and resubstitution, for such person in such person’s name, place and stead, in any and all capacities, to sign any and all amendments (including post-effective amendments) to this Annual Report on Form 10-K,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Annual Report on Form 10-K has been signed by the following person in the capacities and on the date indicated.</w:t>
      </w:r>
    </w:p>
    <w:p>
      <w:pPr>
        <w:sectPr>
          <w:pgSz w:w="11900" w:h="16838" w:orient="portrait"/>
          <w:cols w:equalWidth="0" w:num="1">
            <w:col w:w="11240"/>
          </w:cols>
          <w:pgMar w:left="320" w:top="981" w:right="339" w:bottom="1440" w:gutter="0" w:footer="0" w:header="0"/>
        </w:sectPr>
      </w:pP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180" w:right="460"/>
        <w:spacing w:after="0" w:line="329" w:lineRule="auto"/>
        <w:rPr>
          <w:sz w:val="20"/>
          <w:szCs w:val="20"/>
          <w:color w:val="auto"/>
        </w:rPr>
      </w:pPr>
      <w:r>
        <w:rPr>
          <w:rFonts w:ascii="Times New Roman" w:cs="Times New Roman" w:eastAsia="Times New Roman" w:hAnsi="Times New Roman"/>
          <w:sz w:val="17"/>
          <w:szCs w:val="17"/>
          <w:color w:val="auto"/>
        </w:rPr>
        <w:t>/s/ Abraham N. Ceesay Abraham N. Ceesay,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-191135</wp:posOffset>
            </wp:positionV>
            <wp:extent cx="192849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6">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Troy Ignelzi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17145</wp:posOffset>
            </wp:positionV>
            <wp:extent cx="192849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7">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Troy Ignelzi</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Steven M.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17145</wp:posOffset>
            </wp:positionV>
            <wp:extent cx="192849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8">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Steven M. Paul, M.D.</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James I.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17145</wp:posOffset>
            </wp:positionV>
            <wp:extent cx="192849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9">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James I. Healy, M.D., Ph.D.</w:t>
      </w:r>
    </w:p>
    <w:p>
      <w:pPr>
        <w:spacing w:after="0" w:line="220" w:lineRule="exact"/>
        <w:rPr>
          <w:sz w:val="20"/>
          <w:szCs w:val="20"/>
          <w:color w:val="auto"/>
        </w:rPr>
      </w:pPr>
    </w:p>
    <w:p>
      <w:pPr>
        <w:ind w:left="180" w:right="780"/>
        <w:spacing w:after="0" w:line="297" w:lineRule="auto"/>
        <w:rPr>
          <w:sz w:val="20"/>
          <w:szCs w:val="20"/>
          <w:color w:val="auto"/>
        </w:rPr>
      </w:pPr>
      <w:r>
        <w:rPr>
          <w:rFonts w:ascii="Times New Roman" w:cs="Times New Roman" w:eastAsia="Times New Roman" w:hAnsi="Times New Roman"/>
          <w:sz w:val="18"/>
          <w:szCs w:val="18"/>
          <w:color w:val="auto"/>
        </w:rPr>
        <w:t>/s/ John Maraganore John Maraganore,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-175895</wp:posOffset>
            </wp:positionV>
            <wp:extent cx="192849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0">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Paul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17145</wp:posOffset>
            </wp:positionV>
            <wp:extent cx="192849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1">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Paul Silva</w:t>
      </w:r>
    </w:p>
    <w:p>
      <w:pPr>
        <w:spacing w:after="0" w:line="220" w:lineRule="exact"/>
        <w:rPr>
          <w:sz w:val="20"/>
          <w:szCs w:val="20"/>
          <w:color w:val="auto"/>
        </w:rPr>
      </w:pPr>
    </w:p>
    <w:p>
      <w:pPr>
        <w:ind w:left="180" w:right="720"/>
        <w:spacing w:after="0" w:line="297" w:lineRule="auto"/>
        <w:rPr>
          <w:sz w:val="20"/>
          <w:szCs w:val="20"/>
          <w:color w:val="auto"/>
        </w:rPr>
      </w:pPr>
      <w:r>
        <w:rPr>
          <w:rFonts w:ascii="Times New Roman" w:cs="Times New Roman" w:eastAsia="Times New Roman" w:hAnsi="Times New Roman"/>
          <w:sz w:val="18"/>
          <w:szCs w:val="18"/>
          <w:color w:val="auto"/>
        </w:rPr>
        <w:t>/s/ Raymond Sanchez Raymond Sanchez,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-175895</wp:posOffset>
            </wp:positionV>
            <wp:extent cx="192849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2">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Robert J.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17145</wp:posOffset>
            </wp:positionV>
            <wp:extent cx="192849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3">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Robert J. Perez</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Reid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17145</wp:posOffset>
            </wp:positionV>
            <wp:extent cx="192849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4">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Reid Huber, Ph.D.</w:t>
      </w:r>
    </w:p>
    <w:p>
      <w:pPr>
        <w:spacing w:after="0" w:line="220" w:lineRule="exact"/>
        <w:rPr>
          <w:sz w:val="20"/>
          <w:szCs w:val="20"/>
          <w:color w:val="auto"/>
        </w:rPr>
      </w:pPr>
    </w:p>
    <w:p>
      <w:pPr>
        <w:ind w:left="180" w:right="780"/>
        <w:spacing w:after="0" w:line="329" w:lineRule="auto"/>
        <w:rPr>
          <w:sz w:val="20"/>
          <w:szCs w:val="20"/>
          <w:color w:val="auto"/>
        </w:rPr>
      </w:pPr>
      <w:r>
        <w:rPr>
          <w:rFonts w:ascii="Times New Roman" w:cs="Times New Roman" w:eastAsia="Times New Roman" w:hAnsi="Times New Roman"/>
          <w:sz w:val="17"/>
          <w:szCs w:val="17"/>
          <w:color w:val="auto"/>
        </w:rPr>
        <w:t>/s/ Wendy B. Young Wendy B. Young,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-191135</wp:posOffset>
            </wp:positionV>
            <wp:extent cx="19284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5">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40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4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36"/>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25"/>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36"/>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45"/>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Chairman</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662"/>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662"/>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661"/>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662"/>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661"/>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662"/>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661"/>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March 10, 2026</w:t>
            </w:r>
          </w:p>
        </w:tc>
      </w:tr>
    </w:tbl>
    <w:p>
      <w:pPr>
        <w:spacing w:after="0" w:line="488" w:lineRule="exact"/>
        <w:rPr>
          <w:sz w:val="20"/>
          <w:szCs w:val="20"/>
          <w:color w:val="auto"/>
        </w:rPr>
      </w:pPr>
    </w:p>
    <w:p>
      <w:pPr>
        <w:sectPr>
          <w:pgSz w:w="11900" w:h="16838" w:orient="portrait"/>
          <w:cols w:equalWidth="0" w:num="2">
            <w:col w:w="2720" w:space="720"/>
            <w:col w:w="7800"/>
          </w:cols>
          <w:pgMar w:left="320" w:top="981" w:right="339" w:bottom="1440" w:gutter="0" w:footer="0" w:header="0"/>
          <w:type w:val="continuous"/>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53" w:name="page154"/>
    <w:bookmarkEnd w:id="153"/>
    <w:p>
      <w:pPr>
        <w:jc w:val="right"/>
        <w:spacing w:after="0"/>
        <w:rPr>
          <w:sz w:val="20"/>
          <w:szCs w:val="20"/>
          <w:color w:val="auto"/>
        </w:rPr>
      </w:pPr>
      <w:r>
        <w:rPr>
          <w:rFonts w:ascii="Times New Roman" w:cs="Times New Roman" w:eastAsia="Times New Roman" w:hAnsi="Times New Roman"/>
          <w:sz w:val="20"/>
          <w:szCs w:val="20"/>
          <w:b w:val="1"/>
          <w:bCs w:val="1"/>
          <w:color w:val="auto"/>
        </w:rPr>
        <w:t>Exhibit 10.6</w:t>
      </w:r>
    </w:p>
    <w:p>
      <w:pPr>
        <w:spacing w:after="0" w:line="200" w:lineRule="exact"/>
        <w:rPr>
          <w:sz w:val="20"/>
          <w:szCs w:val="20"/>
          <w:color w:val="auto"/>
        </w:rPr>
      </w:pPr>
    </w:p>
    <w:p>
      <w:pPr>
        <w:spacing w:after="0" w:line="2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5"/>
          <w:szCs w:val="25"/>
          <w:b w:val="1"/>
          <w:bCs w:val="1"/>
          <w:color w:val="auto"/>
        </w:rPr>
        <w:t>RAPPORT THERAPEUTICS, INC.</w:t>
      </w:r>
    </w:p>
    <w:p>
      <w:pPr>
        <w:spacing w:after="0" w:line="4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5"/>
          <w:szCs w:val="25"/>
          <w:b w:val="1"/>
          <w:bCs w:val="1"/>
          <w:color w:val="auto"/>
        </w:rPr>
        <w:t>NON-EMPLOYEE DIRECTOR COMPENSATION POLICY</w:t>
      </w:r>
    </w:p>
    <w:p>
      <w:pPr>
        <w:spacing w:after="0" w:line="193" w:lineRule="exact"/>
        <w:rPr>
          <w:sz w:val="20"/>
          <w:szCs w:val="20"/>
          <w:color w:val="auto"/>
        </w:rPr>
      </w:pPr>
    </w:p>
    <w:p>
      <w:pPr>
        <w:jc w:val="both"/>
        <w:ind w:right="440"/>
        <w:spacing w:after="0" w:line="238" w:lineRule="auto"/>
        <w:rPr>
          <w:sz w:val="20"/>
          <w:szCs w:val="20"/>
          <w:color w:val="auto"/>
        </w:rPr>
      </w:pPr>
      <w:r>
        <w:rPr>
          <w:rFonts w:ascii="Times New Roman" w:cs="Times New Roman" w:eastAsia="Times New Roman" w:hAnsi="Times New Roman"/>
          <w:sz w:val="22"/>
          <w:szCs w:val="22"/>
          <w:color w:val="auto"/>
        </w:rPr>
        <w:t xml:space="preserve">The purpose of this Non-Employee Director Compensation Policy (the “Policy”) of Rapport Therapeutics, Inc., a Delaware corporation (the “Company”), is to provide a total compensation package that enables the Company to attract and retain, on a long-term basis, high-caliber directors who are not employees or officers of the Company or its subsidiaries (“Outside Directors”). </w:t>
      </w:r>
      <w:r>
        <w:rPr>
          <w:rFonts w:ascii="Times New Roman" w:cs="Times New Roman" w:eastAsia="Times New Roman" w:hAnsi="Times New Roman"/>
          <w:sz w:val="20"/>
          <w:szCs w:val="20"/>
          <w:color w:val="auto"/>
        </w:rPr>
        <w:t>This Policy will become effective as of the effective time of the registration statement for the Company’s 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 xml:space="preserve">public offering of its equity securities (the “Effective Date”). </w:t>
      </w:r>
      <w:r>
        <w:rPr>
          <w:rFonts w:ascii="Times New Roman" w:cs="Times New Roman" w:eastAsia="Times New Roman" w:hAnsi="Times New Roman"/>
          <w:sz w:val="21"/>
          <w:szCs w:val="21"/>
          <w:color w:val="auto"/>
        </w:rPr>
        <w:t>In furtherance of the purpose stated above, all Outside Directors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shall be paid compensation for services provided to the Company as Outside Directors as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Cash Retainers</w:t>
      </w:r>
    </w:p>
    <w:p>
      <w:pPr>
        <w:spacing w:after="0" w:line="210" w:lineRule="exact"/>
        <w:rPr>
          <w:sz w:val="20"/>
          <w:szCs w:val="20"/>
          <w:color w:val="auto"/>
        </w:rPr>
      </w:pPr>
    </w:p>
    <w:p>
      <w:pPr>
        <w:jc w:val="both"/>
        <w:ind w:left="200" w:right="440"/>
        <w:spacing w:after="0" w:line="239" w:lineRule="auto"/>
        <w:rPr>
          <w:sz w:val="20"/>
          <w:szCs w:val="20"/>
          <w:color w:val="auto"/>
        </w:rPr>
      </w:pPr>
      <w:r>
        <w:rPr>
          <w:rFonts w:ascii="Times New Roman" w:cs="Times New Roman" w:eastAsia="Times New Roman" w:hAnsi="Times New Roman"/>
          <w:sz w:val="22"/>
          <w:szCs w:val="22"/>
          <w:u w:val="single" w:color="auto"/>
          <w:color w:val="auto"/>
        </w:rPr>
        <w:t>Annual Retainer for Board Membership</w:t>
      </w:r>
      <w:r>
        <w:rPr>
          <w:rFonts w:ascii="Times New Roman" w:cs="Times New Roman" w:eastAsia="Times New Roman" w:hAnsi="Times New Roman"/>
          <w:sz w:val="22"/>
          <w:szCs w:val="22"/>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Additional Annual Retainers for Committee Membership</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0"/>
        <w:spacing w:after="0"/>
        <w:tabs>
          <w:tab w:leader="none" w:pos="3200" w:val="left"/>
        </w:tabs>
        <w:rPr>
          <w:sz w:val="20"/>
          <w:szCs w:val="20"/>
          <w:color w:val="auto"/>
        </w:rPr>
      </w:pPr>
      <w:r>
        <w:rPr>
          <w:rFonts w:ascii="Times New Roman" w:cs="Times New Roman" w:eastAsia="Times New Roman" w:hAnsi="Times New Roman"/>
          <w:sz w:val="22"/>
          <w:szCs w:val="22"/>
          <w:color w:val="auto"/>
        </w:rPr>
        <w:t>Audit Committee Chairperson:</w:t>
      </w:r>
      <w:r>
        <w:rPr>
          <w:sz w:val="20"/>
          <w:szCs w:val="20"/>
          <w:color w:val="auto"/>
        </w:rPr>
        <w:tab/>
      </w:r>
      <w:r>
        <w:rPr>
          <w:rFonts w:ascii="Times New Roman" w:cs="Times New Roman" w:eastAsia="Times New Roman" w:hAnsi="Times New Roman"/>
          <w:sz w:val="21"/>
          <w:szCs w:val="21"/>
          <w:color w:val="auto"/>
        </w:rPr>
        <w:t>$15,000</w:t>
      </w:r>
    </w:p>
    <w:p>
      <w:pPr>
        <w:spacing w:after="0" w:line="206" w:lineRule="exact"/>
        <w:rPr>
          <w:sz w:val="20"/>
          <w:szCs w:val="20"/>
          <w:color w:val="auto"/>
        </w:rPr>
      </w:pPr>
    </w:p>
    <w:p>
      <w:pPr>
        <w:ind w:left="200"/>
        <w:spacing w:after="0"/>
        <w:tabs>
          <w:tab w:leader="none" w:pos="4920" w:val="left"/>
        </w:tabs>
        <w:rPr>
          <w:sz w:val="20"/>
          <w:szCs w:val="20"/>
          <w:color w:val="auto"/>
        </w:rPr>
      </w:pPr>
      <w:r>
        <w:rPr>
          <w:rFonts w:ascii="Times New Roman" w:cs="Times New Roman" w:eastAsia="Times New Roman" w:hAnsi="Times New Roman"/>
          <w:sz w:val="22"/>
          <w:szCs w:val="22"/>
          <w:color w:val="auto"/>
        </w:rPr>
        <w:t>Audit Committee member (other than Chairperson):</w:t>
      </w:r>
      <w:r>
        <w:rPr>
          <w:sz w:val="20"/>
          <w:szCs w:val="20"/>
          <w:color w:val="auto"/>
        </w:rPr>
        <w:tab/>
      </w:r>
      <w:r>
        <w:rPr>
          <w:rFonts w:ascii="Times New Roman" w:cs="Times New Roman" w:eastAsia="Times New Roman" w:hAnsi="Times New Roman"/>
          <w:sz w:val="21"/>
          <w:szCs w:val="21"/>
          <w:color w:val="auto"/>
        </w:rPr>
        <w:t>$7,500</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282"/>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Compensation Committee Chairperson:</w:t>
            </w:r>
          </w:p>
        </w:tc>
        <w:tc>
          <w:tcPr>
            <w:tcW w:w="17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$10,000</w:t>
            </w:r>
          </w:p>
        </w:tc>
        <w:tc>
          <w:tcPr>
            <w:tcW w:w="760" w:type="dxa"/>
            <w:vAlign w:val="bottom"/>
          </w:tcPr>
          <w:p>
            <w:pPr>
              <w:spacing w:after="0"/>
              <w:rPr>
                <w:sz w:val="24"/>
                <w:szCs w:val="24"/>
                <w:color w:val="auto"/>
              </w:rPr>
            </w:pPr>
          </w:p>
        </w:tc>
      </w:tr>
      <w:tr>
        <w:trPr>
          <w:trHeight w:val="459"/>
        </w:trPr>
        <w:tc>
          <w:tcPr>
            <w:tcW w:w="5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Compensation Committee member (other than Chairperson):</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w:t>
            </w:r>
          </w:p>
        </w:tc>
      </w:tr>
    </w:tbl>
    <w:p>
      <w:pPr>
        <w:spacing w:after="0" w:line="177" w:lineRule="exact"/>
        <w:rPr>
          <w:sz w:val="20"/>
          <w:szCs w:val="20"/>
          <w:color w:val="auto"/>
        </w:rPr>
      </w:pPr>
    </w:p>
    <w:p>
      <w:pPr>
        <w:ind w:left="200"/>
        <w:spacing w:after="0"/>
        <w:tabs>
          <w:tab w:leader="none" w:pos="6220" w:val="left"/>
        </w:tabs>
        <w:rPr>
          <w:sz w:val="20"/>
          <w:szCs w:val="20"/>
          <w:color w:val="auto"/>
        </w:rPr>
      </w:pPr>
      <w:r>
        <w:rPr>
          <w:rFonts w:ascii="Times New Roman" w:cs="Times New Roman" w:eastAsia="Times New Roman" w:hAnsi="Times New Roman"/>
          <w:sz w:val="22"/>
          <w:szCs w:val="22"/>
          <w:color w:val="auto"/>
        </w:rPr>
        <w:t>Nominating and Corporate Governance Committee Chairperson:</w:t>
        <w:tab/>
        <w:t>$8,000 Nominating and Corporate Governance</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Committee member (other than Chairperson): $4,000 Science &amp; Technology Committee Chairperson:  $8,000 Science</w:t>
      </w:r>
    </w:p>
    <w:p>
      <w:pPr>
        <w:ind w:left="200"/>
        <w:spacing w:after="0"/>
        <w:tabs>
          <w:tab w:leader="none" w:pos="5800" w:val="left"/>
        </w:tabs>
        <w:rPr>
          <w:sz w:val="20"/>
          <w:szCs w:val="20"/>
          <w:color w:val="auto"/>
        </w:rPr>
      </w:pPr>
      <w:r>
        <w:rPr>
          <w:rFonts w:ascii="Times New Roman" w:cs="Times New Roman" w:eastAsia="Times New Roman" w:hAnsi="Times New Roman"/>
          <w:sz w:val="22"/>
          <w:szCs w:val="22"/>
          <w:color w:val="auto"/>
        </w:rPr>
        <w:t>&amp; Technology Committee member (other than Chairperson):</w:t>
      </w:r>
      <w:r>
        <w:rPr>
          <w:sz w:val="20"/>
          <w:szCs w:val="20"/>
          <w:color w:val="auto"/>
        </w:rPr>
        <w:tab/>
      </w:r>
      <w:r>
        <w:rPr>
          <w:rFonts w:ascii="Times New Roman" w:cs="Times New Roman" w:eastAsia="Times New Roman" w:hAnsi="Times New Roman"/>
          <w:sz w:val="21"/>
          <w:szCs w:val="21"/>
          <w:color w:val="auto"/>
        </w:rPr>
        <w:t>$4,000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Retainers</w:t>
      </w:r>
    </w:p>
    <w:p>
      <w:pPr>
        <w:spacing w:after="0" w:line="210"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All grants of equity retainer awards to Outside Directors pursuant to this Policy will be automatic and nondiscretionary and will be made in accordance with the following provisions:</w:t>
      </w:r>
    </w:p>
    <w:p>
      <w:pPr>
        <w:spacing w:after="0" w:line="158" w:lineRule="exact"/>
        <w:rPr>
          <w:sz w:val="20"/>
          <w:szCs w:val="20"/>
          <w:color w:val="auto"/>
        </w:rPr>
      </w:pPr>
    </w:p>
    <w:p>
      <w:pPr>
        <w:jc w:val="both"/>
        <w:ind w:left="200" w:right="380"/>
        <w:spacing w:after="0" w:line="244" w:lineRule="auto"/>
        <w:rPr>
          <w:sz w:val="20"/>
          <w:szCs w:val="20"/>
          <w:color w:val="auto"/>
        </w:rPr>
      </w:pP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Upon his or her initial election to the Board of Directors, each Outside Director will receive an initial, one-time stock option award (the “Initial Award”) to purchase 43,700 shares, which shall vest over three years, with first vesting to occur on the first anniversary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4" w:name="page155"/>
    <w:bookmarkEnd w:id="154"/>
    <w:p>
      <w:pPr>
        <w:jc w:val="both"/>
        <w:ind w:left="200" w:right="20"/>
        <w:spacing w:after="0" w:line="235" w:lineRule="auto"/>
        <w:rPr>
          <w:sz w:val="20"/>
          <w:szCs w:val="20"/>
          <w:color w:val="auto"/>
        </w:rPr>
      </w:pPr>
      <w:r>
        <w:rPr>
          <w:rFonts w:ascii="Times New Roman" w:cs="Times New Roman" w:eastAsia="Times New Roman" w:hAnsi="Times New Roman"/>
          <w:sz w:val="22"/>
          <w:szCs w:val="22"/>
          <w:color w:val="auto"/>
        </w:rPr>
        <w:t>the vesting commencement date and monthly vesting thereafter, provided, however, that all vesting shall cease if the director resigns from the Board of Directors or otherwise ceases to serve as on the Board of Directors of the Company, unless the Board of Directors determines that the circumstances warrant continuation of vesting. The Initial Award shall expire ten years from the date of grant, and shall have a per share exercise price equal to the Fair Market Value (as defined in the Company’s 2024 Stock Option and Incentive Plan, as amended from time to time) of the Company’s common stock on the date of grant. This Initial Award applies only to Outside Directors who are first elected to the Board of Directors subsequent to the Effective Date.</w:t>
      </w:r>
    </w:p>
    <w:p>
      <w:pPr>
        <w:spacing w:after="0" w:line="183" w:lineRule="exact"/>
        <w:rPr>
          <w:sz w:val="20"/>
          <w:szCs w:val="20"/>
          <w:color w:val="auto"/>
        </w:rPr>
      </w:pPr>
    </w:p>
    <w:p>
      <w:pPr>
        <w:jc w:val="both"/>
        <w:ind w:left="200"/>
        <w:spacing w:after="0" w:line="233" w:lineRule="auto"/>
        <w:rPr>
          <w:sz w:val="20"/>
          <w:szCs w:val="20"/>
          <w:color w:val="auto"/>
        </w:rPr>
      </w:pP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On each date of each Annual Meeting of Stockholders of the Company following the Effective Date (the “Annual Meeting”), each continuing Outside Director, other than a director receiving an Initial Award, will receive an annual stock option award (the “Annual Award”) to purchase 21,850 shares, which shall vest in full upon the earlier of (i) the first anniversary of the date of grant or (ii) the date of the next Annual Meeting; provided, however, that all vesting shall cease if the director resigns from the Board of Directors or otherwise ceases to serve on the Board of Directors of the Company, unless the Board of Directors determines that the circumstances warrant continuation of vesting; provided further that, in the case of an Annual Award to an Outside Director appointed to the Board in the 12 months prior to the Annual Meeting of Stockholders, the Annual Award shall be prorated by multiplying the Annual Award by a fraction, the numerator of which is the number of full months that have elapsed between the date the Outside Director was appointed and the date of the Annual Meeting and the denominator of which is 12. Such Annual Award shall expire ten years from the date of grant, and shall have a per share exercise price equal to the Fair Market Value of the Company’s common stock on the date of grant.</w:t>
      </w:r>
    </w:p>
    <w:p>
      <w:pPr>
        <w:spacing w:after="0" w:line="185" w:lineRule="exact"/>
        <w:rPr>
          <w:sz w:val="20"/>
          <w:szCs w:val="20"/>
          <w:color w:val="auto"/>
        </w:rPr>
      </w:pPr>
    </w:p>
    <w:p>
      <w:pPr>
        <w:jc w:val="both"/>
        <w:ind w:left="200" w:right="20"/>
        <w:spacing w:after="0" w:line="244" w:lineRule="auto"/>
        <w:rPr>
          <w:sz w:val="20"/>
          <w:szCs w:val="20"/>
          <w:color w:val="auto"/>
        </w:rPr>
      </w:pPr>
      <w:r>
        <w:rPr>
          <w:rFonts w:ascii="Times New Roman" w:cs="Times New Roman" w:eastAsia="Times New Roman" w:hAnsi="Times New Roman"/>
          <w:sz w:val="22"/>
          <w:szCs w:val="22"/>
          <w:u w:val="single" w:color="auto"/>
          <w:color w:val="auto"/>
        </w:rPr>
        <w:t>Sale Event Acceleration</w:t>
      </w:r>
      <w:r>
        <w:rPr>
          <w:rFonts w:ascii="Times New Roman" w:cs="Times New Roman" w:eastAsia="Times New Roman" w:hAnsi="Times New Roman"/>
          <w:sz w:val="22"/>
          <w:szCs w:val="22"/>
          <w:color w:val="auto"/>
        </w:rPr>
        <w:t>: All outstanding Initial Awards and Annual Awards held by an Outside Director shall become fully vested, exercisable (if applicable) and nonforfeitable upon a Sale Event (as defined in the Company’s 2024 Stock Option and Incentive Plan, as amended from time to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Expenses</w:t>
      </w:r>
    </w:p>
    <w:p>
      <w:pPr>
        <w:spacing w:after="0" w:line="210" w:lineRule="exact"/>
        <w:rPr>
          <w:sz w:val="20"/>
          <w:szCs w:val="20"/>
          <w:color w:val="auto"/>
        </w:rPr>
      </w:pPr>
    </w:p>
    <w:p>
      <w:pPr>
        <w:ind w:left="200" w:right="80"/>
        <w:spacing w:after="0" w:line="258" w:lineRule="auto"/>
        <w:rPr>
          <w:sz w:val="20"/>
          <w:szCs w:val="20"/>
          <w:color w:val="auto"/>
        </w:rPr>
      </w:pPr>
      <w:r>
        <w:rPr>
          <w:rFonts w:ascii="Times New Roman" w:cs="Times New Roman" w:eastAsia="Times New Roman" w:hAnsi="Times New Roman"/>
          <w:sz w:val="22"/>
          <w:szCs w:val="22"/>
          <w:color w:val="auto"/>
        </w:rPr>
        <w:t>The Company will reimburse all reasonable out-of-pocket expenses incurred by Outside Directors in attending meetings of the Board of Directors or any committee thereof.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Maximum Annual Compensation</w:t>
      </w:r>
    </w:p>
    <w:p>
      <w:pPr>
        <w:spacing w:after="0" w:line="210" w:lineRule="exact"/>
        <w:rPr>
          <w:sz w:val="20"/>
          <w:szCs w:val="20"/>
          <w:color w:val="auto"/>
        </w:rPr>
      </w:pPr>
    </w:p>
    <w:p>
      <w:pPr>
        <w:jc w:val="both"/>
        <w:ind w:left="200" w:right="20"/>
        <w:spacing w:after="0" w:line="238" w:lineRule="auto"/>
        <w:rPr>
          <w:sz w:val="20"/>
          <w:szCs w:val="20"/>
          <w:color w:val="auto"/>
        </w:rPr>
      </w:pPr>
      <w:r>
        <w:rPr>
          <w:rFonts w:ascii="Times New Roman" w:cs="Times New Roman" w:eastAsia="Times New Roman" w:hAnsi="Times New Roman"/>
          <w:sz w:val="22"/>
          <w:szCs w:val="22"/>
          <w:color w:val="auto"/>
        </w:rPr>
        <w:t>The aggregate amount of compensation, including both equity compensation and cash compensation, paid by the Company to any Outside Director in a calendar year for services as an Outside Director shall not exceed $750,000; provided, however, that such amount shall be</w:t>
      </w:r>
    </w:p>
    <w:p>
      <w:pPr>
        <w:jc w:val="both"/>
        <w:ind w:left="200" w:right="20"/>
        <w:spacing w:after="0" w:line="232" w:lineRule="auto"/>
        <w:rPr>
          <w:sz w:val="20"/>
          <w:szCs w:val="20"/>
          <w:color w:val="auto"/>
        </w:rPr>
      </w:pPr>
      <w:r>
        <w:rPr>
          <w:rFonts w:ascii="Times New Roman" w:cs="Times New Roman" w:eastAsia="Times New Roman" w:hAnsi="Times New Roman"/>
          <w:sz w:val="22"/>
          <w:szCs w:val="22"/>
          <w:color w:val="auto"/>
        </w:rPr>
        <w:t>$1,000,000 for the calendar year in which the applicable Outside Director is initially elected or appointed to the Board of Directors; (or such other limits as may be set forth in Section 3(b) of the Company’s 2024 Stock Option and Incentive Plan, as amended from time to time,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08" w:right="69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16510</wp:posOffset>
            </wp:positionV>
            <wp:extent cx="1508760" cy="4114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9">
                      <a:extLst>
                        <a:ext uri="{28A0092B-C50C-407E-A947-70E740481C1C}"/>
                      </a:extLst>
                    </a:blip>
                    <a:srcRect/>
                    <a:stretch>
                      <a:fillRect/>
                    </a:stretch>
                  </pic:blipFill>
                  <pic:spPr bwMode="auto">
                    <a:xfrm>
                      <a:off x="0" y="0"/>
                      <a:ext cx="150876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04040"/>
        </w:rPr>
        <w:t>March 11,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04040"/>
        </w:rPr>
        <w:t>Jeff Sevigny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04040"/>
        </w:rPr>
        <w:t>[**********]</w:t>
      </w:r>
    </w:p>
    <w:p>
      <w:pPr>
        <w:spacing w:after="0"/>
        <w:rPr>
          <w:sz w:val="20"/>
          <w:szCs w:val="20"/>
          <w:color w:val="auto"/>
        </w:rPr>
      </w:pPr>
      <w:r>
        <w:rPr>
          <w:rFonts w:ascii="Times New Roman" w:cs="Times New Roman" w:eastAsia="Times New Roman" w:hAnsi="Times New Roman"/>
          <w:sz w:val="20"/>
          <w:szCs w:val="20"/>
          <w:color w:val="404040"/>
        </w:rPr>
        <w:t>[**********]</w:t>
      </w:r>
    </w:p>
    <w:p>
      <w:pPr>
        <w:spacing w:after="0"/>
        <w:rPr>
          <w:sz w:val="20"/>
          <w:szCs w:val="20"/>
          <w:color w:val="auto"/>
        </w:rPr>
      </w:pPr>
      <w:r>
        <w:rPr>
          <w:rFonts w:ascii="Times New Roman" w:cs="Times New Roman" w:eastAsia="Times New Roman" w:hAnsi="Times New Roman"/>
          <w:sz w:val="20"/>
          <w:szCs w:val="20"/>
          <w:color w:val="404040"/>
        </w:rPr>
        <w:t>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404040"/>
        </w:rPr>
        <w:t>Re:</w:t>
      </w:r>
      <w:r>
        <w:rPr>
          <w:sz w:val="20"/>
          <w:szCs w:val="20"/>
          <w:color w:val="auto"/>
        </w:rPr>
        <w:tab/>
      </w:r>
      <w:r>
        <w:rPr>
          <w:rFonts w:ascii="Times New Roman" w:cs="Times New Roman" w:eastAsia="Times New Roman" w:hAnsi="Times New Roman"/>
          <w:sz w:val="20"/>
          <w:szCs w:val="20"/>
          <w:u w:val="single" w:color="auto"/>
          <w:color w:val="404040"/>
        </w:rPr>
        <w:t>Assignment with Globalization Partners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04040"/>
        </w:rPr>
        <w:t>Dear Jeff,</w:t>
      </w:r>
    </w:p>
    <w:p>
      <w:pPr>
        <w:spacing w:after="0" w:line="200" w:lineRule="exact"/>
        <w:rPr>
          <w:sz w:val="20"/>
          <w:szCs w:val="20"/>
          <w:color w:val="auto"/>
        </w:rPr>
      </w:pPr>
    </w:p>
    <w:p>
      <w:pPr>
        <w:spacing w:after="0" w:line="25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9"/>
          <w:szCs w:val="19"/>
          <w:color w:val="404040"/>
        </w:rPr>
        <w:t>On behalf of Rapport Therapeutics, Inc. (the “</w:t>
      </w:r>
      <w:r>
        <w:rPr>
          <w:rFonts w:ascii="Times New Roman" w:cs="Times New Roman" w:eastAsia="Times New Roman" w:hAnsi="Times New Roman"/>
          <w:sz w:val="19"/>
          <w:szCs w:val="19"/>
          <w:u w:val="single" w:color="auto"/>
          <w:color w:val="404040"/>
        </w:rPr>
        <w:t>Company</w:t>
      </w:r>
      <w:r>
        <w:rPr>
          <w:rFonts w:ascii="Times New Roman" w:cs="Times New Roman" w:eastAsia="Times New Roman" w:hAnsi="Times New Roman"/>
          <w:sz w:val="19"/>
          <w:szCs w:val="19"/>
          <w:color w:val="404040"/>
        </w:rPr>
        <w:t>”) and in connection with your employment with Globalization Partners to provide services to the Company, I am pleased to confirm that, subject to approval of the Company’s Board of Directors (the “Board”) and your continued assignment to Rapport Therapeutics on the date of grant or issuance, the Company shall grant to you a non-qualified option to purchase 300,000 shares of the Company’s common stock (the “Stock Option Grant”). The exercise price of the Stock Option Grant shares will be at least equal to the fair market value of the Company’s common stock on the date of the grant. The Stock Option Grant will be subject to the standard terms and conditions of the Company’s 2024 Stock Option and Incentive Plan and the applicable equity award agreement (the “Equity Documents”), including with respect to vesting as follows: 25% of the Options shall vest on the first anniversary of your Start Date and an additional 2.08334% per month for the next thirty-six successive months, subject to your continued service to the Company at each such vesting date, such that the Options shall be fully vested upon the fourth (4th) anniversary of your Start Date.</w:t>
      </w:r>
    </w:p>
    <w:p>
      <w:pPr>
        <w:spacing w:after="0" w:line="135"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404040"/>
        </w:rPr>
        <w:t>If (i) your employment is terminated by Globalization Partners at the direction of the Company without Cause (as defined in the Addendum) and (ii) the date of such termination (the “</w:t>
      </w:r>
      <w:r>
        <w:rPr>
          <w:rFonts w:ascii="Times New Roman" w:cs="Times New Roman" w:eastAsia="Times New Roman" w:hAnsi="Times New Roman"/>
          <w:sz w:val="20"/>
          <w:szCs w:val="20"/>
          <w:u w:val="single" w:color="auto"/>
          <w:color w:val="404040"/>
        </w:rPr>
        <w:t>Date of Termination</w:t>
      </w:r>
      <w:r>
        <w:rPr>
          <w:rFonts w:ascii="Times New Roman" w:cs="Times New Roman" w:eastAsia="Times New Roman" w:hAnsi="Times New Roman"/>
          <w:sz w:val="20"/>
          <w:szCs w:val="20"/>
          <w:color w:val="404040"/>
        </w:rPr>
        <w:t>”) occurs during the period commencing 3 months prior to a Sale Event (as such term is defined in the Equity Documents) and ending 12 months following such Sale Event (the “</w:t>
      </w:r>
      <w:r>
        <w:rPr>
          <w:rFonts w:ascii="Times New Roman" w:cs="Times New Roman" w:eastAsia="Times New Roman" w:hAnsi="Times New Roman"/>
          <w:sz w:val="20"/>
          <w:szCs w:val="20"/>
          <w:u w:val="single" w:color="auto"/>
          <w:color w:val="404040"/>
        </w:rPr>
        <w:t>Change in Control Period</w:t>
      </w:r>
      <w:r>
        <w:rPr>
          <w:rFonts w:ascii="Times New Roman" w:cs="Times New Roman" w:eastAsia="Times New Roman" w:hAnsi="Times New Roman"/>
          <w:sz w:val="20"/>
          <w:szCs w:val="20"/>
          <w:color w:val="404040"/>
        </w:rPr>
        <w:t>”), and notwithstanding anything to the contrary in any applicable option agreement or other stock-based award agreement, subject to the signing of a general release of claims against the Company and all related persons and entities (the “</w:t>
      </w:r>
      <w:r>
        <w:rPr>
          <w:rFonts w:ascii="Times New Roman" w:cs="Times New Roman" w:eastAsia="Times New Roman" w:hAnsi="Times New Roman"/>
          <w:sz w:val="20"/>
          <w:szCs w:val="20"/>
          <w:u w:val="single" w:color="auto"/>
          <w:color w:val="404040"/>
        </w:rPr>
        <w:t>Release</w:t>
      </w:r>
      <w:r>
        <w:rPr>
          <w:rFonts w:ascii="Times New Roman" w:cs="Times New Roman" w:eastAsia="Times New Roman" w:hAnsi="Times New Roman"/>
          <w:sz w:val="20"/>
          <w:szCs w:val="20"/>
          <w:color w:val="404040"/>
        </w:rPr>
        <w:t>”) and such Release becoming fully effective within the time period set forth in the Release (but in no event more than 60 days after the Date of Termination), all stock options and other stock-based awards held by you that are subject solely to time-based vesting (the “</w:t>
      </w:r>
      <w:r>
        <w:rPr>
          <w:rFonts w:ascii="Times New Roman" w:cs="Times New Roman" w:eastAsia="Times New Roman" w:hAnsi="Times New Roman"/>
          <w:sz w:val="20"/>
          <w:szCs w:val="20"/>
          <w:u w:val="single" w:color="auto"/>
          <w:color w:val="404040"/>
        </w:rPr>
        <w:t>Time-Based Equity Awards</w:t>
      </w:r>
      <w:r>
        <w:rPr>
          <w:rFonts w:ascii="Times New Roman" w:cs="Times New Roman" w:eastAsia="Times New Roman" w:hAnsi="Times New Roman"/>
          <w:sz w:val="20"/>
          <w:szCs w:val="20"/>
          <w:color w:val="404040"/>
        </w:rPr>
        <w:t>”) shall immediately accelerate and become fully vested and exercisable or nonforfeitable as of the later of (i) the Date of Termination (or, if later, the Sale Event) or (ii) the effective date of the Release (the “</w:t>
      </w:r>
      <w:r>
        <w:rPr>
          <w:rFonts w:ascii="Times New Roman" w:cs="Times New Roman" w:eastAsia="Times New Roman" w:hAnsi="Times New Roman"/>
          <w:sz w:val="20"/>
          <w:szCs w:val="20"/>
          <w:u w:val="single" w:color="auto"/>
          <w:color w:val="404040"/>
        </w:rPr>
        <w:t>Accelerated Vesting Date</w:t>
      </w:r>
      <w:r>
        <w:rPr>
          <w:rFonts w:ascii="Times New Roman" w:cs="Times New Roman" w:eastAsia="Times New Roman" w:hAnsi="Times New Roman"/>
          <w:sz w:val="20"/>
          <w:szCs w:val="20"/>
          <w:color w:val="404040"/>
        </w:rPr>
        <w:t xml:space="preserve">”), </w:t>
      </w:r>
      <w:r>
        <w:rPr>
          <w:rFonts w:ascii="Times New Roman" w:cs="Times New Roman" w:eastAsia="Times New Roman" w:hAnsi="Times New Roman"/>
          <w:sz w:val="20"/>
          <w:szCs w:val="20"/>
          <w:i w:val="1"/>
          <w:iCs w:val="1"/>
          <w:color w:val="404040"/>
        </w:rPr>
        <w:t>provided</w:t>
      </w:r>
      <w:r>
        <w:rPr>
          <w:rFonts w:ascii="Times New Roman" w:cs="Times New Roman" w:eastAsia="Times New Roman" w:hAnsi="Times New Roman"/>
          <w:sz w:val="20"/>
          <w:szCs w:val="20"/>
          <w:color w:val="404040"/>
        </w:rPr>
        <w:t xml:space="preserve"> that in order to effectuate the accelerated vesting contemplated by this subsection, the unvested portion of the Executive’s Time-Based Equity Awards that would otherwise terminate or be forfeited on the Date of Termination will be delayed until the earlier of (A) the later of the effective date of the Release or the date of the Sale Event (at which time acceleration will occur), or (B) the earlier of the date that the Release can no longer become fully effective or, to the extent the Date of Termination occurs prior to a Sale Event, the date that is three (3) months following the Date of Termination if a Sale Event has not been consummated on or prior to such date (at which time the unvested portion of the Executive’s Time-Based Equity Awards will terminate or be forfeited). Notwithstanding the foregoing, no additional vesting of the Time-Based Equity Awards shall occur during the period between the Date of Termination and the Accelerated Vesting Date.</w:t>
      </w:r>
    </w:p>
    <w:p>
      <w:pPr>
        <w:spacing w:after="0" w:line="2" w:lineRule="exact"/>
        <w:rPr>
          <w:sz w:val="20"/>
          <w:szCs w:val="20"/>
          <w:color w:val="auto"/>
        </w:rPr>
      </w:pPr>
    </w:p>
    <w:p>
      <w:pPr>
        <w:spacing w:after="0"/>
        <w:tabs>
          <w:tab w:leader="none" w:pos="9180" w:val="left"/>
        </w:tabs>
        <w:rPr>
          <w:sz w:val="20"/>
          <w:szCs w:val="20"/>
          <w:color w:val="auto"/>
        </w:rPr>
      </w:pPr>
      <w:r>
        <w:rPr>
          <w:rFonts w:ascii="Arial" w:cs="Arial" w:eastAsia="Arial" w:hAnsi="Arial"/>
          <w:sz w:val="16"/>
          <w:szCs w:val="16"/>
          <w:color w:val="164438"/>
        </w:rPr>
        <w:t>1325 Boylston Street, Suite 401 • Boston, MA, 02251</w:t>
      </w:r>
      <w:r>
        <w:rPr>
          <w:sz w:val="20"/>
          <w:szCs w:val="20"/>
          <w:color w:val="auto"/>
        </w:rPr>
        <w:tab/>
      </w:r>
      <w:r>
        <w:rPr>
          <w:rFonts w:ascii="Arial" w:cs="Arial" w:eastAsia="Arial" w:hAnsi="Arial"/>
          <w:sz w:val="16"/>
          <w:szCs w:val="16"/>
          <w:b w:val="1"/>
          <w:bCs w:val="1"/>
          <w:color w:val="164438"/>
        </w:rPr>
        <w:t>rapportrx.com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5831840</wp:posOffset>
            </wp:positionH>
            <wp:positionV relativeFrom="page">
              <wp:posOffset>500380</wp:posOffset>
            </wp:positionV>
            <wp:extent cx="1508760" cy="4114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1508760" cy="411480"/>
                    </a:xfrm>
                    <a:prstGeom prst="rect">
                      <a:avLst/>
                    </a:prstGeom>
                    <a:noFill/>
                  </pic:spPr>
                </pic:pic>
              </a:graphicData>
            </a:graphic>
          </wp:anchor>
        </w:drawing>
      </w:r>
    </w:p>
    <w:p>
      <w:pPr>
        <w:spacing w:after="0" w:line="23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404040"/>
        </w:rPr>
        <w:t>We are also pleased to confirm that, through your employment arrangement with Globalization Partners, your initial target annual incentive compensation shall be 40 percent of your base salary. The actual amount of your annual incentive compensation, if any, shall be determined in the sole discretion of the Board or the Compensation Committee of the Board, subject to the terms of any applicable incentive compensation plan that may be in effect from time to time. Except as may be provided by the Board or the Compensation Committee of the Board or as may otherwise be set forth in the applicable incentive compensation plan, you must be providing services to the Company (whether through a direct employment relationship with the Company or a subsidiary of the Company, or through your employment with Globalization Partners) on the date such incentive compensation is paid in order to earn or receive any annual incentive compensation. Any incentive compensation earned with respect to 2025 shall be prorated based upon the date your employment with Globalization Partners commences.</w:t>
      </w:r>
    </w:p>
    <w:p>
      <w:pPr>
        <w:spacing w:after="0" w:line="14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404040"/>
        </w:rPr>
        <w:t>If your employment is terminated by Globalization Partners at the direction of the Company for Cause, or if you choose to voluntarily end your employment with Globalization Partners (and your assignment to the Company) including if you are unable to perform the role, the notification terms and benefits defined in your contract with Globalization Partners will be applied. If your employment is terminated by Globalization Partners at the direction of the Company without Cause outside the Change in Control Period, which it may do at any time subject to the notification terms in your Globalization Partners contract, the Company will make a one-time payment (either directly to you or through Globalization Partners) in the amount equivalent to (i) 12 months of your base salary and 12 months of allowance and (ii) if such termination occurs with the Change in Control Period, your annual target bonus, in each case, offset by any notice period where you are not required to provide services to the Company and provided you sign the Release and such Release becoming fully effective within the time period set forth in the Release (but in no event more than 60 days after the Date of Termination). You are solely responsible for any tax responsibilities associated with any payments pursuant to this letter agreement.</w:t>
      </w:r>
    </w:p>
    <w:p>
      <w:pPr>
        <w:spacing w:after="0" w:line="1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404040"/>
        </w:rPr>
        <w:t>This paragraph shall apply in the event any payments herein are subject to taxation in the United States taxation. If at the time of your separation from service within the meaning of Section 409A of the U.S. Internal Revenue Code of 1986, as amended (the “Code”), the Company determines that you are a “specified employee” within the meaning of Section 409A(a)(2)(B)(i) of the Code, then to the extent any payment or benefit that you become entitled to under this letter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the Executive’s death. To the extent that any payment or benefit described in this letter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1.409A-1(h). Each payment pursuant to this letter agreement is intended to constitute a separate payment for purposes of Treasury Regulation Section 1.409A-2(b)(2). The parties intend that this letter agreement will be administered in accordance with Section 409A of the Code and shall be read in such a manner so that all payments hereunder comply with or are exempt from Section 409A of the Code. We look forward to your working with us at Rapport.</w:t>
      </w:r>
    </w:p>
    <w:p>
      <w:pPr>
        <w:spacing w:after="0" w:line="201" w:lineRule="exact"/>
        <w:rPr>
          <w:sz w:val="20"/>
          <w:szCs w:val="20"/>
          <w:color w:val="auto"/>
        </w:rPr>
      </w:pPr>
    </w:p>
    <w:p>
      <w:pPr>
        <w:ind w:left="100"/>
        <w:spacing w:after="0"/>
        <w:tabs>
          <w:tab w:leader="none" w:pos="9160" w:val="left"/>
        </w:tabs>
        <w:rPr>
          <w:sz w:val="20"/>
          <w:szCs w:val="20"/>
          <w:color w:val="auto"/>
        </w:rPr>
      </w:pPr>
      <w:r>
        <w:rPr>
          <w:rFonts w:ascii="Arial" w:cs="Arial" w:eastAsia="Arial" w:hAnsi="Arial"/>
          <w:sz w:val="16"/>
          <w:szCs w:val="16"/>
          <w:color w:val="164438"/>
        </w:rPr>
        <w:t>1325 1325 Boylston Street, Suite 401 • Boston, MA, 02251</w:t>
      </w:r>
      <w:r>
        <w:rPr>
          <w:sz w:val="20"/>
          <w:szCs w:val="20"/>
          <w:color w:val="auto"/>
        </w:rPr>
        <w:tab/>
      </w:r>
      <w:r>
        <w:rPr>
          <w:rFonts w:ascii="Arial" w:cs="Arial" w:eastAsia="Arial" w:hAnsi="Arial"/>
          <w:sz w:val="16"/>
          <w:szCs w:val="16"/>
          <w:b w:val="1"/>
          <w:bCs w:val="1"/>
          <w:color w:val="164438"/>
        </w:rPr>
        <w:t>rapportrx.com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5831840</wp:posOffset>
            </wp:positionH>
            <wp:positionV relativeFrom="page">
              <wp:posOffset>500380</wp:posOffset>
            </wp:positionV>
            <wp:extent cx="1508760" cy="4114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clrChange>
                        <a:clrFrom>
                          <a:srgbClr val="FFFFFF"/>
                        </a:clrFrom>
                        <a:clrTo>
                          <a:srgbClr val="FFFFFF">
                            <a:alpha val="0"/>
                          </a:srgbClr>
                        </a:clrTo>
                      </a:clrChange>
                      <a:extLst>
                        <a:ext uri="{28A0092B-C50C-407E-A947-70E740481C1C}"/>
                      </a:extLst>
                    </a:blip>
                    <a:srcRect/>
                    <a:stretch>
                      <a:fillRect/>
                    </a:stretch>
                  </pic:blipFill>
                  <pic:spPr bwMode="auto">
                    <a:xfrm>
                      <a:off x="0" y="0"/>
                      <a:ext cx="150876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404040"/>
        </w:rPr>
        <w:t>Very truly yours,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404040"/>
        </w:rPr>
        <w:t>By: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404040"/>
        </w:rPr>
        <w:t>/s/Kathy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13970</wp:posOffset>
            </wp:positionV>
            <wp:extent cx="23571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404040"/>
        </w:rPr>
        <w:t>Name: Kathy Wilkinson</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404040"/>
        </w:rPr>
        <w:t>Chief People Officer</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i w:val="1"/>
          <w:iCs w:val="1"/>
          <w:color w:val="404040"/>
        </w:rPr>
        <w:t>I have read and accept the terms in this letter.</w:t>
      </w:r>
    </w:p>
    <w:p>
      <w:pPr>
        <w:spacing w:after="0" w:line="220" w:lineRule="exact"/>
        <w:rPr>
          <w:sz w:val="20"/>
          <w:szCs w:val="20"/>
          <w:color w:val="auto"/>
        </w:rPr>
      </w:pPr>
    </w:p>
    <w:p>
      <w:pPr>
        <w:ind w:left="760"/>
        <w:spacing w:after="0"/>
        <w:tabs>
          <w:tab w:leader="none" w:pos="2080" w:val="left"/>
          <w:tab w:leader="none" w:pos="6000" w:val="left"/>
        </w:tabs>
        <w:rPr>
          <w:sz w:val="20"/>
          <w:szCs w:val="20"/>
          <w:color w:val="auto"/>
        </w:rPr>
      </w:pPr>
      <w:r>
        <w:rPr>
          <w:rFonts w:ascii="Times New Roman" w:cs="Times New Roman" w:eastAsia="Times New Roman" w:hAnsi="Times New Roman"/>
          <w:sz w:val="20"/>
          <w:szCs w:val="20"/>
          <w:color w:val="404040"/>
        </w:rPr>
        <w:t>Jeff Sevigny:</w:t>
        <w:tab/>
        <w:t>/s/Jeffrey Sevigny</w:t>
      </w:r>
      <w:r>
        <w:rPr>
          <w:sz w:val="20"/>
          <w:szCs w:val="20"/>
          <w:color w:val="auto"/>
        </w:rPr>
        <w:tab/>
      </w:r>
      <w:r>
        <w:rPr>
          <w:rFonts w:ascii="Times New Roman" w:cs="Times New Roman" w:eastAsia="Times New Roman" w:hAnsi="Times New Roman"/>
          <w:sz w:val="20"/>
          <w:szCs w:val="20"/>
          <w:color w:val="404040"/>
        </w:rPr>
        <w:t>Date: 3/11/2025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13970</wp:posOffset>
            </wp:positionV>
            <wp:extent cx="18599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0"/>
        <w:spacing w:after="0"/>
        <w:tabs>
          <w:tab w:leader="none" w:pos="9160" w:val="left"/>
        </w:tabs>
        <w:rPr>
          <w:sz w:val="20"/>
          <w:szCs w:val="20"/>
          <w:color w:val="auto"/>
        </w:rPr>
      </w:pPr>
      <w:r>
        <w:rPr>
          <w:rFonts w:ascii="Arial" w:cs="Arial" w:eastAsia="Arial" w:hAnsi="Arial"/>
          <w:sz w:val="16"/>
          <w:szCs w:val="16"/>
          <w:color w:val="164438"/>
        </w:rPr>
        <w:t>1325 1325 Boylston Street, Suite 401 • Boston, MA, 02251</w:t>
      </w:r>
      <w:r>
        <w:rPr>
          <w:sz w:val="20"/>
          <w:szCs w:val="20"/>
          <w:color w:val="auto"/>
        </w:rPr>
        <w:tab/>
      </w:r>
      <w:r>
        <w:rPr>
          <w:rFonts w:ascii="Arial" w:cs="Arial" w:eastAsia="Arial" w:hAnsi="Arial"/>
          <w:sz w:val="16"/>
          <w:szCs w:val="16"/>
          <w:b w:val="1"/>
          <w:bCs w:val="1"/>
          <w:color w:val="164438"/>
        </w:rPr>
        <w:t>rapportrx.com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1440" w:right="1299" w:bottom="1440" w:gutter="0" w:footer="0" w:header="0"/>
        </w:sectPr>
      </w:pPr>
    </w:p>
    <w:bookmarkStart w:id="158" w:name="page159"/>
    <w:bookmarkEnd w:id="158"/>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5831840</wp:posOffset>
            </wp:positionH>
            <wp:positionV relativeFrom="page">
              <wp:posOffset>500380</wp:posOffset>
            </wp:positionV>
            <wp:extent cx="1508760" cy="4114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7">
                      <a:clrChange>
                        <a:clrFrom>
                          <a:srgbClr val="FFFFFF"/>
                        </a:clrFrom>
                        <a:clrTo>
                          <a:srgbClr val="FFFFFF">
                            <a:alpha val="0"/>
                          </a:srgbClr>
                        </a:clrTo>
                      </a:clrChange>
                      <a:extLst>
                        <a:ext uri="{28A0092B-C50C-407E-A947-70E740481C1C}"/>
                      </a:extLst>
                    </a:blip>
                    <a:srcRect/>
                    <a:stretch>
                      <a:fillRect/>
                    </a:stretch>
                  </pic:blipFill>
                  <pic:spPr bwMode="auto">
                    <a:xfrm>
                      <a:off x="0" y="0"/>
                      <a:ext cx="150876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u w:val="single" w:color="auto"/>
          <w:color w:val="404040"/>
        </w:rPr>
        <w:t>Addendum – Definitions for Ending an Assignment for Cause</w:t>
      </w:r>
    </w:p>
    <w:p>
      <w:pPr>
        <w:spacing w:after="0" w:line="22"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404040"/>
        </w:rPr>
        <w:t>Rapport may end your assignment to the Company with Globalization Partners for “Cause”. For purposes of this Agreement, “Cause” shall mean any of the following:</w:t>
      </w:r>
    </w:p>
    <w:p>
      <w:pPr>
        <w:spacing w:after="0" w:line="141" w:lineRule="exact"/>
        <w:rPr>
          <w:sz w:val="20"/>
          <w:szCs w:val="20"/>
          <w:color w:val="auto"/>
        </w:rPr>
      </w:pPr>
    </w:p>
    <w:p>
      <w:pPr>
        <w:ind w:left="1500" w:right="360" w:hanging="743"/>
        <w:spacing w:after="0" w:line="254" w:lineRule="auto"/>
        <w:tabs>
          <w:tab w:leader="none" w:pos="1500" w:val="left"/>
        </w:tabs>
        <w:numPr>
          <w:ilvl w:val="0"/>
          <w:numId w:val="72"/>
        </w:numPr>
        <w:rPr>
          <w:rFonts w:ascii="Times New Roman" w:cs="Times New Roman" w:eastAsia="Times New Roman" w:hAnsi="Times New Roman"/>
          <w:sz w:val="20"/>
          <w:szCs w:val="20"/>
          <w:color w:val="404040"/>
        </w:rPr>
      </w:pPr>
      <w:r>
        <w:rPr>
          <w:rFonts w:ascii="Times New Roman" w:cs="Times New Roman" w:eastAsia="Times New Roman" w:hAnsi="Times New Roman"/>
          <w:sz w:val="20"/>
          <w:szCs w:val="20"/>
          <w:color w:val="404040"/>
        </w:rPr>
        <w:t>statements or acts by you with respect to the Company or any affiliate of the Company, or any current or prospective customers, suppliers vendors or other third parties with which such entity does business that results in or is reasonably anticipated to result in harm to the Company;</w:t>
      </w:r>
    </w:p>
    <w:p>
      <w:pPr>
        <w:spacing w:after="0" w:line="147" w:lineRule="exact"/>
        <w:rPr>
          <w:rFonts w:ascii="Times New Roman" w:cs="Times New Roman" w:eastAsia="Times New Roman" w:hAnsi="Times New Roman"/>
          <w:sz w:val="20"/>
          <w:szCs w:val="20"/>
          <w:color w:val="404040"/>
        </w:rPr>
      </w:pPr>
    </w:p>
    <w:p>
      <w:pPr>
        <w:ind w:left="1500" w:hanging="743"/>
        <w:spacing w:after="0"/>
        <w:tabs>
          <w:tab w:leader="none" w:pos="1500" w:val="left"/>
        </w:tabs>
        <w:numPr>
          <w:ilvl w:val="0"/>
          <w:numId w:val="72"/>
        </w:numPr>
        <w:rPr>
          <w:rFonts w:ascii="Times New Roman" w:cs="Times New Roman" w:eastAsia="Times New Roman" w:hAnsi="Times New Roman"/>
          <w:sz w:val="20"/>
          <w:szCs w:val="20"/>
          <w:color w:val="404040"/>
        </w:rPr>
      </w:pPr>
      <w:r>
        <w:rPr>
          <w:rFonts w:ascii="Times New Roman" w:cs="Times New Roman" w:eastAsia="Times New Roman" w:hAnsi="Times New Roman"/>
          <w:sz w:val="20"/>
          <w:szCs w:val="20"/>
          <w:color w:val="404040"/>
        </w:rPr>
        <w:t>your commission of (A) a felony or (B) any misdemeanor involving moral turpitude, deceit, dishonesty or fraud;</w:t>
      </w:r>
    </w:p>
    <w:p>
      <w:pPr>
        <w:spacing w:after="0" w:line="175" w:lineRule="exact"/>
        <w:rPr>
          <w:rFonts w:ascii="Times New Roman" w:cs="Times New Roman" w:eastAsia="Times New Roman" w:hAnsi="Times New Roman"/>
          <w:sz w:val="20"/>
          <w:szCs w:val="20"/>
          <w:color w:val="404040"/>
        </w:rPr>
      </w:pPr>
    </w:p>
    <w:p>
      <w:pPr>
        <w:ind w:left="1500" w:right="220" w:hanging="743"/>
        <w:spacing w:after="0" w:line="254" w:lineRule="auto"/>
        <w:tabs>
          <w:tab w:leader="none" w:pos="1500" w:val="left"/>
        </w:tabs>
        <w:numPr>
          <w:ilvl w:val="0"/>
          <w:numId w:val="72"/>
        </w:numPr>
        <w:rPr>
          <w:rFonts w:ascii="Times New Roman" w:cs="Times New Roman" w:eastAsia="Times New Roman" w:hAnsi="Times New Roman"/>
          <w:sz w:val="20"/>
          <w:szCs w:val="20"/>
          <w:color w:val="404040"/>
        </w:rPr>
      </w:pPr>
      <w:r>
        <w:rPr>
          <w:rFonts w:ascii="Times New Roman" w:cs="Times New Roman" w:eastAsia="Times New Roman" w:hAnsi="Times New Roman"/>
          <w:sz w:val="20"/>
          <w:szCs w:val="20"/>
          <w:color w:val="404040"/>
        </w:rPr>
        <w:t>your failure to perform his or her assigned duties and responsibilities to the reasonable satisfaction of the CEO which failure continues, in the reasonable judgment of the CEO, for thirty (30) days after written notice given to the Executive describing in reasonable detail such failure;</w:t>
      </w:r>
    </w:p>
    <w:p>
      <w:pPr>
        <w:spacing w:after="0" w:line="133" w:lineRule="exact"/>
        <w:rPr>
          <w:rFonts w:ascii="Times New Roman" w:cs="Times New Roman" w:eastAsia="Times New Roman" w:hAnsi="Times New Roman"/>
          <w:sz w:val="20"/>
          <w:szCs w:val="20"/>
          <w:color w:val="404040"/>
        </w:rPr>
      </w:pPr>
    </w:p>
    <w:p>
      <w:pPr>
        <w:ind w:left="1500" w:right="140" w:hanging="743"/>
        <w:spacing w:after="0" w:line="269" w:lineRule="auto"/>
        <w:tabs>
          <w:tab w:leader="none" w:pos="1500" w:val="left"/>
        </w:tabs>
        <w:numPr>
          <w:ilvl w:val="0"/>
          <w:numId w:val="72"/>
        </w:numPr>
        <w:rPr>
          <w:rFonts w:ascii="Times New Roman" w:cs="Times New Roman" w:eastAsia="Times New Roman" w:hAnsi="Times New Roman"/>
          <w:sz w:val="20"/>
          <w:szCs w:val="20"/>
          <w:color w:val="404040"/>
        </w:rPr>
      </w:pPr>
      <w:r>
        <w:rPr>
          <w:rFonts w:ascii="Times New Roman" w:cs="Times New Roman" w:eastAsia="Times New Roman" w:hAnsi="Times New Roman"/>
          <w:sz w:val="20"/>
          <w:szCs w:val="20"/>
          <w:color w:val="404040"/>
        </w:rPr>
        <w:t>your gross negligence, willful misconduct or insubordination with respect to the Company that results in or is reasonably anticipated to result in harm to the Company; or</w:t>
      </w:r>
    </w:p>
    <w:p>
      <w:pPr>
        <w:spacing w:after="0" w:line="132" w:lineRule="exact"/>
        <w:rPr>
          <w:rFonts w:ascii="Times New Roman" w:cs="Times New Roman" w:eastAsia="Times New Roman" w:hAnsi="Times New Roman"/>
          <w:sz w:val="20"/>
          <w:szCs w:val="20"/>
          <w:color w:val="404040"/>
        </w:rPr>
      </w:pPr>
    </w:p>
    <w:p>
      <w:pPr>
        <w:jc w:val="both"/>
        <w:ind w:left="1500" w:hanging="743"/>
        <w:spacing w:after="0" w:line="254" w:lineRule="auto"/>
        <w:tabs>
          <w:tab w:leader="none" w:pos="1500" w:val="left"/>
        </w:tabs>
        <w:numPr>
          <w:ilvl w:val="0"/>
          <w:numId w:val="72"/>
        </w:numPr>
        <w:rPr>
          <w:rFonts w:ascii="Times New Roman" w:cs="Times New Roman" w:eastAsia="Times New Roman" w:hAnsi="Times New Roman"/>
          <w:sz w:val="20"/>
          <w:szCs w:val="20"/>
          <w:color w:val="404040"/>
        </w:rPr>
      </w:pPr>
      <w:r>
        <w:rPr>
          <w:rFonts w:ascii="Times New Roman" w:cs="Times New Roman" w:eastAsia="Times New Roman" w:hAnsi="Times New Roman"/>
          <w:sz w:val="20"/>
          <w:szCs w:val="20"/>
          <w:color w:val="404040"/>
        </w:rPr>
        <w:t>your violation of any (A) material provision of any agreement(s) between the you, Globalization Partners, the Company or any Company policies including, without limitation, agreements relating to noncompetition, nonsolicitation, nondisclosure and/or assignment of inventions or (B) material Company policies related to ethics or workplace conduct.</w:t>
      </w:r>
    </w:p>
    <w:p>
      <w:pPr>
        <w:spacing w:after="0" w:line="197" w:lineRule="exact"/>
        <w:rPr>
          <w:sz w:val="20"/>
          <w:szCs w:val="20"/>
          <w:color w:val="auto"/>
        </w:rPr>
      </w:pPr>
    </w:p>
    <w:p>
      <w:pPr>
        <w:ind w:left="100"/>
        <w:spacing w:after="0"/>
        <w:tabs>
          <w:tab w:leader="none" w:pos="9160" w:val="left"/>
        </w:tabs>
        <w:rPr>
          <w:sz w:val="20"/>
          <w:szCs w:val="20"/>
          <w:color w:val="auto"/>
        </w:rPr>
      </w:pPr>
      <w:r>
        <w:rPr>
          <w:rFonts w:ascii="Arial" w:cs="Arial" w:eastAsia="Arial" w:hAnsi="Arial"/>
          <w:sz w:val="16"/>
          <w:szCs w:val="16"/>
          <w:color w:val="164438"/>
        </w:rPr>
        <w:t>1325 1325 Boylston Street, Suite 401 • Boston, MA, 02251</w:t>
      </w:r>
      <w:r>
        <w:rPr>
          <w:sz w:val="20"/>
          <w:szCs w:val="20"/>
          <w:color w:val="auto"/>
        </w:rPr>
        <w:tab/>
      </w:r>
      <w:r>
        <w:rPr>
          <w:rFonts w:ascii="Arial" w:cs="Arial" w:eastAsia="Arial" w:hAnsi="Arial"/>
          <w:sz w:val="16"/>
          <w:szCs w:val="16"/>
          <w:b w:val="1"/>
          <w:bCs w:val="1"/>
          <w:color w:val="164438"/>
        </w:rPr>
        <w:t>rapportrx.com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Employment Contract</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975360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72" w:lineRule="auto"/>
        <w:rPr>
          <w:sz w:val="20"/>
          <w:szCs w:val="20"/>
          <w:color w:val="auto"/>
        </w:rPr>
      </w:pPr>
      <w:r>
        <w:rPr>
          <w:rFonts w:ascii="Arial" w:cs="Arial" w:eastAsia="Arial" w:hAnsi="Arial"/>
          <w:sz w:val="22"/>
          <w:szCs w:val="22"/>
          <w:b w:val="1"/>
          <w:bCs w:val="1"/>
          <w:color w:val="auto"/>
        </w:rPr>
        <w:t>Contrat de mise à disposition de Travailleurs à titre principal (travail en régie) entre</w:t>
      </w:r>
    </w:p>
    <w:p>
      <w:pPr>
        <w:spacing w:after="0" w:line="131" w:lineRule="exact"/>
        <w:rPr>
          <w:sz w:val="20"/>
          <w:szCs w:val="20"/>
          <w:color w:val="auto"/>
        </w:rPr>
      </w:pPr>
    </w:p>
    <w:p>
      <w:pPr>
        <w:ind w:right="660"/>
        <w:spacing w:after="0" w:line="390" w:lineRule="auto"/>
        <w:rPr>
          <w:sz w:val="20"/>
          <w:szCs w:val="20"/>
          <w:color w:val="auto"/>
        </w:rPr>
      </w:pPr>
      <w:r>
        <w:rPr>
          <w:rFonts w:ascii="Arial" w:cs="Arial" w:eastAsia="Arial" w:hAnsi="Arial"/>
          <w:sz w:val="21"/>
          <w:szCs w:val="21"/>
          <w:color w:val="auto"/>
        </w:rPr>
        <w:t>Globalization Partners Switzerland SA ("G-P") Route de Frontenex 86 bis, 1208 Genève, Suisse</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L'employeur</w:t>
      </w:r>
    </w:p>
    <w:p>
      <w:pPr>
        <w:spacing w:after="0" w:line="204"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et</w:t>
      </w:r>
    </w:p>
    <w:p>
      <w:pPr>
        <w:spacing w:after="0" w:line="100" w:lineRule="exact"/>
        <w:rPr>
          <w:sz w:val="20"/>
          <w:szCs w:val="20"/>
          <w:color w:val="auto"/>
        </w:rPr>
      </w:pPr>
    </w:p>
    <w:p>
      <w:pPr>
        <w:ind w:right="740"/>
        <w:spacing w:after="0" w:line="268" w:lineRule="auto"/>
        <w:rPr>
          <w:sz w:val="20"/>
          <w:szCs w:val="20"/>
          <w:color w:val="auto"/>
        </w:rPr>
      </w:pPr>
      <w:r>
        <w:rPr>
          <w:rFonts w:ascii="Arial" w:cs="Arial" w:eastAsia="Arial" w:hAnsi="Arial"/>
          <w:sz w:val="21"/>
          <w:szCs w:val="21"/>
          <w:color w:val="auto"/>
        </w:rPr>
        <w:t>Jeffrey [********************************************] [******************************************************]</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Préambule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1.1.Généralités</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Le présent contrat de travail a pour objet la location des services du Travailleur à une entreprise tierce (entreprise de mission) en vue d’effectuer le genre de travaux suivants: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Directeur, Médical</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Un engagement éventuel du Travailleur dans un établissement de l’entreprise de régie n’est pas exclu.</w:t>
      </w:r>
    </w:p>
    <w:p>
      <w:pPr>
        <w:spacing w:after="0" w:line="4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Il est conclu pour une durée indéterminée indépendamment des engagements dans les entreprises tierces.</w:t>
      </w:r>
    </w:p>
    <w:p>
      <w:pPr>
        <w:spacing w:after="0" w:line="168" w:lineRule="exact"/>
        <w:rPr>
          <w:sz w:val="20"/>
          <w:szCs w:val="20"/>
          <w:color w:val="auto"/>
        </w:rPr>
      </w:pPr>
    </w:p>
    <w:p>
      <w:pPr>
        <w:jc w:val="both"/>
        <w:ind w:left="300" w:hanging="293"/>
        <w:spacing w:after="0" w:line="272" w:lineRule="auto"/>
        <w:rPr>
          <w:sz w:val="20"/>
          <w:szCs w:val="20"/>
          <w:color w:val="auto"/>
        </w:rPr>
      </w:pPr>
      <w:r>
        <w:rPr>
          <w:rFonts w:ascii="Arial" w:cs="Arial" w:eastAsia="Arial" w:hAnsi="Arial"/>
          <w:sz w:val="22"/>
          <w:szCs w:val="22"/>
          <w:b w:val="1"/>
          <w:bCs w:val="1"/>
          <w:color w:val="auto"/>
        </w:rPr>
        <w:t>1.2Convention. collective de travail avec déclaration d’extension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Lorsque l’entreprise de mission est soumise à une convention collective de travail avec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Main Employee placement contract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-982345</wp:posOffset>
            </wp:positionV>
            <wp:extent cx="1697355" cy="7029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0">
                      <a:extLst>
                        <a:ext uri="{28A0092B-C50C-407E-A947-70E740481C1C}"/>
                      </a:extLst>
                    </a:blip>
                    <a:srcRect/>
                    <a:stretch>
                      <a:fillRect/>
                    </a:stretch>
                  </pic:blipFill>
                  <pic:spPr bwMode="auto">
                    <a:xfrm>
                      <a:off x="0" y="0"/>
                      <a:ext cx="1697355" cy="7029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Globalization Partners Switzerland SA ("G-P")</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Route de Frontenex 86 bis, 1208 Genève, Switzerland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as Employer</w:t>
      </w:r>
    </w:p>
    <w:p>
      <w:pPr>
        <w:spacing w:after="0" w:line="204"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and</w:t>
      </w:r>
    </w:p>
    <w:p>
      <w:pPr>
        <w:spacing w:after="0" w:line="100" w:lineRule="exact"/>
        <w:rPr>
          <w:sz w:val="20"/>
          <w:szCs w:val="20"/>
          <w:color w:val="auto"/>
        </w:rPr>
      </w:pPr>
    </w:p>
    <w:p>
      <w:pPr>
        <w:ind w:right="760"/>
        <w:spacing w:after="0" w:line="283" w:lineRule="auto"/>
        <w:rPr>
          <w:sz w:val="20"/>
          <w:szCs w:val="20"/>
          <w:color w:val="auto"/>
        </w:rPr>
      </w:pPr>
      <w:r>
        <w:rPr>
          <w:rFonts w:ascii="Arial" w:cs="Arial" w:eastAsia="Arial" w:hAnsi="Arial"/>
          <w:sz w:val="21"/>
          <w:szCs w:val="21"/>
          <w:color w:val="auto"/>
        </w:rPr>
        <w:t>Jeffrey [********************************************] [*******************************************************]</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28" w:lineRule="exact"/>
        <w:rPr>
          <w:sz w:val="20"/>
          <w:szCs w:val="20"/>
          <w:color w:val="auto"/>
        </w:rPr>
      </w:pPr>
    </w:p>
    <w:p>
      <w:pPr>
        <w:ind w:left="240" w:hanging="235"/>
        <w:spacing w:after="0"/>
        <w:tabs>
          <w:tab w:leader="none" w:pos="240"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Preamble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r>
        <w:rPr>
          <w:rFonts w:ascii="Arial" w:cs="Arial" w:eastAsia="Arial" w:hAnsi="Arial"/>
          <w:sz w:val="21"/>
          <w:szCs w:val="21"/>
          <w:b w:val="1"/>
          <w:bCs w:val="1"/>
          <w:color w:val="auto"/>
        </w:rPr>
        <w:t>General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The purpose of this employment contract is the placement of the services of the Employee to a third company (Assignment Company) in order to carry out the following type of work:</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Director, Medical</w:t>
      </w:r>
    </w:p>
    <w:p>
      <w:pPr>
        <w:spacing w:after="0" w:line="206" w:lineRule="exact"/>
        <w:rPr>
          <w:sz w:val="20"/>
          <w:szCs w:val="20"/>
          <w:color w:val="auto"/>
        </w:rPr>
      </w:pPr>
    </w:p>
    <w:p>
      <w:pPr>
        <w:jc w:val="both"/>
        <w:ind w:right="1020"/>
        <w:spacing w:after="0" w:line="283" w:lineRule="auto"/>
        <w:rPr>
          <w:sz w:val="20"/>
          <w:szCs w:val="20"/>
          <w:color w:val="auto"/>
        </w:rPr>
      </w:pPr>
      <w:r>
        <w:rPr>
          <w:rFonts w:ascii="Arial" w:cs="Arial" w:eastAsia="Arial" w:hAnsi="Arial"/>
          <w:sz w:val="21"/>
          <w:szCs w:val="21"/>
          <w:color w:val="auto"/>
        </w:rPr>
        <w:t>A potential appointment of the Employee in an establishment of the Employer is not excluded.</w:t>
      </w:r>
    </w:p>
    <w:p>
      <w:pPr>
        <w:spacing w:after="0" w:line="25"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It is concluded for an open-ended period independently of appointments in third companies.</w:t>
      </w:r>
    </w:p>
    <w:p>
      <w:pPr>
        <w:spacing w:after="0" w:line="397" w:lineRule="exact"/>
        <w:rPr>
          <w:sz w:val="20"/>
          <w:szCs w:val="20"/>
          <w:color w:val="auto"/>
        </w:rPr>
      </w:pPr>
    </w:p>
    <w:p>
      <w:pPr>
        <w:ind w:left="240" w:hanging="233"/>
        <w:spacing w:after="0" w:line="296" w:lineRule="auto"/>
        <w:rPr>
          <w:sz w:val="20"/>
          <w:szCs w:val="20"/>
          <w:color w:val="auto"/>
        </w:rPr>
      </w:pPr>
      <w:r>
        <w:rPr>
          <w:rFonts w:ascii="Times New Roman" w:cs="Times New Roman" w:eastAsia="Times New Roman" w:hAnsi="Times New Roman"/>
          <w:sz w:val="18"/>
          <w:szCs w:val="18"/>
          <w:color w:val="auto"/>
        </w:rPr>
        <w:t>1.2.</w:t>
      </w:r>
      <w:r>
        <w:rPr>
          <w:rFonts w:ascii="Arial" w:cs="Arial" w:eastAsia="Arial" w:hAnsi="Arial"/>
          <w:sz w:val="21"/>
          <w:szCs w:val="21"/>
          <w:b w:val="1"/>
          <w:bCs w:val="1"/>
          <w:color w:val="auto"/>
        </w:rPr>
        <w:t>Collective bargaining agreement with declaration</w:t>
      </w:r>
      <w:r>
        <w:rPr>
          <w:rFonts w:ascii="Times New Roman" w:cs="Times New Roman" w:eastAsia="Times New Roman" w:hAnsi="Times New Roman"/>
          <w:sz w:val="18"/>
          <w:szCs w:val="18"/>
          <w:color w:val="auto"/>
        </w:rPr>
        <w:t xml:space="preserve"> </w:t>
      </w:r>
      <w:r>
        <w:rPr>
          <w:rFonts w:ascii="Arial" w:cs="Arial" w:eastAsia="Arial" w:hAnsi="Arial"/>
          <w:sz w:val="21"/>
          <w:szCs w:val="21"/>
          <w:b w:val="1"/>
          <w:bCs w:val="1"/>
          <w:color w:val="auto"/>
        </w:rPr>
        <w:t>of extension</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When the assignment company is subject to a collective bargaining agreement with</w:t>
      </w:r>
    </w:p>
    <w:p>
      <w:pPr>
        <w:spacing w:after="0" w:line="101" w:lineRule="exact"/>
        <w:rPr>
          <w:sz w:val="20"/>
          <w:szCs w:val="20"/>
          <w:color w:val="auto"/>
        </w:rPr>
      </w:pPr>
    </w:p>
    <w:p>
      <w:pPr>
        <w:sectPr>
          <w:pgSz w:w="11900" w:h="16838" w:orient="portrait"/>
          <w:cols w:equalWidth="0" w:num="2">
            <w:col w:w="5400" w:space="340"/>
            <w:col w:w="5500"/>
          </w:cols>
          <w:pgMar w:left="320" w:top="1440" w:right="339" w:bottom="1440" w:gutter="0" w:footer="0" w:header="0"/>
        </w:sectPr>
      </w:pPr>
    </w:p>
    <w:p>
      <w:pPr>
        <w:jc w:val="center"/>
        <w:spacing w:after="0"/>
        <w:rPr>
          <w:sz w:val="20"/>
          <w:szCs w:val="20"/>
          <w:color w:val="auto"/>
        </w:rPr>
      </w:pPr>
      <w:r>
        <w:rPr>
          <w:rFonts w:ascii="Arial" w:cs="Arial" w:eastAsia="Arial" w:hAnsi="Arial"/>
          <w:sz w:val="16"/>
          <w:szCs w:val="16"/>
          <w:color w:val="0000FF"/>
        </w:rPr>
        <w:t>GLOBALIZATION PARTNERS SWITZERLAND SA (“G-P”)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08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1" w:name="page162"/>
    <w:bookmarkEnd w:id="161"/>
    <w:p>
      <w:pPr>
        <w:spacing w:after="0" w:line="11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déclaration d’extension, le bailleur de services doit appliquer aux Travailleurs celles des dispositions de ladite convention qui concernent le salaire et la durée du travail. Si une convention collective de travail étendue prévoit une contribution obligatoire aux frais de formation continue et aux frais d’exécution, les dispositions concernées s’appliquent aussi au bailleur de services, auquel cas les contributions doivent être versées au prorata de la durée de l’engagement. Lorsqu’une entreprise locataire de services est soumise</w:t>
      </w:r>
    </w:p>
    <w:p>
      <w:pPr>
        <w:spacing w:after="0" w:line="5" w:lineRule="exact"/>
        <w:rPr>
          <w:sz w:val="20"/>
          <w:szCs w:val="20"/>
          <w:color w:val="auto"/>
        </w:rPr>
      </w:pPr>
    </w:p>
    <w:p>
      <w:pPr>
        <w:jc w:val="both"/>
        <w:ind w:firstLine="8"/>
        <w:spacing w:after="0" w:line="235" w:lineRule="auto"/>
        <w:tabs>
          <w:tab w:leader="none" w:pos="213" w:val="left"/>
        </w:tabs>
        <w:numPr>
          <w:ilvl w:val="0"/>
          <w:numId w:val="74"/>
        </w:numPr>
        <w:rPr>
          <w:rFonts w:ascii="Arial" w:cs="Arial" w:eastAsia="Arial" w:hAnsi="Arial"/>
          <w:sz w:val="22"/>
          <w:szCs w:val="22"/>
          <w:color w:val="auto"/>
        </w:rPr>
      </w:pPr>
      <w:r>
        <w:rPr>
          <w:rFonts w:ascii="Arial" w:cs="Arial" w:eastAsia="Arial" w:hAnsi="Arial"/>
          <w:sz w:val="22"/>
          <w:szCs w:val="22"/>
          <w:color w:val="auto"/>
        </w:rPr>
        <w:t>une convention collective de travail avec déclaration d’extension instituant un régime de retraite anticipée, le bailleur de services est également tenu de respecter ce régime envers le Travailleur.</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Si le bailleur de services et ses Travailleurs loués remplissent les conditions de la convention collective de travail étendue relative à la location de services, cette dernière est applicable, à moins que la règlementation de ce contrat ou d’avenant au contrat de mise à disposition soit plus avantageuse pour le Travailleur.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1.3.Début des rapports de travail</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Le présent contrat de travail est conclu le 03/03/2025 pour une durée indéterminée.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1.4.Droit au travail</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La relation de travail est soumise à la condition préalable que l'employé ait le droit légal de travailler en Suisse, ce qui peut inclure la possession d'un permis de travail (« Permis de travail ») qui autorise l'employé à être employé par l’employeur. Le maintien de l'autorisation légale de travailler en Suisse est une obligation matérielle du présent contrat, et la continuation de l'emploi par l’employeur est subordonnée à</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declaration of extension, the labour leasing company must apply to the Employees those provisions of the said agreement that concern the salary and working hours. If an extended collective bargaining agreement provides for a compulsory contribution to the ongoing training costs and implementation costs, the provisions concerned also apply to the labour leasing company, in which case the contributions must be paid pro rata the length of the appointment. When an Assignment Company is subject to a collective bargaining agreement with declaration of extension putting in place an early pension scheme, the labour leasing company is also bound to respect this scheme towards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-2506345</wp:posOffset>
            </wp:positionV>
            <wp:extent cx="831215" cy="3600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2">
                      <a:extLst>
                        <a:ext uri="{28A0092B-C50C-407E-A947-70E740481C1C}"/>
                      </a:extLst>
                    </a:blip>
                    <a:srcRect/>
                    <a:stretch>
                      <a:fillRect/>
                    </a:stretch>
                  </pic:blipFill>
                  <pic:spPr bwMode="auto">
                    <a:xfrm>
                      <a:off x="0" y="0"/>
                      <a:ext cx="831215" cy="3600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If the labour leasing company and its placed employees meet the requirements of the Swiss Collective Labour Agreement (CCT) about labour leasing, the latter shall apply unless the terms of this Contract or any amendment or assignment under such Contract of this employee placement contract are more favourable to the Employee.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r>
        <w:rPr>
          <w:rFonts w:ascii="Arial" w:cs="Arial" w:eastAsia="Arial" w:hAnsi="Arial"/>
          <w:sz w:val="21"/>
          <w:szCs w:val="21"/>
          <w:b w:val="1"/>
          <w:bCs w:val="1"/>
          <w:color w:val="auto"/>
        </w:rPr>
        <w:t>Commencement of working relations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This employment contract is concluded on 03/03/2025 for an open-ended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r>
        <w:rPr>
          <w:rFonts w:ascii="Arial" w:cs="Arial" w:eastAsia="Arial" w:hAnsi="Arial"/>
          <w:sz w:val="21"/>
          <w:szCs w:val="21"/>
          <w:b w:val="1"/>
          <w:bCs w:val="1"/>
          <w:color w:val="auto"/>
        </w:rPr>
        <w:t>Right to Work</w:t>
      </w:r>
    </w:p>
    <w:p>
      <w:pPr>
        <w:spacing w:after="0" w:line="21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employment relationship is subject to the condition precedent that the Employee has a legal right to work in Switzerland, which may include possessing a work permit ("Work Permit") that entitles the Employee to be employed with the Employer. Maintenance of the Employee’s legal authorization to work in Switzerland is a material obligation of this Agreement, and the Employee’s continued employment by the Employer is</w:t>
      </w:r>
    </w:p>
    <w:p>
      <w:pPr>
        <w:spacing w:after="0" w:line="353" w:lineRule="exact"/>
        <w:rPr>
          <w:sz w:val="20"/>
          <w:szCs w:val="20"/>
          <w:color w:val="auto"/>
        </w:rPr>
      </w:pPr>
    </w:p>
    <w:p>
      <w:pPr>
        <w:sectPr>
          <w:pgSz w:w="11900" w:h="16838" w:orient="portrait"/>
          <w:cols w:equalWidth="0" w:num="2">
            <w:col w:w="5400" w:space="340"/>
            <w:col w:w="5500"/>
          </w:cols>
          <w:pgMar w:left="320" w:top="1440" w:right="339" w:bottom="1440" w:gutter="0" w:footer="0" w:header="0"/>
        </w:sectPr>
      </w:pPr>
    </w:p>
    <w:p>
      <w:pPr>
        <w:jc w:val="center"/>
        <w:ind w:right="20"/>
        <w:spacing w:after="0"/>
        <w:rPr>
          <w:sz w:val="20"/>
          <w:szCs w:val="20"/>
          <w:color w:val="auto"/>
        </w:rPr>
      </w:pPr>
      <w:r>
        <w:rPr>
          <w:rFonts w:ascii="Arial" w:cs="Arial" w:eastAsia="Arial" w:hAnsi="Arial"/>
          <w:sz w:val="16"/>
          <w:szCs w:val="16"/>
          <w:color w:val="0000FF"/>
        </w:rPr>
        <w:t>GLOBALIZATION PARTNERS SWITZERLAND SA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12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2" w:name="page163"/>
    <w:bookmarkEnd w:id="162"/>
    <w:p>
      <w:pPr>
        <w:spacing w:after="0" w:line="1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l'obtention et au maintien de cette autorisation légale. L’employé est tenu d'informer immédiatement l’employeur s’il cesse d’être autorisé à travailler en Suisse à tout moment au cours de son engagement.</w:t>
      </w:r>
    </w:p>
    <w:p>
      <w:pPr>
        <w:spacing w:after="0" w:line="200" w:lineRule="exact"/>
        <w:rPr>
          <w:sz w:val="20"/>
          <w:szCs w:val="20"/>
          <w:color w:val="auto"/>
        </w:rPr>
      </w:pPr>
    </w:p>
    <w:p>
      <w:pPr>
        <w:spacing w:after="0" w:line="217" w:lineRule="exact"/>
        <w:rPr>
          <w:sz w:val="20"/>
          <w:szCs w:val="20"/>
          <w:color w:val="auto"/>
        </w:rPr>
      </w:pPr>
    </w:p>
    <w:p>
      <w:pPr>
        <w:ind w:left="240" w:hanging="232"/>
        <w:spacing w:after="0"/>
        <w:tabs>
          <w:tab w:leader="none" w:pos="24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Droits du Travailleur</w:t>
      </w:r>
    </w:p>
    <w:p>
      <w:pPr>
        <w:spacing w:after="0" w:line="206"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2.1.Salaire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Le salaire mensuel fixe brut est de CHF [*******], payé sur 12 mois.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2.2.Heures supplémentaires, travail supplémentaire</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Le Travailleur est libre de définir son temps de travail. Il doit cependant être à tout moment à la disposition de l'entreprise dans la mesure requise par son poste et dans l'intérêt de l'entreprise. Le Travailleur accepte et reconnaît qu'étant donné la position de cadre supérieur qu'il occupe et le salaire prévu à l'article 2.1, il ne peut prétendre à aucune compensation pour les heures supplémentaires ou excédentaires.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2.3.Paiement du salaire</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Le salaire est versé à la fin du mois (au plus tard le cinquième jour ouvrable du mois suivant), avec les frais et les éventuelles heures supplémentaires. Lorsque la mission dure moins d’un mois, le salaire est versé à la fin de la mission). Le salaire est en règle générale versé sur un compte postal ou bancaire du Travailleur ou à défaut, en espèces ou par chèque, les frais d’encaissement des chèques étant à la charge du Travailleur. Le Travailleur recevra dans tous les cas un décompte détaillé.</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conditional on obtaining and maintaining this legal authorization. The Employee is required to immediately notify the Employer if the Employee ceases to be entitled to work in Switzerland at any time during the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-1276350</wp:posOffset>
            </wp:positionV>
            <wp:extent cx="831215" cy="3600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5">
                      <a:extLst>
                        <a:ext uri="{28A0092B-C50C-407E-A947-70E740481C1C}"/>
                      </a:extLst>
                    </a:blip>
                    <a:srcRect/>
                    <a:stretch>
                      <a:fillRect/>
                    </a:stretch>
                  </pic:blipFill>
                  <pic:spPr bwMode="auto">
                    <a:xfrm>
                      <a:off x="0" y="0"/>
                      <a:ext cx="831215" cy="360045"/>
                    </a:xfrm>
                    <a:prstGeom prst="rect">
                      <a:avLst/>
                    </a:prstGeom>
                    <a:noFill/>
                  </pic:spPr>
                </pic:pic>
              </a:graphicData>
            </a:graphic>
          </wp:anchor>
        </w:drawing>
      </w:r>
    </w:p>
    <w:p>
      <w:pPr>
        <w:spacing w:after="0" w:line="155" w:lineRule="exact"/>
        <w:rPr>
          <w:sz w:val="20"/>
          <w:szCs w:val="20"/>
          <w:color w:val="auto"/>
        </w:rPr>
      </w:pPr>
    </w:p>
    <w:p>
      <w:pPr>
        <w:ind w:left="240" w:hanging="235"/>
        <w:spacing w:after="0"/>
        <w:tabs>
          <w:tab w:leader="none" w:pos="24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Worker's rights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r>
        <w:rPr>
          <w:rFonts w:ascii="Arial" w:cs="Arial" w:eastAsia="Arial" w:hAnsi="Arial"/>
          <w:sz w:val="21"/>
          <w:szCs w:val="21"/>
          <w:b w:val="1"/>
          <w:bCs w:val="1"/>
          <w:color w:val="auto"/>
        </w:rPr>
        <w:t>Salary</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monthly gross fixed salary is CHF [*******], paid 12 times.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w:t>
      </w:r>
      <w:r>
        <w:rPr>
          <w:rFonts w:ascii="Arial" w:cs="Arial" w:eastAsia="Arial" w:hAnsi="Arial"/>
          <w:sz w:val="21"/>
          <w:szCs w:val="21"/>
          <w:b w:val="1"/>
          <w:bCs w:val="1"/>
          <w:color w:val="auto"/>
        </w:rPr>
        <w:t>Overtime, additional work</w:t>
      </w:r>
    </w:p>
    <w:p>
      <w:pPr>
        <w:spacing w:after="0" w:line="21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Employee is free to define their working time. They shall, however, at all times be available to the Company to the extent required by their position and in the interests of the Company. The Employee agrees and acknowledges that given the high managerial position they hold and the Salary provided in Section 2.1, the Employee shall have no claim whatsoever for compensation for any overtime or excesshours..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w:t>
      </w:r>
      <w:r>
        <w:rPr>
          <w:rFonts w:ascii="Arial" w:cs="Arial" w:eastAsia="Arial" w:hAnsi="Arial"/>
          <w:sz w:val="21"/>
          <w:szCs w:val="21"/>
          <w:b w:val="1"/>
          <w:bCs w:val="1"/>
          <w:color w:val="auto"/>
        </w:rPr>
        <w:t>Payment of the salary</w:t>
      </w:r>
    </w:p>
    <w:p>
      <w:pPr>
        <w:spacing w:after="0" w:line="21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salary is paid at the end of the month (by the fifth working day of the following month at the latest), with expenses and any extra hours/overtime. When the assignment lasts less than one month, the salary is paid at the end of the assignment. Salaries are as a general rule paid into a post office or bank account of the Employee or failing this, in cash or by cheque, the costs of cashing the cheques being borne by the Employee. In all cases the Employee shall receive a detailed breakdown.</w:t>
      </w:r>
    </w:p>
    <w:p>
      <w:pPr>
        <w:spacing w:after="0" w:line="111" w:lineRule="exact"/>
        <w:rPr>
          <w:sz w:val="20"/>
          <w:szCs w:val="20"/>
          <w:color w:val="auto"/>
        </w:rPr>
      </w:pPr>
    </w:p>
    <w:p>
      <w:pPr>
        <w:sectPr>
          <w:pgSz w:w="11900" w:h="16838" w:orient="portrait"/>
          <w:cols w:equalWidth="0" w:num="2">
            <w:col w:w="5400" w:space="340"/>
            <w:col w:w="5500"/>
          </w:cols>
          <w:pgMar w:left="320" w:top="1440" w:right="339" w:bottom="1440" w:gutter="0" w:footer="0" w:header="0"/>
        </w:sectPr>
      </w:pPr>
    </w:p>
    <w:p>
      <w:pPr>
        <w:jc w:val="center"/>
        <w:ind w:right="20"/>
        <w:spacing w:after="0"/>
        <w:rPr>
          <w:sz w:val="20"/>
          <w:szCs w:val="20"/>
          <w:color w:val="auto"/>
        </w:rPr>
      </w:pPr>
      <w:r>
        <w:rPr>
          <w:rFonts w:ascii="Arial" w:cs="Arial" w:eastAsia="Arial" w:hAnsi="Arial"/>
          <w:sz w:val="16"/>
          <w:szCs w:val="16"/>
          <w:color w:val="0000FF"/>
        </w:rPr>
        <w:t>GLOBALIZATION PARTNERS SWITZERLAND SA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12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3" w:name="page164"/>
    <w:bookmarkEnd w:id="163"/>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2.4.Déductions sociales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Sont déduits du salaire brut:</w:t>
      </w:r>
    </w:p>
    <w:p>
      <w:pPr>
        <w:spacing w:after="0" w:line="206" w:lineRule="exact"/>
        <w:rPr>
          <w:sz w:val="20"/>
          <w:szCs w:val="20"/>
          <w:color w:val="auto"/>
        </w:rPr>
      </w:pPr>
    </w:p>
    <w:p>
      <w:pPr>
        <w:ind w:left="140" w:hanging="132"/>
        <w:spacing w:after="0"/>
        <w:tabs>
          <w:tab w:leader="none" w:pos="14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22"/>
          <w:szCs w:val="22"/>
          <w:color w:val="auto"/>
        </w:rPr>
        <w:t>5.3% cotisations AVS/AI/APG</w:t>
      </w:r>
    </w:p>
    <w:p>
      <w:pPr>
        <w:spacing w:after="0" w:line="98" w:lineRule="exact"/>
        <w:rPr>
          <w:rFonts w:ascii="Times New Roman" w:cs="Times New Roman" w:eastAsia="Times New Roman" w:hAnsi="Times New Roman"/>
          <w:sz w:val="18"/>
          <w:szCs w:val="18"/>
          <w:color w:val="auto"/>
        </w:rPr>
      </w:pPr>
    </w:p>
    <w:p>
      <w:pPr>
        <w:ind w:left="140" w:hanging="132"/>
        <w:spacing w:after="0" w:line="259" w:lineRule="auto"/>
        <w:tabs>
          <w:tab w:leader="none" w:pos="14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22"/>
          <w:szCs w:val="22"/>
          <w:color w:val="auto"/>
        </w:rPr>
        <w:t>1.1% cotisation AC jusqu’à 148,200 CHF de salaire annuel</w:t>
      </w:r>
    </w:p>
    <w:p>
      <w:pPr>
        <w:spacing w:after="0" w:line="48" w:lineRule="exact"/>
        <w:rPr>
          <w:rFonts w:ascii="Times New Roman" w:cs="Times New Roman" w:eastAsia="Times New Roman" w:hAnsi="Times New Roman"/>
          <w:sz w:val="18"/>
          <w:szCs w:val="18"/>
          <w:color w:val="auto"/>
        </w:rPr>
      </w:pPr>
    </w:p>
    <w:p>
      <w:pPr>
        <w:ind w:left="140" w:hanging="132"/>
        <w:spacing w:after="0" w:line="259" w:lineRule="auto"/>
        <w:tabs>
          <w:tab w:leader="none" w:pos="14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22"/>
          <w:szCs w:val="22"/>
          <w:color w:val="auto"/>
        </w:rPr>
        <w:t>Cotisation assurance-accidents non professionnels (100% de la cotisation est à la charge de l’employé)</w:t>
      </w:r>
    </w:p>
    <w:p>
      <w:pPr>
        <w:spacing w:after="0" w:line="48" w:lineRule="exact"/>
        <w:rPr>
          <w:rFonts w:ascii="Times New Roman" w:cs="Times New Roman" w:eastAsia="Times New Roman" w:hAnsi="Times New Roman"/>
          <w:sz w:val="18"/>
          <w:szCs w:val="18"/>
          <w:color w:val="auto"/>
        </w:rPr>
      </w:pPr>
    </w:p>
    <w:p>
      <w:pPr>
        <w:jc w:val="both"/>
        <w:ind w:left="140" w:hanging="132"/>
        <w:spacing w:after="0" w:line="245" w:lineRule="auto"/>
        <w:tabs>
          <w:tab w:leader="none" w:pos="14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22"/>
          <w:szCs w:val="22"/>
          <w:color w:val="auto"/>
        </w:rPr>
        <w:t>Cotisation assurance indemnités journalières maladie (50% de la cotisation totale est à la charge de l’employé)</w:t>
      </w:r>
    </w:p>
    <w:p>
      <w:pPr>
        <w:spacing w:after="0" w:line="62" w:lineRule="exact"/>
        <w:rPr>
          <w:rFonts w:ascii="Times New Roman" w:cs="Times New Roman" w:eastAsia="Times New Roman" w:hAnsi="Times New Roman"/>
          <w:sz w:val="18"/>
          <w:szCs w:val="18"/>
          <w:color w:val="auto"/>
        </w:rPr>
      </w:pPr>
    </w:p>
    <w:p>
      <w:pPr>
        <w:jc w:val="both"/>
        <w:ind w:left="140" w:hanging="132"/>
        <w:spacing w:after="0" w:line="236" w:lineRule="auto"/>
        <w:tabs>
          <w:tab w:leader="none" w:pos="14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22"/>
          <w:szCs w:val="22"/>
          <w:color w:val="auto"/>
        </w:rPr>
        <w:t>Cotisation LPP (pour des missions d’une durée indéterminée ou déterminée dépassant trois mois ou à partir du moment où plusieurs missions atteignent une durée cumulée supérieure à trois mois et pour autant que le salaire annuel atteigne au moins 21,510 CHF) 50% de la cotisation totale est à la charge de l’employé.</w:t>
      </w:r>
    </w:p>
    <w:p>
      <w:pPr>
        <w:spacing w:after="0" w:line="67"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22"/>
          <w:szCs w:val="22"/>
          <w:color w:val="auto"/>
        </w:rPr>
        <w:t>0.032 % assurance maternité genevoise.</w:t>
      </w:r>
    </w:p>
    <w:p>
      <w:pPr>
        <w:spacing w:after="0" w:line="98" w:lineRule="exact"/>
        <w:rPr>
          <w:rFonts w:ascii="Times New Roman" w:cs="Times New Roman" w:eastAsia="Times New Roman" w:hAnsi="Times New Roman"/>
          <w:sz w:val="18"/>
          <w:szCs w:val="18"/>
          <w:color w:val="auto"/>
        </w:rPr>
      </w:pPr>
    </w:p>
    <w:p>
      <w:pPr>
        <w:ind w:left="140" w:hanging="132"/>
        <w:spacing w:after="0" w:line="259" w:lineRule="auto"/>
        <w:tabs>
          <w:tab w:leader="none" w:pos="14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22"/>
          <w:szCs w:val="22"/>
          <w:color w:val="auto"/>
        </w:rPr>
        <w:t>Déductions relatives à d’éventuelles conventions collectives de travail le cas échéant.</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2.5.Temps d’essai</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Ce contrat ne contient pas une période d'essai.</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2.6.Vacances et jours fériés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2.6.1.Vacances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Le droit aux vacances est de 25 jours ouvrables pour les Travailleurs jusqu’à l’âge de 20 ans révolus et dès l’âge de 50 ans révolus pour une durée de travail à temps plein. Pour tous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w:t>
      </w:r>
      <w:r>
        <w:rPr>
          <w:rFonts w:ascii="Arial" w:cs="Arial" w:eastAsia="Arial" w:hAnsi="Arial"/>
          <w:sz w:val="21"/>
          <w:szCs w:val="21"/>
          <w:b w:val="1"/>
          <w:bCs w:val="1"/>
          <w:color w:val="auto"/>
        </w:rPr>
        <w:t>Social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-769620</wp:posOffset>
            </wp:positionV>
            <wp:extent cx="831215" cy="3600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8">
                      <a:extLst>
                        <a:ext uri="{28A0092B-C50C-407E-A947-70E740481C1C}"/>
                      </a:extLst>
                    </a:blip>
                    <a:srcRect/>
                    <a:stretch>
                      <a:fillRect/>
                    </a:stretch>
                  </pic:blipFill>
                  <pic:spPr bwMode="auto">
                    <a:xfrm>
                      <a:off x="0" y="0"/>
                      <a:ext cx="831215" cy="36004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Deducted from the gross salary are:</w:t>
      </w:r>
    </w:p>
    <w:p>
      <w:pPr>
        <w:spacing w:after="0" w:line="206" w:lineRule="exact"/>
        <w:rPr>
          <w:sz w:val="20"/>
          <w:szCs w:val="20"/>
          <w:color w:val="auto"/>
        </w:rPr>
      </w:pPr>
    </w:p>
    <w:p>
      <w:pPr>
        <w:ind w:left="140" w:hanging="135"/>
        <w:spacing w:after="0"/>
        <w:tabs>
          <w:tab w:leader="none" w:pos="14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22"/>
          <w:szCs w:val="22"/>
          <w:color w:val="auto"/>
        </w:rPr>
        <w:t>5.3 %AVS/AI/APG</w:t>
      </w:r>
    </w:p>
    <w:p>
      <w:pPr>
        <w:spacing w:after="0" w:line="98" w:lineRule="exact"/>
        <w:rPr>
          <w:rFonts w:ascii="Times New Roman" w:cs="Times New Roman" w:eastAsia="Times New Roman" w:hAnsi="Times New Roman"/>
          <w:sz w:val="18"/>
          <w:szCs w:val="18"/>
          <w:color w:val="auto"/>
        </w:rPr>
      </w:pPr>
    </w:p>
    <w:p>
      <w:pPr>
        <w:ind w:left="140" w:hanging="135"/>
        <w:spacing w:after="0"/>
        <w:tabs>
          <w:tab w:leader="none" w:pos="14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22"/>
          <w:szCs w:val="22"/>
          <w:color w:val="auto"/>
        </w:rPr>
        <w:t>1.1% AC contributions on annual salary up to 148,200</w:t>
      </w:r>
    </w:p>
    <w:p>
      <w:pPr>
        <w:spacing w:after="0" w:line="10" w:lineRule="exact"/>
        <w:rPr>
          <w:rFonts w:ascii="Times New Roman" w:cs="Times New Roman" w:eastAsia="Times New Roman" w:hAnsi="Times New Roman"/>
          <w:sz w:val="18"/>
          <w:szCs w:val="18"/>
          <w:color w:val="auto"/>
        </w:rPr>
      </w:pPr>
    </w:p>
    <w:p>
      <w:pPr>
        <w:ind w:left="140"/>
        <w:spacing w:after="0"/>
        <w:rPr>
          <w:rFonts w:ascii="Times New Roman" w:cs="Times New Roman" w:eastAsia="Times New Roman" w:hAnsi="Times New Roman"/>
          <w:sz w:val="18"/>
          <w:szCs w:val="18"/>
          <w:color w:val="auto"/>
        </w:rPr>
      </w:pPr>
      <w:r>
        <w:rPr>
          <w:rFonts w:ascii="Arial" w:cs="Arial" w:eastAsia="Arial" w:hAnsi="Arial"/>
          <w:sz w:val="22"/>
          <w:szCs w:val="22"/>
          <w:color w:val="auto"/>
        </w:rPr>
        <w:t>CHF</w:t>
      </w:r>
    </w:p>
    <w:p>
      <w:pPr>
        <w:spacing w:after="0" w:line="78" w:lineRule="exact"/>
        <w:rPr>
          <w:rFonts w:ascii="Times New Roman" w:cs="Times New Roman" w:eastAsia="Times New Roman" w:hAnsi="Times New Roman"/>
          <w:sz w:val="18"/>
          <w:szCs w:val="18"/>
          <w:color w:val="auto"/>
        </w:rPr>
      </w:pPr>
    </w:p>
    <w:p>
      <w:pPr>
        <w:ind w:left="140" w:right="20" w:hanging="135"/>
        <w:spacing w:after="0" w:line="259" w:lineRule="auto"/>
        <w:tabs>
          <w:tab w:leader="none" w:pos="14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22"/>
          <w:szCs w:val="22"/>
          <w:color w:val="auto"/>
        </w:rPr>
        <w:t>Premium for non-occupational accident insurance (ANP) fully charged to employee</w:t>
      </w:r>
    </w:p>
    <w:p>
      <w:pPr>
        <w:spacing w:after="0" w:line="48" w:lineRule="exact"/>
        <w:rPr>
          <w:rFonts w:ascii="Times New Roman" w:cs="Times New Roman" w:eastAsia="Times New Roman" w:hAnsi="Times New Roman"/>
          <w:sz w:val="18"/>
          <w:szCs w:val="18"/>
          <w:color w:val="auto"/>
        </w:rPr>
      </w:pPr>
    </w:p>
    <w:p>
      <w:pPr>
        <w:ind w:left="140" w:right="20" w:hanging="135"/>
        <w:spacing w:after="0" w:line="259" w:lineRule="auto"/>
        <w:tabs>
          <w:tab w:leader="none" w:pos="14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22"/>
          <w:szCs w:val="22"/>
          <w:color w:val="auto"/>
        </w:rPr>
        <w:t>Premium for sickness loss of income insurance indemnities 50% charged to employee.</w:t>
      </w:r>
    </w:p>
    <w:p>
      <w:pPr>
        <w:spacing w:after="0" w:line="291" w:lineRule="exact"/>
        <w:rPr>
          <w:rFonts w:ascii="Times New Roman" w:cs="Times New Roman" w:eastAsia="Times New Roman" w:hAnsi="Times New Roman"/>
          <w:sz w:val="18"/>
          <w:szCs w:val="18"/>
          <w:color w:val="auto"/>
        </w:rPr>
      </w:pPr>
    </w:p>
    <w:p>
      <w:pPr>
        <w:jc w:val="both"/>
        <w:ind w:left="140" w:hanging="135"/>
        <w:spacing w:after="0" w:line="236" w:lineRule="auto"/>
        <w:tabs>
          <w:tab w:leader="none" w:pos="14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22"/>
          <w:szCs w:val="22"/>
          <w:color w:val="auto"/>
        </w:rPr>
        <w:t>Premium for pension fund (for assignments of an open-ended or fixed period exceeding three months or from the moment when several assignments reach an accumulated period of more than three months and insofar as the annual salary amounts to at least 21,510 CHF) 50% charged to employee.</w:t>
      </w:r>
    </w:p>
    <w:p>
      <w:pPr>
        <w:spacing w:after="0" w:line="316" w:lineRule="exact"/>
        <w:rPr>
          <w:rFonts w:ascii="Times New Roman" w:cs="Times New Roman" w:eastAsia="Times New Roman" w:hAnsi="Times New Roman"/>
          <w:sz w:val="18"/>
          <w:szCs w:val="18"/>
          <w:color w:val="auto"/>
        </w:rPr>
      </w:pPr>
    </w:p>
    <w:p>
      <w:pPr>
        <w:ind w:left="140" w:hanging="135"/>
        <w:spacing w:after="0"/>
        <w:tabs>
          <w:tab w:leader="none" w:pos="14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22"/>
          <w:szCs w:val="22"/>
          <w:color w:val="auto"/>
        </w:rPr>
        <w:t>0.032 % Geneva maternity insurance</w:t>
      </w:r>
    </w:p>
    <w:p>
      <w:pPr>
        <w:spacing w:after="0" w:line="98" w:lineRule="exact"/>
        <w:rPr>
          <w:rFonts w:ascii="Times New Roman" w:cs="Times New Roman" w:eastAsia="Times New Roman" w:hAnsi="Times New Roman"/>
          <w:sz w:val="18"/>
          <w:szCs w:val="18"/>
          <w:color w:val="auto"/>
        </w:rPr>
      </w:pPr>
    </w:p>
    <w:p>
      <w:pPr>
        <w:ind w:left="140" w:hanging="135"/>
        <w:spacing w:after="0" w:line="259" w:lineRule="auto"/>
        <w:tabs>
          <w:tab w:leader="none" w:pos="14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22"/>
          <w:szCs w:val="22"/>
          <w:color w:val="auto"/>
        </w:rPr>
        <w:t>Deductions relating to potential extended collective bargaining agreements.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w:t>
      </w:r>
      <w:r>
        <w:rPr>
          <w:rFonts w:ascii="Arial" w:cs="Arial" w:eastAsia="Arial" w:hAnsi="Arial"/>
          <w:sz w:val="21"/>
          <w:szCs w:val="21"/>
          <w:b w:val="1"/>
          <w:bCs w:val="1"/>
          <w:color w:val="auto"/>
        </w:rPr>
        <w:t>Probationary period</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This contract does not contain a probation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w:t>
      </w:r>
      <w:r>
        <w:rPr>
          <w:rFonts w:ascii="Arial" w:cs="Arial" w:eastAsia="Arial" w:hAnsi="Arial"/>
          <w:sz w:val="21"/>
          <w:szCs w:val="21"/>
          <w:b w:val="1"/>
          <w:bCs w:val="1"/>
          <w:color w:val="auto"/>
        </w:rPr>
        <w:t>Holidays and bank holidays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2.6.1.</w:t>
      </w:r>
      <w:r>
        <w:rPr>
          <w:rFonts w:ascii="Arial" w:cs="Arial" w:eastAsia="Arial" w:hAnsi="Arial"/>
          <w:sz w:val="21"/>
          <w:szCs w:val="21"/>
          <w:b w:val="1"/>
          <w:bCs w:val="1"/>
          <w:color w:val="auto"/>
        </w:rPr>
        <w:t>Holidays</w:t>
      </w:r>
    </w:p>
    <w:p>
      <w:pPr>
        <w:spacing w:after="0" w:line="219" w:lineRule="exact"/>
        <w:rPr>
          <w:sz w:val="20"/>
          <w:szCs w:val="20"/>
          <w:color w:val="auto"/>
        </w:rPr>
      </w:pPr>
    </w:p>
    <w:p>
      <w:pPr>
        <w:jc w:val="both"/>
        <w:spacing w:after="0"/>
        <w:rPr>
          <w:sz w:val="20"/>
          <w:szCs w:val="20"/>
          <w:color w:val="auto"/>
        </w:rPr>
      </w:pPr>
      <w:r>
        <w:rPr>
          <w:rFonts w:ascii="Arial" w:cs="Arial" w:eastAsia="Arial" w:hAnsi="Arial"/>
          <w:sz w:val="22"/>
          <w:szCs w:val="22"/>
          <w:color w:val="auto"/>
        </w:rPr>
        <w:t>Entitlement to paid holiday is 25 working days for Employees up to the age of 20 years old and after the age of 50 years old for full-time work. All other Employees (those Employees between 21 and 49</w:t>
      </w:r>
    </w:p>
    <w:p>
      <w:pPr>
        <w:spacing w:after="0" w:line="108" w:lineRule="exact"/>
        <w:rPr>
          <w:sz w:val="20"/>
          <w:szCs w:val="20"/>
          <w:color w:val="auto"/>
        </w:rPr>
      </w:pPr>
    </w:p>
    <w:p>
      <w:pPr>
        <w:sectPr>
          <w:pgSz w:w="11900" w:h="16838" w:orient="portrait"/>
          <w:cols w:equalWidth="0" w:num="2">
            <w:col w:w="5400" w:space="340"/>
            <w:col w:w="5500"/>
          </w:cols>
          <w:pgMar w:left="320" w:top="1440" w:right="339" w:bottom="1440" w:gutter="0" w:footer="0" w:header="0"/>
        </w:sectPr>
      </w:pPr>
    </w:p>
    <w:p>
      <w:pPr>
        <w:jc w:val="center"/>
        <w:ind w:right="20"/>
        <w:spacing w:after="0"/>
        <w:rPr>
          <w:sz w:val="20"/>
          <w:szCs w:val="20"/>
          <w:color w:val="auto"/>
        </w:rPr>
      </w:pPr>
      <w:r>
        <w:rPr>
          <w:rFonts w:ascii="Arial" w:cs="Arial" w:eastAsia="Arial" w:hAnsi="Arial"/>
          <w:sz w:val="16"/>
          <w:szCs w:val="16"/>
          <w:color w:val="0000FF"/>
        </w:rPr>
        <w:t>GLOBALIZATION PARTNERS SWITZERLAND SA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12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4" w:name="page165"/>
    <w:bookmarkEnd w:id="164"/>
    <w:p>
      <w:pPr>
        <w:spacing w:after="0" w:line="11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les autres Travailleurs (Travailleurs âgés de 21 à 49 ans), le droit aux vacances est de 20 jours ouvrables pour une durée de travail à temps plein. En cas de travail à temps partiel, le droit a conge sera réduit proportionnellement.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years old) are entitled to 20 working days for full-time work. In case of part-time work, the leave entitlement will be reduced proportionally.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-971550</wp:posOffset>
            </wp:positionV>
            <wp:extent cx="831215" cy="3600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1">
                      <a:extLst>
                        <a:ext uri="{28A0092B-C50C-407E-A947-70E740481C1C}"/>
                      </a:extLst>
                    </a:blip>
                    <a:srcRect/>
                    <a:stretch>
                      <a:fillRect/>
                    </a:stretch>
                  </pic:blipFill>
                  <pic:spPr bwMode="auto">
                    <a:xfrm>
                      <a:off x="0" y="0"/>
                      <a:ext cx="831215" cy="360045"/>
                    </a:xfrm>
                    <a:prstGeom prst="rect">
                      <a:avLst/>
                    </a:prstGeom>
                    <a:noFill/>
                  </pic:spPr>
                </pic:pic>
              </a:graphicData>
            </a:graphic>
          </wp:anchor>
        </w:drawing>
      </w:r>
    </w:p>
    <w:p>
      <w:pPr>
        <w:spacing w:after="0" w:line="654" w:lineRule="exact"/>
        <w:rPr>
          <w:sz w:val="20"/>
          <w:szCs w:val="20"/>
          <w:color w:val="auto"/>
        </w:rPr>
      </w:pPr>
    </w:p>
    <w:p>
      <w:pPr>
        <w:sectPr>
          <w:pgSz w:w="11900" w:h="16838" w:orient="portrait"/>
          <w:cols w:equalWidth="0" w:num="2">
            <w:col w:w="5400" w:space="340"/>
            <w:col w:w="5500"/>
          </w:cols>
          <w:pgMar w:left="320" w:top="1440" w:right="339" w:bottom="1440" w:gutter="0" w:footer="0" w:header="0"/>
        </w:sectPr>
      </w:pPr>
    </w:p>
    <w:p>
      <w:pPr>
        <w:spacing w:after="0"/>
        <w:rPr>
          <w:sz w:val="20"/>
          <w:szCs w:val="20"/>
          <w:color w:val="auto"/>
        </w:rPr>
      </w:pPr>
      <w:r>
        <w:rPr>
          <w:rFonts w:ascii="Arial" w:cs="Arial" w:eastAsia="Arial" w:hAnsi="Arial"/>
          <w:sz w:val="22"/>
          <w:szCs w:val="22"/>
          <w:b w:val="1"/>
          <w:bCs w:val="1"/>
          <w:color w:val="auto"/>
        </w:rPr>
        <w:t>2.6.2.Jours fériés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Le Travailleur a droit à la rétribution des jours fériés. A l’exception du 1er août, sont déterminants les jours fériés déclarés officiels par la législation cantonale à laquelle est soumise l’entreprise de mission.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2.7.Prestations sociales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2.7.1.Accident</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Le Travailleur est assuré contre les accidents professionnels. Le salaire est couvert à hauteur de 80% dès le troisième jour qui suit le jour de l’accident; l’Employeur verse au moins les 80% du salaire pendant le délai d’attente. Lorsque l’horaire de travail hebdomadaire moyen atteint au moins 8 heures, les accidents non professionnels sont couverts.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2.7.2.Maladie</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Une assurance indemnités journalières couvre les pertes de salaire en cas de maladie; le Travailleur touche 80% du salaire dès le 1er jour de maladie et ce pendant 730 jours, sous réserve d’éventuelles limitations ou réserves de l’assurance. A toutes fins utiles, les conditions générales d’assurance sont remises au travailleur. En cas de limitations ou réserves de l’assurance, sans responsabilité de l’employeur, ce dernier reste tenu de payer le salaire en application de l’art. 324a CO (Echelle de Berne).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2.6.2.</w:t>
      </w:r>
      <w:r>
        <w:rPr>
          <w:rFonts w:ascii="Arial" w:cs="Arial" w:eastAsia="Arial" w:hAnsi="Arial"/>
          <w:sz w:val="21"/>
          <w:szCs w:val="21"/>
          <w:b w:val="1"/>
          <w:bCs w:val="1"/>
          <w:color w:val="auto"/>
        </w:rPr>
        <w:t>Bank holidays</w:t>
      </w:r>
    </w:p>
    <w:p>
      <w:pPr>
        <w:spacing w:after="0" w:line="21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Employee is entitled to be paid for bank holidays. With the exception of the 1st August, the bank holidays declared as official by the cantonal legislation to which the Assignment Company is subject governs.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w:t>
      </w:r>
      <w:r>
        <w:rPr>
          <w:rFonts w:ascii="Arial" w:cs="Arial" w:eastAsia="Arial" w:hAnsi="Arial"/>
          <w:sz w:val="21"/>
          <w:szCs w:val="21"/>
          <w:b w:val="1"/>
          <w:bCs w:val="1"/>
          <w:color w:val="auto"/>
        </w:rPr>
        <w:t>Social security benefits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2.7.1.</w:t>
      </w:r>
      <w:r>
        <w:rPr>
          <w:rFonts w:ascii="Arial" w:cs="Arial" w:eastAsia="Arial" w:hAnsi="Arial"/>
          <w:sz w:val="21"/>
          <w:szCs w:val="21"/>
          <w:b w:val="1"/>
          <w:bCs w:val="1"/>
          <w:color w:val="auto"/>
        </w:rPr>
        <w:t>Accident</w:t>
      </w:r>
    </w:p>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Employee is insured for occupational accidents. The salary is covered up to 80% from the third day that follows the day of the accident; the employer pays at least 80% of the salary during the waiting period. When the average weekly working hours reach at least 8 hours, non-occupational accidents are covered.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2.7.2.</w:t>
      </w:r>
      <w:r>
        <w:rPr>
          <w:rFonts w:ascii="Arial" w:cs="Arial" w:eastAsia="Arial" w:hAnsi="Arial"/>
          <w:sz w:val="21"/>
          <w:szCs w:val="21"/>
          <w:b w:val="1"/>
          <w:bCs w:val="1"/>
          <w:color w:val="auto"/>
        </w:rPr>
        <w:t>Illness</w:t>
      </w:r>
    </w:p>
    <w:p>
      <w:pPr>
        <w:spacing w:after="0" w:line="21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Per diem insurance covers salary losses in the event of illness; the Employee is thus paid 80% of his salary as from the first day of illness and up to 730 days, subject to any limitations or reservations of the insurance. For all intents and purposes, the insurance’s general conditions are provided to the Employee. In the event of limitations or reservations of the insurance, without liability of the employer, the latter remains obliged to pay the salary in accordance with Art. 324a CO (Berne Scale).</w:t>
      </w:r>
    </w:p>
    <w:p>
      <w:pPr>
        <w:spacing w:after="0" w:line="349" w:lineRule="exact"/>
        <w:rPr>
          <w:sz w:val="20"/>
          <w:szCs w:val="20"/>
          <w:color w:val="auto"/>
        </w:rPr>
      </w:pPr>
    </w:p>
    <w:p>
      <w:pPr>
        <w:sectPr>
          <w:pgSz w:w="11900" w:h="16838" w:orient="portrait"/>
          <w:cols w:equalWidth="0" w:num="2">
            <w:col w:w="5400" w:space="340"/>
            <w:col w:w="5500"/>
          </w:cols>
          <w:pgMar w:left="320" w:top="1440" w:right="3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0000FF"/>
        </w:rPr>
        <w:t>GLOBALIZATION PARTNERS SWITZERLAND SA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12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5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5" w:name="page166"/>
    <w:bookmarkEnd w:id="165"/>
    <w:p>
      <w:pPr>
        <w:spacing w:after="0" w:line="332" w:lineRule="exact"/>
        <w:rPr>
          <w:sz w:val="20"/>
          <w:szCs w:val="20"/>
          <w:color w:val="auto"/>
        </w:rPr>
      </w:pPr>
    </w:p>
    <w:p>
      <w:pPr>
        <w:ind w:right="1220"/>
        <w:spacing w:after="0" w:line="272" w:lineRule="auto"/>
        <w:rPr>
          <w:sz w:val="20"/>
          <w:szCs w:val="20"/>
          <w:color w:val="auto"/>
        </w:rPr>
      </w:pPr>
      <w:r>
        <w:rPr>
          <w:rFonts w:ascii="Arial" w:cs="Arial" w:eastAsia="Arial" w:hAnsi="Arial"/>
          <w:sz w:val="22"/>
          <w:szCs w:val="22"/>
          <w:b w:val="1"/>
          <w:bCs w:val="1"/>
          <w:color w:val="auto"/>
        </w:rPr>
        <w:t>2.7.3.Service militaire, service civil ou de protection civile</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Le Travailleur a droit, pour le service accompli dans l’armée suisse, le service civil ou de protection civile, à des allocations pour perte de gain (APG). Les prestations APG sont complétées à hauteur de 80% du salaire conformément à l’échelle bernoise, soit durant:</w:t>
      </w:r>
    </w:p>
    <w:p>
      <w:pPr>
        <w:spacing w:after="0" w:line="69" w:lineRule="exact"/>
        <w:rPr>
          <w:sz w:val="20"/>
          <w:szCs w:val="20"/>
          <w:color w:val="auto"/>
        </w:rPr>
      </w:pPr>
    </w:p>
    <w:p>
      <w:pPr>
        <w:ind w:left="140" w:hanging="132"/>
        <w:spacing w:after="0" w:line="259" w:lineRule="auto"/>
        <w:tabs>
          <w:tab w:leader="none" w:pos="1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22"/>
          <w:szCs w:val="22"/>
          <w:color w:val="auto"/>
        </w:rPr>
        <w:t>3 semaines pendant la 1re année de service (plus de 3 mois)</w:t>
      </w:r>
    </w:p>
    <w:p>
      <w:pPr>
        <w:spacing w:after="0" w:line="48"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22"/>
          <w:szCs w:val="22"/>
          <w:color w:val="auto"/>
        </w:rPr>
        <w:t>1 mois pendant la 2e année de service</w:t>
      </w:r>
    </w:p>
    <w:p>
      <w:pPr>
        <w:spacing w:after="0" w:line="98"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22"/>
          <w:szCs w:val="22"/>
          <w:color w:val="auto"/>
        </w:rPr>
        <w:t>2 mois pendant la 3e et la 4e année de service</w:t>
      </w:r>
    </w:p>
    <w:p>
      <w:pPr>
        <w:spacing w:after="0" w:line="98"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22"/>
          <w:szCs w:val="22"/>
          <w:color w:val="auto"/>
        </w:rPr>
        <w:t>3 mois de la 5e à la 9e année de service</w:t>
      </w:r>
    </w:p>
    <w:p>
      <w:pPr>
        <w:spacing w:after="0" w:line="98"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22"/>
          <w:szCs w:val="22"/>
          <w:color w:val="auto"/>
        </w:rPr>
        <w:t>4 mois de la 10e à la 14e année de service</w:t>
      </w:r>
    </w:p>
    <w:p>
      <w:pPr>
        <w:spacing w:after="0" w:line="98"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22"/>
          <w:szCs w:val="22"/>
          <w:color w:val="auto"/>
        </w:rPr>
        <w:t>5 mois de la 15e à la 19e année de service</w:t>
      </w:r>
    </w:p>
    <w:p>
      <w:pPr>
        <w:spacing w:after="0" w:line="98"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22"/>
          <w:szCs w:val="22"/>
          <w:color w:val="auto"/>
        </w:rPr>
        <w:t>6 mois de la 20e à la 25e année de service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2.7.4.Maternité</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Les travailleuses ont droit à l'allocation de maternité, conformément à l'article 16b ss de la loi sur les allocations pour pertes de gain, LAPG, si elles ont été assurées obligatoirement au sens de l'assurance-vieillesse et survivants, LAVS, pendant les 9 mois précédant l'accouchement, et qu'au cours de cette période elles ont exercé une activité lucrative durant 5 mois et sont toujours Travailleures à la date de l'accouchement. Si ces conditions ne sont pas remplies, il convient d’examiner si le salaire doit être payé conformément à l'art. 324a CO.</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1420"/>
        <w:spacing w:after="0" w:line="295" w:lineRule="auto"/>
        <w:rPr>
          <w:sz w:val="20"/>
          <w:szCs w:val="20"/>
          <w:color w:val="auto"/>
        </w:rPr>
      </w:pPr>
      <w:r>
        <w:rPr>
          <w:rFonts w:ascii="Times New Roman" w:cs="Times New Roman" w:eastAsia="Times New Roman" w:hAnsi="Times New Roman"/>
          <w:sz w:val="18"/>
          <w:szCs w:val="18"/>
          <w:color w:val="auto"/>
        </w:rPr>
        <w:t>2.7.3.</w:t>
      </w:r>
      <w:r>
        <w:rPr>
          <w:rFonts w:ascii="Arial" w:cs="Arial" w:eastAsia="Arial" w:hAnsi="Arial"/>
          <w:sz w:val="21"/>
          <w:szCs w:val="21"/>
          <w:b w:val="1"/>
          <w:bCs w:val="1"/>
          <w:color w:val="auto"/>
        </w:rPr>
        <w:t>Military service, civil service or civil</w:t>
      </w:r>
      <w:r>
        <w:rPr>
          <w:rFonts w:ascii="Times New Roman" w:cs="Times New Roman" w:eastAsia="Times New Roman" w:hAnsi="Times New Roman"/>
          <w:sz w:val="18"/>
          <w:szCs w:val="18"/>
          <w:color w:val="auto"/>
        </w:rPr>
        <w:t xml:space="preserve"> </w:t>
      </w:r>
      <w:r>
        <w:rPr>
          <w:rFonts w:ascii="Arial" w:cs="Arial" w:eastAsia="Arial" w:hAnsi="Arial"/>
          <w:sz w:val="21"/>
          <w:szCs w:val="21"/>
          <w:b w:val="1"/>
          <w:bCs w:val="1"/>
          <w:color w:val="auto"/>
        </w:rPr>
        <w:t>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-994410</wp:posOffset>
            </wp:positionV>
            <wp:extent cx="831215" cy="3600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4">
                      <a:extLst>
                        <a:ext uri="{28A0092B-C50C-407E-A947-70E740481C1C}"/>
                      </a:extLst>
                    </a:blip>
                    <a:srcRect/>
                    <a:stretch>
                      <a:fillRect/>
                    </a:stretch>
                  </pic:blipFill>
                  <pic:spPr bwMode="auto">
                    <a:xfrm>
                      <a:off x="0" y="0"/>
                      <a:ext cx="831215" cy="360045"/>
                    </a:xfrm>
                    <a:prstGeom prst="rect">
                      <a:avLst/>
                    </a:prstGeom>
                    <a:noFill/>
                  </pic:spPr>
                </pic:pic>
              </a:graphicData>
            </a:graphic>
          </wp:anchor>
        </w:drawing>
      </w:r>
    </w:p>
    <w:p>
      <w:pPr>
        <w:spacing w:after="0" w:line="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Employee is entitled, for time served in the Swiss army, civil service or civil protection, to loss of earnings benefits (APG). The APG benefits are supplemented up to 80% of the salary in accordance with the Bern scale, i.e. for:</w:t>
      </w:r>
    </w:p>
    <w:p>
      <w:pPr>
        <w:spacing w:after="0" w:line="69" w:lineRule="exact"/>
        <w:rPr>
          <w:sz w:val="20"/>
          <w:szCs w:val="20"/>
          <w:color w:val="auto"/>
        </w:rPr>
      </w:pPr>
    </w:p>
    <w:p>
      <w:pPr>
        <w:ind w:left="140" w:hanging="135"/>
        <w:spacing w:after="0" w:line="259" w:lineRule="auto"/>
        <w:tabs>
          <w:tab w:leader="none" w:pos="1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22"/>
          <w:szCs w:val="22"/>
          <w:color w:val="auto"/>
        </w:rPr>
        <w:t>3 weeks during the 1st year of service (more than 3 months)</w:t>
      </w:r>
    </w:p>
    <w:p>
      <w:pPr>
        <w:spacing w:after="0" w:line="48" w:lineRule="exact"/>
        <w:rPr>
          <w:rFonts w:ascii="Times New Roman" w:cs="Times New Roman" w:eastAsia="Times New Roman" w:hAnsi="Times New Roman"/>
          <w:sz w:val="18"/>
          <w:szCs w:val="18"/>
          <w:color w:val="auto"/>
        </w:rPr>
      </w:pPr>
    </w:p>
    <w:p>
      <w:pPr>
        <w:ind w:left="140" w:hanging="135"/>
        <w:spacing w:after="0"/>
        <w:tabs>
          <w:tab w:leader="none" w:pos="1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22"/>
          <w:szCs w:val="22"/>
          <w:color w:val="auto"/>
        </w:rPr>
        <w:t>1 month during the 2nd year of service</w:t>
      </w:r>
    </w:p>
    <w:p>
      <w:pPr>
        <w:spacing w:after="0" w:line="98" w:lineRule="exact"/>
        <w:rPr>
          <w:rFonts w:ascii="Times New Roman" w:cs="Times New Roman" w:eastAsia="Times New Roman" w:hAnsi="Times New Roman"/>
          <w:sz w:val="18"/>
          <w:szCs w:val="18"/>
          <w:color w:val="auto"/>
        </w:rPr>
      </w:pPr>
    </w:p>
    <w:p>
      <w:pPr>
        <w:ind w:left="140" w:hanging="135"/>
        <w:spacing w:after="0"/>
        <w:tabs>
          <w:tab w:leader="none" w:pos="1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22"/>
          <w:szCs w:val="22"/>
          <w:color w:val="auto"/>
        </w:rPr>
        <w:t>2 months during the 3rd and 4th year of service</w:t>
      </w:r>
    </w:p>
    <w:p>
      <w:pPr>
        <w:spacing w:after="0" w:line="98" w:lineRule="exact"/>
        <w:rPr>
          <w:rFonts w:ascii="Times New Roman" w:cs="Times New Roman" w:eastAsia="Times New Roman" w:hAnsi="Times New Roman"/>
          <w:sz w:val="18"/>
          <w:szCs w:val="18"/>
          <w:color w:val="auto"/>
        </w:rPr>
      </w:pPr>
    </w:p>
    <w:p>
      <w:pPr>
        <w:ind w:left="140" w:hanging="135"/>
        <w:spacing w:after="0"/>
        <w:tabs>
          <w:tab w:leader="none" w:pos="1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22"/>
          <w:szCs w:val="22"/>
          <w:color w:val="auto"/>
        </w:rPr>
        <w:t>3 months from the 5th to the 9th year of service</w:t>
      </w:r>
    </w:p>
    <w:p>
      <w:pPr>
        <w:spacing w:after="0" w:line="98" w:lineRule="exact"/>
        <w:rPr>
          <w:rFonts w:ascii="Times New Roman" w:cs="Times New Roman" w:eastAsia="Times New Roman" w:hAnsi="Times New Roman"/>
          <w:sz w:val="18"/>
          <w:szCs w:val="18"/>
          <w:color w:val="auto"/>
        </w:rPr>
      </w:pPr>
    </w:p>
    <w:p>
      <w:pPr>
        <w:ind w:left="140" w:hanging="135"/>
        <w:spacing w:after="0"/>
        <w:tabs>
          <w:tab w:leader="none" w:pos="1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22"/>
          <w:szCs w:val="22"/>
          <w:color w:val="auto"/>
        </w:rPr>
        <w:t>4 months from the 10th to the 14th year of service</w:t>
      </w:r>
    </w:p>
    <w:p>
      <w:pPr>
        <w:spacing w:after="0" w:line="98" w:lineRule="exact"/>
        <w:rPr>
          <w:rFonts w:ascii="Times New Roman" w:cs="Times New Roman" w:eastAsia="Times New Roman" w:hAnsi="Times New Roman"/>
          <w:sz w:val="18"/>
          <w:szCs w:val="18"/>
          <w:color w:val="auto"/>
        </w:rPr>
      </w:pPr>
    </w:p>
    <w:p>
      <w:pPr>
        <w:ind w:left="140" w:hanging="135"/>
        <w:spacing w:after="0"/>
        <w:tabs>
          <w:tab w:leader="none" w:pos="1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22"/>
          <w:szCs w:val="22"/>
          <w:color w:val="auto"/>
        </w:rPr>
        <w:t>5 months from the 15th to the 19th year of service</w:t>
      </w:r>
    </w:p>
    <w:p>
      <w:pPr>
        <w:spacing w:after="0" w:line="98" w:lineRule="exact"/>
        <w:rPr>
          <w:rFonts w:ascii="Times New Roman" w:cs="Times New Roman" w:eastAsia="Times New Roman" w:hAnsi="Times New Roman"/>
          <w:sz w:val="18"/>
          <w:szCs w:val="18"/>
          <w:color w:val="auto"/>
        </w:rPr>
      </w:pPr>
    </w:p>
    <w:p>
      <w:pPr>
        <w:ind w:left="140" w:hanging="135"/>
        <w:spacing w:after="0"/>
        <w:tabs>
          <w:tab w:leader="none" w:pos="1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22"/>
          <w:szCs w:val="22"/>
          <w:color w:val="auto"/>
        </w:rPr>
        <w:t>6 months from the 20th to the 25th year of service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2.7.4.</w:t>
      </w:r>
      <w:r>
        <w:rPr>
          <w:rFonts w:ascii="Arial" w:cs="Arial" w:eastAsia="Arial" w:hAnsi="Arial"/>
          <w:sz w:val="21"/>
          <w:szCs w:val="21"/>
          <w:b w:val="1"/>
          <w:bCs w:val="1"/>
          <w:color w:val="auto"/>
        </w:rPr>
        <w:t>Maternity</w:t>
      </w:r>
    </w:p>
    <w:p>
      <w:pPr>
        <w:spacing w:after="0" w:line="21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Female Employees are entitled to maternity benefits, in accordance with article 16b ss of the law on loss of earnings benefits (LAPG), if they are insured compulsorily in the meaning of old-age and survivors insurance (LAVS), during the 9 months preceding giving birth and that during this period they have exercised a lucrative activity for 5 months and are still employed on the date of giving birth. Should these conditions not be fulfilled, art. 324a CO might apply.</w:t>
      </w:r>
    </w:p>
    <w:p>
      <w:pPr>
        <w:spacing w:after="0" w:line="600" w:lineRule="exact"/>
        <w:rPr>
          <w:sz w:val="20"/>
          <w:szCs w:val="20"/>
          <w:color w:val="auto"/>
        </w:rPr>
      </w:pPr>
    </w:p>
    <w:p>
      <w:pPr>
        <w:sectPr>
          <w:pgSz w:w="11900" w:h="16838" w:orient="portrait"/>
          <w:cols w:equalWidth="0" w:num="2">
            <w:col w:w="5400" w:space="340"/>
            <w:col w:w="5500"/>
          </w:cols>
          <w:pgMar w:left="320" w:top="1440" w:right="339" w:bottom="1440" w:gutter="0" w:footer="0" w:header="0"/>
        </w:sectPr>
      </w:pPr>
    </w:p>
    <w:p>
      <w:pPr>
        <w:jc w:val="center"/>
        <w:ind w:right="20"/>
        <w:spacing w:after="0"/>
        <w:rPr>
          <w:sz w:val="20"/>
          <w:szCs w:val="20"/>
          <w:color w:val="auto"/>
        </w:rPr>
      </w:pPr>
      <w:r>
        <w:rPr>
          <w:rFonts w:ascii="Arial" w:cs="Arial" w:eastAsia="Arial" w:hAnsi="Arial"/>
          <w:sz w:val="16"/>
          <w:szCs w:val="16"/>
          <w:color w:val="0000FF"/>
        </w:rPr>
        <w:t>GLOBALIZATION PARTNERS SWITZERLAND SA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12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6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6" w:name="page167"/>
    <w:bookmarkEnd w:id="166"/>
    <w:p>
      <w:pPr>
        <w:spacing w:after="0" w:line="33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Le droit à l'allocation prend effet le jour de l'accouchement. La mère bénéficie d'un congé d'au maximum 14 semaines (Genève : 16 semaines) payées</w:t>
      </w:r>
    </w:p>
    <w:p>
      <w:pPr>
        <w:jc w:val="both"/>
        <w:ind w:firstLine="8"/>
        <w:spacing w:after="0" w:line="233" w:lineRule="auto"/>
        <w:tabs>
          <w:tab w:leader="none" w:pos="198" w:val="left"/>
        </w:tabs>
        <w:numPr>
          <w:ilvl w:val="0"/>
          <w:numId w:val="81"/>
        </w:numPr>
        <w:rPr>
          <w:rFonts w:ascii="Arial" w:cs="Arial" w:eastAsia="Arial" w:hAnsi="Arial"/>
          <w:sz w:val="22"/>
          <w:szCs w:val="22"/>
          <w:color w:val="auto"/>
        </w:rPr>
      </w:pPr>
      <w:r>
        <w:rPr>
          <w:rFonts w:ascii="Arial" w:cs="Arial" w:eastAsia="Arial" w:hAnsi="Arial"/>
          <w:sz w:val="22"/>
          <w:szCs w:val="22"/>
          <w:color w:val="auto"/>
        </w:rPr>
        <w:t>raison de 80% du revenu moyen de l'activité réalisée avant l'accouchement (l'indemnité journalière s'élève à 196 francs au plus / Genève : 280 francs). L'allocation est versée sous la forme d'indemnités journalières (max. 98 indemnités journalières / Genève : 112). Si la mère reprend son activité lucrative durant cette période, le droit s'éteint de manière anticipée.</w:t>
      </w:r>
    </w:p>
    <w:p>
      <w:pPr>
        <w:spacing w:after="0" w:line="17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 Genève, en cas de placement d'un enfant en vue de son adoption, les prestations sont accordées aux futurs parents adoptifs si, à la date du placement, l'enfant a moins de 8 ans révolus, l'enfant n'est pas celui du conjoint, la personne assurée est en possession de l'autorisation provisoire d'adopter et que le parent qui demande l'allocation cesse effectivement le travail pendant le congé d'adoption. Un des deux parents adoptant a droit à un congé d'au maximum 16 semaines payées à raison de 80% du revenu moyen de l'activité réalisée avant l'adoption.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2.7.5.Affiliation à la prévoyance professionnelle</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Lorsque le Travailleur a été engagé avec un contrat de mise à disposition de Travailleurs à titre principal (travail en régie) de durée indéterminée ou de durée déterminée dépassant trois mois, il doit être affilié à la LPP dès le premier jour des rapports contractuels. Lorsqu’un contrat de mission d’une durée limitée à moins de trois mois est prolongé au-delà de trois mois, le Travailleur doit être affilié à la LPP dès que la prolongation a été convenue. De même, le Travailleur doit être affilié à la LPP dès que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right to benefits takes effect on the day of giving birth. The mother benefits from 14 weeks leave at the most (Geneva: 16 weeks) paid at a rate of 80% of the average income of the activity carried out before giving birth (daily allowance maximum amount 196 CHF – Geneva 280 CHF). The benefit is paid in the form of per diem allowances (maximum 98 per diem allowances/Geneva: 112). If the mother resumes her lucrative activity during this period, the right ceases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-2031365</wp:posOffset>
            </wp:positionV>
            <wp:extent cx="831215" cy="3600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7">
                      <a:extLst>
                        <a:ext uri="{28A0092B-C50C-407E-A947-70E740481C1C}"/>
                      </a:extLst>
                    </a:blip>
                    <a:srcRect/>
                    <a:stretch>
                      <a:fillRect/>
                    </a:stretch>
                  </pic:blipFill>
                  <pic:spPr bwMode="auto">
                    <a:xfrm>
                      <a:off x="0" y="0"/>
                      <a:ext cx="831215" cy="360045"/>
                    </a:xfrm>
                    <a:prstGeom prst="rect">
                      <a:avLst/>
                    </a:prstGeom>
                    <a:noFill/>
                  </pic:spPr>
                </pic:pic>
              </a:graphicData>
            </a:graphic>
          </wp:anchor>
        </w:drawing>
      </w:r>
    </w:p>
    <w:p>
      <w:pPr>
        <w:spacing w:after="0" w:line="39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Geneva, in the event of the placement of a child in view of his/her adoption, the benefits are granted to the future adoptive parents if, on the date of the placement, the child is 8 years and under, the child is not that of the spouse, the insured person is in possession of the temporary authorisation to adopt and the parent who requests the allowance effectively stops working during the adoption period. One of the two adopting parents is entitled to 16 weeks paid leave at the most at a rate of 80% of the average income of the activity carried out before the adoption.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2.7.5.</w:t>
      </w:r>
      <w:r>
        <w:rPr>
          <w:rFonts w:ascii="Arial" w:cs="Arial" w:eastAsia="Arial" w:hAnsi="Arial"/>
          <w:sz w:val="21"/>
          <w:szCs w:val="21"/>
          <w:b w:val="1"/>
          <w:bCs w:val="1"/>
          <w:color w:val="auto"/>
        </w:rPr>
        <w:t>Affiliation to occupational pension planning</w:t>
      </w:r>
    </w:p>
    <w:p>
      <w:pPr>
        <w:spacing w:after="0" w:line="21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When the Employee has been hired with a main Employee placement contract of an open-ended period or fixed period exceeding three months, he/she must be affiliated with the LPP from the first day of contractual relations. When an assignment contract of a limited period of less than three months is extended beyond the three months, the Employee must be affiliated with the LPP once the extension has been agreed. Likewise, the Employee must be affiliated with the LPP once all of the assignments the he/she has carried out</w:t>
      </w:r>
    </w:p>
    <w:p>
      <w:pPr>
        <w:spacing w:after="0" w:line="111" w:lineRule="exact"/>
        <w:rPr>
          <w:sz w:val="20"/>
          <w:szCs w:val="20"/>
          <w:color w:val="auto"/>
        </w:rPr>
      </w:pPr>
    </w:p>
    <w:p>
      <w:pPr>
        <w:sectPr>
          <w:pgSz w:w="11900" w:h="16838" w:orient="portrait"/>
          <w:cols w:equalWidth="0" w:num="2">
            <w:col w:w="5400" w:space="340"/>
            <w:col w:w="5500"/>
          </w:cols>
          <w:pgMar w:left="320" w:top="1440" w:right="339" w:bottom="1440" w:gutter="0" w:footer="0" w:header="0"/>
        </w:sectPr>
      </w:pPr>
    </w:p>
    <w:p>
      <w:pPr>
        <w:jc w:val="center"/>
        <w:ind w:right="20"/>
        <w:spacing w:after="0"/>
        <w:rPr>
          <w:sz w:val="20"/>
          <w:szCs w:val="20"/>
          <w:color w:val="auto"/>
        </w:rPr>
      </w:pPr>
      <w:r>
        <w:rPr>
          <w:rFonts w:ascii="Arial" w:cs="Arial" w:eastAsia="Arial" w:hAnsi="Arial"/>
          <w:sz w:val="16"/>
          <w:szCs w:val="16"/>
          <w:color w:val="0000FF"/>
        </w:rPr>
        <w:t>GLOBALIZATION PARTNERS SWITZERLAND SA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12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7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7" w:name="page168"/>
    <w:bookmarkEnd w:id="167"/>
    <w:p>
      <w:pPr>
        <w:spacing w:after="0" w:line="11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l’ensemble des missions qu’il a effectuées atteint une durée totale de plus de trois mois et qu’il n’y a pas plus de trois mois d’interruption entre les missions. Les missions peuvent être effectuées auprès de différentes entreprises locataires de services et ne pas se suivre immédiatement. Les autres conditions telles que le salaire annuel minimum ou l’âge doivent toutefois également être remplies.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2.8.Résiliation des rapports de travail</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Le délai de congé applicable en cas de résiliation des rapports de travail est de:</w:t>
      </w:r>
    </w:p>
    <w:p>
      <w:pPr>
        <w:spacing w:after="0" w:line="48" w:lineRule="exact"/>
        <w:rPr>
          <w:sz w:val="20"/>
          <w:szCs w:val="20"/>
          <w:color w:val="auto"/>
        </w:rPr>
      </w:pPr>
    </w:p>
    <w:p>
      <w:pPr>
        <w:ind w:left="140" w:hanging="132"/>
        <w:spacing w:after="0"/>
        <w:tabs>
          <w:tab w:leader="none" w:pos="14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22"/>
          <w:szCs w:val="22"/>
          <w:color w:val="auto"/>
        </w:rPr>
        <w:t>1 mois pendant la première année de service</w:t>
      </w:r>
    </w:p>
    <w:p>
      <w:pPr>
        <w:spacing w:after="0" w:line="17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22"/>
          <w:szCs w:val="22"/>
          <w:color w:val="auto"/>
        </w:rPr>
        <w:t>2 mois de la 2e à la 9e année de service et de</w:t>
      </w:r>
    </w:p>
    <w:p>
      <w:pPr>
        <w:spacing w:after="0" w:line="179" w:lineRule="exact"/>
        <w:rPr>
          <w:rFonts w:ascii="Times New Roman" w:cs="Times New Roman" w:eastAsia="Times New Roman" w:hAnsi="Times New Roman"/>
          <w:sz w:val="18"/>
          <w:szCs w:val="18"/>
          <w:color w:val="auto"/>
        </w:rPr>
      </w:pPr>
    </w:p>
    <w:p>
      <w:pPr>
        <w:ind w:left="140" w:hanging="132"/>
        <w:spacing w:after="0" w:line="259" w:lineRule="auto"/>
        <w:tabs>
          <w:tab w:leader="none" w:pos="14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22"/>
          <w:szCs w:val="22"/>
          <w:color w:val="auto"/>
        </w:rPr>
        <w:t>3 mois dès la 10e année de service pour la fin d’un mois.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2.9.Protection contre les licenciements</w:t>
      </w:r>
    </w:p>
    <w:p>
      <w:pPr>
        <w:spacing w:after="0" w:line="208" w:lineRule="exact"/>
        <w:rPr>
          <w:sz w:val="20"/>
          <w:szCs w:val="20"/>
          <w:color w:val="auto"/>
        </w:rPr>
      </w:pPr>
    </w:p>
    <w:p>
      <w:pPr>
        <w:ind w:right="120"/>
        <w:spacing w:after="0" w:line="283" w:lineRule="auto"/>
        <w:rPr>
          <w:sz w:val="20"/>
          <w:szCs w:val="20"/>
          <w:color w:val="auto"/>
        </w:rPr>
      </w:pPr>
      <w:r>
        <w:rPr>
          <w:rFonts w:ascii="Arial" w:cs="Arial" w:eastAsia="Arial" w:hAnsi="Arial"/>
          <w:sz w:val="21"/>
          <w:szCs w:val="21"/>
          <w:color w:val="auto"/>
        </w:rPr>
        <w:t>Conformément à l’article 336c CO, l’Employeur ne peut pas résilier le contrat de travail après le temps d’essai:</w:t>
      </w:r>
    </w:p>
    <w:p>
      <w:pPr>
        <w:spacing w:after="0" w:line="26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Pendant que le Travailleur accomplit un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obligatoire, militaire ou dans la protection civile, service féminin de l’armée ou service de la croix rouge en vertu de la législation fédérale, ou encore pendant les quatre semaines qui précédent et qui suivent ce service pour autant qu’il ait duré plus de onze jours;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 xml:space="preserve">b. </w:t>
      </w:r>
      <w:r>
        <w:rPr>
          <w:rFonts w:ascii="Arial" w:cs="Arial" w:eastAsia="Arial" w:hAnsi="Arial"/>
          <w:sz w:val="21"/>
          <w:szCs w:val="21"/>
          <w:color w:val="auto"/>
        </w:rPr>
        <w:t>Pendant une incapacité de travail totale ou partielle</w:t>
      </w:r>
      <w:r>
        <w:rPr>
          <w:rFonts w:ascii="Arial" w:cs="Arial" w:eastAsia="Arial" w:hAnsi="Arial"/>
          <w:sz w:val="21"/>
          <w:szCs w:val="21"/>
          <w:b w:val="1"/>
          <w:bCs w:val="1"/>
          <w:color w:val="auto"/>
        </w:rPr>
        <w:t xml:space="preserve"> </w:t>
      </w:r>
      <w:r>
        <w:rPr>
          <w:rFonts w:ascii="Arial" w:cs="Arial" w:eastAsia="Arial" w:hAnsi="Arial"/>
          <w:sz w:val="21"/>
          <w:szCs w:val="21"/>
          <w:color w:val="auto"/>
        </w:rPr>
        <w:t>résultant d’une maladie ou d’un accident non imputables</w:t>
      </w:r>
    </w:p>
    <w:p>
      <w:pPr>
        <w:spacing w:after="0" w:line="1" w:lineRule="exact"/>
        <w:rPr>
          <w:sz w:val="20"/>
          <w:szCs w:val="20"/>
          <w:color w:val="auto"/>
        </w:rPr>
      </w:pPr>
    </w:p>
    <w:p>
      <w:pPr>
        <w:jc w:val="both"/>
        <w:ind w:firstLine="8"/>
        <w:spacing w:after="0" w:line="237" w:lineRule="auto"/>
        <w:tabs>
          <w:tab w:leader="none" w:pos="231" w:val="left"/>
        </w:tabs>
        <w:numPr>
          <w:ilvl w:val="0"/>
          <w:numId w:val="83"/>
        </w:numPr>
        <w:rPr>
          <w:rFonts w:ascii="Arial" w:cs="Arial" w:eastAsia="Arial" w:hAnsi="Arial"/>
          <w:sz w:val="22"/>
          <w:szCs w:val="22"/>
          <w:color w:val="auto"/>
        </w:rPr>
      </w:pPr>
      <w:r>
        <w:rPr>
          <w:rFonts w:ascii="Arial" w:cs="Arial" w:eastAsia="Arial" w:hAnsi="Arial"/>
          <w:sz w:val="22"/>
          <w:szCs w:val="22"/>
          <w:color w:val="auto"/>
        </w:rPr>
        <w:t>la faute du Travailleur, et cela, durant 30 jours au cours de la première année de service, durant 90 jours de la deuxième à la</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reaches a total period of more than three months and there is no more than three months interruption between assignments. The assignments can be carried out with different labour leasing companies and not succeed one another immediately. The other conditions such as the minimum annual wage or age must however also be fulfilled.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-1585595</wp:posOffset>
            </wp:positionV>
            <wp:extent cx="831215" cy="3600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0">
                      <a:extLst>
                        <a:ext uri="{28A0092B-C50C-407E-A947-70E740481C1C}"/>
                      </a:extLst>
                    </a:blip>
                    <a:srcRect/>
                    <a:stretch>
                      <a:fillRect/>
                    </a:stretch>
                  </pic:blipFill>
                  <pic:spPr bwMode="auto">
                    <a:xfrm>
                      <a:off x="0" y="0"/>
                      <a:ext cx="831215" cy="36004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w:t>
      </w:r>
      <w:r>
        <w:rPr>
          <w:rFonts w:ascii="Arial" w:cs="Arial" w:eastAsia="Arial" w:hAnsi="Arial"/>
          <w:sz w:val="21"/>
          <w:szCs w:val="21"/>
          <w:b w:val="1"/>
          <w:bCs w:val="1"/>
          <w:color w:val="auto"/>
        </w:rPr>
        <w:t>Termination of working relations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notice period applicable in the event of termination of working relations is:</w:t>
      </w:r>
    </w:p>
    <w:p>
      <w:pPr>
        <w:spacing w:after="0" w:line="48" w:lineRule="exact"/>
        <w:rPr>
          <w:sz w:val="20"/>
          <w:szCs w:val="20"/>
          <w:color w:val="auto"/>
        </w:rPr>
      </w:pPr>
    </w:p>
    <w:p>
      <w:pPr>
        <w:ind w:left="140" w:hanging="135"/>
        <w:spacing w:after="0"/>
        <w:tabs>
          <w:tab w:leader="none" w:pos="14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22"/>
          <w:szCs w:val="22"/>
          <w:color w:val="auto"/>
        </w:rPr>
        <w:t>1 month during the first year of service</w:t>
      </w:r>
    </w:p>
    <w:p>
      <w:pPr>
        <w:spacing w:after="0" w:line="179" w:lineRule="exact"/>
        <w:rPr>
          <w:rFonts w:ascii="Times New Roman" w:cs="Times New Roman" w:eastAsia="Times New Roman" w:hAnsi="Times New Roman"/>
          <w:sz w:val="18"/>
          <w:szCs w:val="18"/>
          <w:color w:val="auto"/>
        </w:rPr>
      </w:pPr>
    </w:p>
    <w:p>
      <w:pPr>
        <w:ind w:left="140" w:hanging="135"/>
        <w:spacing w:after="0"/>
        <w:tabs>
          <w:tab w:leader="none" w:pos="14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22"/>
          <w:szCs w:val="22"/>
          <w:color w:val="auto"/>
        </w:rPr>
        <w:t>2 months from the 2nd to the 9th year of service and</w:t>
      </w:r>
    </w:p>
    <w:p>
      <w:pPr>
        <w:spacing w:after="0" w:line="179" w:lineRule="exact"/>
        <w:rPr>
          <w:rFonts w:ascii="Times New Roman" w:cs="Times New Roman" w:eastAsia="Times New Roman" w:hAnsi="Times New Roman"/>
          <w:sz w:val="18"/>
          <w:szCs w:val="18"/>
          <w:color w:val="auto"/>
        </w:rPr>
      </w:pPr>
    </w:p>
    <w:p>
      <w:pPr>
        <w:ind w:left="140" w:hanging="135"/>
        <w:spacing w:after="0" w:line="259" w:lineRule="auto"/>
        <w:tabs>
          <w:tab w:leader="none" w:pos="14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22"/>
          <w:szCs w:val="22"/>
          <w:color w:val="auto"/>
        </w:rPr>
        <w:t>3 months from the 10th year of service for the end of one month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w:t>
      </w:r>
      <w:r>
        <w:rPr>
          <w:rFonts w:ascii="Arial" w:cs="Arial" w:eastAsia="Arial" w:hAnsi="Arial"/>
          <w:sz w:val="21"/>
          <w:szCs w:val="21"/>
          <w:b w:val="1"/>
          <w:bCs w:val="1"/>
          <w:color w:val="auto"/>
        </w:rPr>
        <w:t>Protection against redundancy</w:t>
      </w:r>
    </w:p>
    <w:p>
      <w:pPr>
        <w:spacing w:after="0" w:line="219"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In accordance with article 336c CO, the employer cannot terminate the employment contract after the probationary period:</w:t>
      </w:r>
    </w:p>
    <w:p>
      <w:pPr>
        <w:spacing w:after="0" w:line="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While the Employee fulfils compulsory, military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or serves in civil protection, the women’s army corps or the red cross in terms of Federal law, or during the four weeks that precede and follow this service insofar as it has lasted more than eleven days;</w:t>
      </w:r>
    </w:p>
    <w:p>
      <w:pPr>
        <w:spacing w:after="0" w:line="31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During a total or partial inability to work resulting from</w:t>
      </w:r>
      <w:r>
        <w:rPr>
          <w:rFonts w:ascii="Arial" w:cs="Arial" w:eastAsia="Arial" w:hAnsi="Arial"/>
          <w:sz w:val="22"/>
          <w:szCs w:val="22"/>
          <w:b w:val="1"/>
          <w:bCs w:val="1"/>
          <w:color w:val="auto"/>
        </w:rPr>
        <w:t xml:space="preserve"> </w:t>
      </w:r>
      <w:r>
        <w:rPr>
          <w:rFonts w:ascii="Arial" w:cs="Arial" w:eastAsia="Arial" w:hAnsi="Arial"/>
          <w:sz w:val="22"/>
          <w:szCs w:val="22"/>
          <w:color w:val="auto"/>
        </w:rPr>
        <w:t>an illness or accident not attributable to the fault of the Employee, and for a period of 30 days during the first year of service, of 90 days from the second to the fifth year of service and for 180 days from the sixth year of service;</w:t>
      </w:r>
    </w:p>
    <w:p>
      <w:pPr>
        <w:spacing w:after="0" w:line="109" w:lineRule="exact"/>
        <w:rPr>
          <w:sz w:val="20"/>
          <w:szCs w:val="20"/>
          <w:color w:val="auto"/>
        </w:rPr>
      </w:pPr>
    </w:p>
    <w:p>
      <w:pPr>
        <w:sectPr>
          <w:pgSz w:w="11900" w:h="16838" w:orient="portrait"/>
          <w:cols w:equalWidth="0" w:num="2">
            <w:col w:w="5400" w:space="340"/>
            <w:col w:w="5500"/>
          </w:cols>
          <w:pgMar w:left="320" w:top="1440" w:right="339" w:bottom="1440" w:gutter="0" w:footer="0" w:header="0"/>
        </w:sectPr>
      </w:pPr>
    </w:p>
    <w:p>
      <w:pPr>
        <w:jc w:val="center"/>
        <w:ind w:right="20"/>
        <w:spacing w:after="0"/>
        <w:rPr>
          <w:sz w:val="20"/>
          <w:szCs w:val="20"/>
          <w:color w:val="auto"/>
        </w:rPr>
      </w:pPr>
      <w:r>
        <w:rPr>
          <w:rFonts w:ascii="Arial" w:cs="Arial" w:eastAsia="Arial" w:hAnsi="Arial"/>
          <w:sz w:val="16"/>
          <w:szCs w:val="16"/>
          <w:color w:val="0000FF"/>
        </w:rPr>
        <w:t>GLOBALIZATION PARTNERS SWITZERLAND SA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12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8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8" w:name="page169"/>
    <w:bookmarkEnd w:id="168"/>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cinquième année de service et durant 180 jours à partir de la sixième année de service;</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 xml:space="preserve">c. </w:t>
      </w:r>
      <w:r>
        <w:rPr>
          <w:rFonts w:ascii="Arial" w:cs="Arial" w:eastAsia="Arial" w:hAnsi="Arial"/>
          <w:sz w:val="22"/>
          <w:szCs w:val="22"/>
          <w:color w:val="auto"/>
        </w:rPr>
        <w:t>Pendant la grossesse et au cours des seize</w:t>
      </w:r>
      <w:r>
        <w:rPr>
          <w:rFonts w:ascii="Arial" w:cs="Arial" w:eastAsia="Arial" w:hAnsi="Arial"/>
          <w:sz w:val="22"/>
          <w:szCs w:val="22"/>
          <w:b w:val="1"/>
          <w:bCs w:val="1"/>
          <w:color w:val="auto"/>
        </w:rPr>
        <w:t xml:space="preserve"> </w:t>
      </w:r>
      <w:r>
        <w:rPr>
          <w:rFonts w:ascii="Arial" w:cs="Arial" w:eastAsia="Arial" w:hAnsi="Arial"/>
          <w:sz w:val="22"/>
          <w:szCs w:val="22"/>
          <w:color w:val="auto"/>
        </w:rPr>
        <w:t>semaines qui suivent l’accouchement;</w:t>
      </w:r>
    </w:p>
    <w:p>
      <w:pPr>
        <w:spacing w:after="0" w:line="4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color w:val="auto"/>
        </w:rPr>
        <w:t>Pendant que le Travailleur participe, avec l’accord de</w:t>
      </w:r>
      <w:r>
        <w:rPr>
          <w:rFonts w:ascii="Arial" w:cs="Arial" w:eastAsia="Arial" w:hAnsi="Arial"/>
          <w:sz w:val="22"/>
          <w:szCs w:val="22"/>
          <w:b w:val="1"/>
          <w:bCs w:val="1"/>
          <w:color w:val="auto"/>
        </w:rPr>
        <w:t xml:space="preserve"> </w:t>
      </w:r>
      <w:r>
        <w:rPr>
          <w:rFonts w:ascii="Arial" w:cs="Arial" w:eastAsia="Arial" w:hAnsi="Arial"/>
          <w:sz w:val="22"/>
          <w:szCs w:val="22"/>
          <w:color w:val="auto"/>
        </w:rPr>
        <w:t>l’Employeur, à un service d’aide à l’étranger ordonné par l’autorité fédérale.</w:t>
      </w:r>
    </w:p>
    <w:p>
      <w:pPr>
        <w:spacing w:after="0" w:line="64"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 le congé a été donné avant l’une de ces périodes et si le délai de congé n’a pas expiré avant cette période, ce délai est suspendu et ne continue à courir qu’après la fin de la période.</w:t>
      </w:r>
    </w:p>
    <w:p>
      <w:pPr>
        <w:spacing w:after="0" w:line="6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Lorsque les rapports de travail doivent cesser à un terme, tel que la fin d’un mois ou d’une semaine de travail, et que ce terme ne coïncide pas avec la fin du délai de congé qui a recommencé à courir, ce délai est prolongé jusqu’au prochain terme.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2.10.Protection des données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L’Employeur ne traite les données du Travailleur conformément à ses obligations légales en tant qu’Employeur et conformément à l’avis de confidentialité remis au Travailleur.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Devoirs du Travailleur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3.1.Nature du travail à fournir / fonction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Directeur, Médical</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3.2.Lieu de travail</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Le lieu de travail est le domicile du Travailleur, le siège de l’Employeur ou un autre lieu désigné par l’entreprise de mission ou l’Employeur, ou tout autre lieu en Suisse que le Travailleur peut décider. Il est communiqué au Travailleur en temps utile par un avenant écrit faisant partie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b w:val="1"/>
          <w:bCs w:val="1"/>
          <w:color w:val="auto"/>
        </w:rPr>
        <w:t xml:space="preserve">c. </w:t>
      </w:r>
      <w:r>
        <w:rPr>
          <w:rFonts w:ascii="Arial" w:cs="Arial" w:eastAsia="Arial" w:hAnsi="Arial"/>
          <w:sz w:val="22"/>
          <w:szCs w:val="22"/>
          <w:color w:val="auto"/>
        </w:rPr>
        <w:t>During pregnancy and during the sixteen weeks after</w:t>
      </w:r>
      <w:r>
        <w:rPr>
          <w:rFonts w:ascii="Arial" w:cs="Arial" w:eastAsia="Arial" w:hAnsi="Arial"/>
          <w:sz w:val="22"/>
          <w:szCs w:val="22"/>
          <w:b w:val="1"/>
          <w:bCs w:val="1"/>
          <w:color w:val="auto"/>
        </w:rPr>
        <w:t xml:space="preserve"> </w:t>
      </w:r>
      <w:r>
        <w:rPr>
          <w:rFonts w:ascii="Arial" w:cs="Arial" w:eastAsia="Arial" w:hAnsi="Arial"/>
          <w:sz w:val="22"/>
          <w:szCs w:val="22"/>
          <w:color w:val="auto"/>
        </w:rPr>
        <w:t>giving birth;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-1205230</wp:posOffset>
            </wp:positionV>
            <wp:extent cx="831215" cy="3600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3">
                      <a:extLst>
                        <a:ext uri="{28A0092B-C50C-407E-A947-70E740481C1C}"/>
                      </a:extLst>
                    </a:blip>
                    <a:srcRect/>
                    <a:stretch>
                      <a:fillRect/>
                    </a:stretch>
                  </pic:blipFill>
                  <pic:spPr bwMode="auto">
                    <a:xfrm>
                      <a:off x="0" y="0"/>
                      <a:ext cx="831215" cy="360045"/>
                    </a:xfrm>
                    <a:prstGeom prst="rect">
                      <a:avLst/>
                    </a:prstGeom>
                    <a:noFill/>
                  </pic:spPr>
                </pic:pic>
              </a:graphicData>
            </a:graphic>
          </wp:anchor>
        </w:drawing>
      </w:r>
    </w:p>
    <w:p>
      <w:pPr>
        <w:spacing w:after="0" w:line="2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color w:val="auto"/>
        </w:rPr>
        <w:t>While the Employee participates, with the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employer, in foreign aid service ordered by the federal authority.</w:t>
      </w:r>
    </w:p>
    <w:p>
      <w:pPr>
        <w:spacing w:after="0" w:line="64"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notice was given before one of these periods and if the notice period has not expired before this period, this period is suspended and only continues to be in effect after the end of the period.</w:t>
      </w:r>
    </w:p>
    <w:p>
      <w:pPr>
        <w:spacing w:after="0" w:line="6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working relations must cease on a date, such as the end of a month or week’s work, and if this date does not coincide with the end of the notice period which has resumed again, this period is extended until the next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w:t>
      </w:r>
      <w:r>
        <w:rPr>
          <w:rFonts w:ascii="Arial" w:cs="Arial" w:eastAsia="Arial" w:hAnsi="Arial"/>
          <w:sz w:val="21"/>
          <w:szCs w:val="21"/>
          <w:b w:val="1"/>
          <w:bCs w:val="1"/>
          <w:color w:val="auto"/>
        </w:rPr>
        <w:t>Data protection</w:t>
      </w:r>
    </w:p>
    <w:p>
      <w:pPr>
        <w:spacing w:after="0" w:line="21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employer shall process the Employee’s data in accordance with its legal obligations as the employer and consistent with the privacy notice provided to the Employee.</w:t>
      </w:r>
    </w:p>
    <w:p>
      <w:pPr>
        <w:spacing w:after="0" w:line="174" w:lineRule="exact"/>
        <w:rPr>
          <w:sz w:val="20"/>
          <w:szCs w:val="20"/>
          <w:color w:val="auto"/>
        </w:rPr>
      </w:pPr>
    </w:p>
    <w:p>
      <w:pPr>
        <w:ind w:left="240" w:hanging="235"/>
        <w:spacing w:after="0"/>
        <w:tabs>
          <w:tab w:leader="none" w:pos="24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Duties of the Employee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r>
        <w:rPr>
          <w:rFonts w:ascii="Arial" w:cs="Arial" w:eastAsia="Arial" w:hAnsi="Arial"/>
          <w:sz w:val="21"/>
          <w:szCs w:val="21"/>
          <w:b w:val="1"/>
          <w:bCs w:val="1"/>
          <w:color w:val="auto"/>
        </w:rPr>
        <w:t>Nature of the work to supply/function:</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Director, Medical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r>
        <w:rPr>
          <w:rFonts w:ascii="Arial" w:cs="Arial" w:eastAsia="Arial" w:hAnsi="Arial"/>
          <w:sz w:val="21"/>
          <w:szCs w:val="21"/>
          <w:b w:val="1"/>
          <w:bCs w:val="1"/>
          <w:color w:val="auto"/>
        </w:rPr>
        <w:t>Place of work</w:t>
      </w:r>
    </w:p>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place of work is the home office of the Employee or as requested by the Assignment Company or Employer or such other location in Switzerland as the Employee may decide. It is communicated to the Employee in due course by a written amendment being an integral part of the</w:t>
      </w:r>
    </w:p>
    <w:p>
      <w:pPr>
        <w:spacing w:after="0" w:line="113" w:lineRule="exact"/>
        <w:rPr>
          <w:sz w:val="20"/>
          <w:szCs w:val="20"/>
          <w:color w:val="auto"/>
        </w:rPr>
      </w:pPr>
    </w:p>
    <w:p>
      <w:pPr>
        <w:sectPr>
          <w:pgSz w:w="11900" w:h="16838" w:orient="portrait"/>
          <w:cols w:equalWidth="0" w:num="2">
            <w:col w:w="5400" w:space="340"/>
            <w:col w:w="5500"/>
          </w:cols>
          <w:pgMar w:left="320" w:top="1440" w:right="339" w:bottom="1440" w:gutter="0" w:footer="0" w:header="0"/>
        </w:sectPr>
      </w:pPr>
    </w:p>
    <w:p>
      <w:pPr>
        <w:jc w:val="center"/>
        <w:ind w:right="20"/>
        <w:spacing w:after="0"/>
        <w:rPr>
          <w:sz w:val="20"/>
          <w:szCs w:val="20"/>
          <w:color w:val="auto"/>
        </w:rPr>
      </w:pPr>
      <w:r>
        <w:rPr>
          <w:rFonts w:ascii="Arial" w:cs="Arial" w:eastAsia="Arial" w:hAnsi="Arial"/>
          <w:sz w:val="16"/>
          <w:szCs w:val="16"/>
          <w:color w:val="0000FF"/>
        </w:rPr>
        <w:t>GLOBALIZATION PARTNERS SWITZERLAND SA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12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9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9" w:name="page170"/>
    <w:bookmarkEnd w:id="169"/>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intégrante du contrat. Le Travailleur est tenu d’accepter la mission qui lui est assignée.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3.3.Horaire de travail</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Le temps de travail normal est de 40 heures par semaine.</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La répartition des heures de travail est convenue oralement.</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3.4.Devoir de diligence</w:t>
      </w:r>
    </w:p>
    <w:p>
      <w:pPr>
        <w:spacing w:after="0" w:line="20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Le Travailleur s’engage à accomplir avec diligence et conscience les tâches que lui confie l’entreprise de mission.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3.5.Directives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Le Travailleur observe les directives de l’Employeur et de l’entreprise de mission. Pendant la mission, il se conforme aux usages et au règlement de l’entreprise de mission.</w:t>
      </w:r>
    </w:p>
    <w:p>
      <w:pPr>
        <w:spacing w:after="0" w:line="174" w:lineRule="exact"/>
        <w:rPr>
          <w:sz w:val="20"/>
          <w:szCs w:val="20"/>
          <w:color w:val="auto"/>
        </w:rPr>
      </w:pPr>
    </w:p>
    <w:p>
      <w:pPr>
        <w:ind w:left="240" w:hanging="232"/>
        <w:spacing w:after="0"/>
        <w:tabs>
          <w:tab w:leader="none" w:pos="24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Disposition complémentaire</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Les articles 319 ss de la loi fédérale du 30 mars 1911 complétant le Code civil suisse (Livre cinquième: Droit des obligations), la loi fédérale du 13 mars 1964 sur le travail dans l’industrie, l’artisanat et le commerce (loi sur le travail), la loi fédérale du 6 octobre 1989 sur le service de l’emploi et la location de services, la loi fédérale du 28 septembre 1956 permettant d’étendre le champ d’application de la convention collective de travail, ainsi que le code de procédure civile suisse (CPC) du 19 décembre 2008 s’appliquent à toutes les questions non réglées dans le présent contrat.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contract. The Employee is bound to accept the assignment assigned to him/her.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-826770</wp:posOffset>
            </wp:positionV>
            <wp:extent cx="831215" cy="3600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6">
                      <a:extLst>
                        <a:ext uri="{28A0092B-C50C-407E-A947-70E740481C1C}"/>
                      </a:extLst>
                    </a:blip>
                    <a:srcRect/>
                    <a:stretch>
                      <a:fillRect/>
                    </a:stretch>
                  </pic:blipFill>
                  <pic:spPr bwMode="auto">
                    <a:xfrm>
                      <a:off x="0" y="0"/>
                      <a:ext cx="831215" cy="36004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r>
        <w:rPr>
          <w:rFonts w:ascii="Arial" w:cs="Arial" w:eastAsia="Arial" w:hAnsi="Arial"/>
          <w:sz w:val="21"/>
          <w:szCs w:val="21"/>
          <w:b w:val="1"/>
          <w:bCs w:val="1"/>
          <w:color w:val="auto"/>
        </w:rPr>
        <w:t>Working hours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working hours are 40 weekly hours. The distribution of the working hours is agreed verbally.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w:t>
      </w:r>
      <w:r>
        <w:rPr>
          <w:rFonts w:ascii="Arial" w:cs="Arial" w:eastAsia="Arial" w:hAnsi="Arial"/>
          <w:sz w:val="21"/>
          <w:szCs w:val="21"/>
          <w:b w:val="1"/>
          <w:bCs w:val="1"/>
          <w:color w:val="auto"/>
        </w:rPr>
        <w:t>Due care</w:t>
      </w:r>
    </w:p>
    <w:p>
      <w:pPr>
        <w:spacing w:after="0" w:line="219"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Employee undertakes to fulfil the tasks entrusted to him/her by the assignment company with due care and awareness.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w:t>
      </w:r>
      <w:r>
        <w:rPr>
          <w:rFonts w:ascii="Arial" w:cs="Arial" w:eastAsia="Arial" w:hAnsi="Arial"/>
          <w:sz w:val="21"/>
          <w:szCs w:val="21"/>
          <w:b w:val="1"/>
          <w:bCs w:val="1"/>
          <w:color w:val="auto"/>
        </w:rPr>
        <w:t>Directives</w:t>
      </w:r>
    </w:p>
    <w:p>
      <w:pPr>
        <w:spacing w:after="0" w:line="21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Employee observes the directives of the Employer and the Assignment Company. During the assignment, he/she complies with the uses and regulations of the Assignment Company.</w:t>
      </w:r>
    </w:p>
    <w:p>
      <w:pPr>
        <w:spacing w:after="0" w:line="174" w:lineRule="exact"/>
        <w:rPr>
          <w:sz w:val="20"/>
          <w:szCs w:val="20"/>
          <w:color w:val="auto"/>
        </w:rPr>
      </w:pPr>
    </w:p>
    <w:p>
      <w:pPr>
        <w:ind w:left="240" w:hanging="235"/>
        <w:spacing w:after="0"/>
        <w:tabs>
          <w:tab w:leader="none" w:pos="24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Additional provisions</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Articles 319 ss of the Federal law of the 30 March 1911 supplementing the Swiss Civil Code (fifth volume: Law of Obligations), the Federal Law of the 13 March 1964 on work in industry, crafts and trade (Labour Law), the Federal Law of the 6 October 1989 on employment service and labour leasing, the Federal law of the 28 September 1956 allowing the scope of application of the collective bargaining agreement to be extended, as well as the Swiss Code of Civil Procedure (CCP) of the 19 December 2008 apply to all questions not answered in this contract.</w:t>
      </w:r>
    </w:p>
    <w:p>
      <w:pPr>
        <w:spacing w:after="0" w:line="107" w:lineRule="exact"/>
        <w:rPr>
          <w:sz w:val="20"/>
          <w:szCs w:val="20"/>
          <w:color w:val="auto"/>
        </w:rPr>
      </w:pPr>
    </w:p>
    <w:p>
      <w:pPr>
        <w:sectPr>
          <w:pgSz w:w="11900" w:h="16838" w:orient="portrait"/>
          <w:cols w:equalWidth="0" w:num="2">
            <w:col w:w="5400" w:space="340"/>
            <w:col w:w="5500"/>
          </w:cols>
          <w:pgMar w:left="320" w:top="1440" w:right="339" w:bottom="1440" w:gutter="0" w:footer="0" w:header="0"/>
        </w:sectPr>
      </w:pPr>
    </w:p>
    <w:p>
      <w:pPr>
        <w:jc w:val="center"/>
        <w:ind w:right="20"/>
        <w:spacing w:after="0"/>
        <w:rPr>
          <w:sz w:val="20"/>
          <w:szCs w:val="20"/>
          <w:color w:val="auto"/>
        </w:rPr>
      </w:pPr>
      <w:r>
        <w:rPr>
          <w:rFonts w:ascii="Arial" w:cs="Arial" w:eastAsia="Arial" w:hAnsi="Arial"/>
          <w:sz w:val="16"/>
          <w:szCs w:val="16"/>
          <w:color w:val="0000FF"/>
        </w:rPr>
        <w:t>GLOBALIZATION PARTNERS SWITZERLAND SA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04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10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0" w:name="page171"/>
    <w:bookmarkEnd w:id="170"/>
    <w:p>
      <w:pPr>
        <w:spacing w:after="0" w:line="33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Les deux parties sont au courant que l’entreprise de mission peut avoir un intérêt légitime à conclure certains contrats avec le Travailleur, notamment en matière de propriété intellectuelle. Si l'Employeur consent par écrit</w:t>
      </w:r>
    </w:p>
    <w:p>
      <w:pPr>
        <w:spacing w:after="0" w:line="2" w:lineRule="exact"/>
        <w:rPr>
          <w:sz w:val="20"/>
          <w:szCs w:val="20"/>
          <w:color w:val="auto"/>
        </w:rPr>
      </w:pPr>
    </w:p>
    <w:p>
      <w:pPr>
        <w:jc w:val="both"/>
        <w:ind w:firstLine="8"/>
        <w:spacing w:after="0" w:line="252" w:lineRule="auto"/>
        <w:tabs>
          <w:tab w:leader="none" w:pos="242" w:val="left"/>
        </w:tabs>
        <w:numPr>
          <w:ilvl w:val="0"/>
          <w:numId w:val="88"/>
        </w:numPr>
        <w:rPr>
          <w:rFonts w:ascii="Arial" w:cs="Arial" w:eastAsia="Arial" w:hAnsi="Arial"/>
          <w:sz w:val="21"/>
          <w:szCs w:val="21"/>
          <w:color w:val="auto"/>
        </w:rPr>
      </w:pPr>
      <w:r>
        <w:rPr>
          <w:rFonts w:ascii="Arial" w:cs="Arial" w:eastAsia="Arial" w:hAnsi="Arial"/>
          <w:sz w:val="21"/>
          <w:szCs w:val="21"/>
          <w:color w:val="auto"/>
        </w:rPr>
        <w:t>de tels contrats, il renonce du même coup à ses droits, le cas échéant, en tant qu'Employeur à l'encontre de l'employé en rapport avec l'objet de ces contrats.</w:t>
      </w:r>
    </w:p>
    <w:p>
      <w:pPr>
        <w:spacing w:after="0" w:line="162" w:lineRule="exact"/>
        <w:rPr>
          <w:sz w:val="20"/>
          <w:szCs w:val="20"/>
          <w:color w:val="auto"/>
        </w:rPr>
      </w:pPr>
    </w:p>
    <w:p>
      <w:pPr>
        <w:ind w:left="240" w:hanging="232"/>
        <w:spacing w:after="0"/>
        <w:tabs>
          <w:tab w:leader="none" w:pos="24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Confidentialité – Non divulgation</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Le Travailleur reconnaît que son engagement par la Société établira entre eux une relation de confiance, et que l’utilisation ou la divulgation non autorisée de renseignements confidentiels concernant la Société, le groupe G-P, ou des sociétés affiliées existantes ou à créer, ou la clientèle, relatifs aux affaires de celles-ci, à leurs clients, leurs fournisseurs, leurs services, ou à leurs méthodes de travail pourrait porter préjudice à la Société.</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22"/>
          <w:szCs w:val="22"/>
          <w:color w:val="auto"/>
        </w:rPr>
        <w:t>Le Travailleur s’engage à conserver strictement confidentiel des documents, données et informations, sous quelque forme que ce soit, notamment ceux concernant:</w:t>
      </w:r>
    </w:p>
    <w:p>
      <w:pPr>
        <w:spacing w:after="0" w:line="68" w:lineRule="exact"/>
        <w:rPr>
          <w:sz w:val="20"/>
          <w:szCs w:val="20"/>
          <w:color w:val="auto"/>
        </w:rPr>
      </w:pPr>
    </w:p>
    <w:p>
      <w:pPr>
        <w:jc w:val="both"/>
        <w:ind w:firstLine="8"/>
        <w:spacing w:after="0"/>
        <w:tabs>
          <w:tab w:leader="none" w:pos="154" w:val="left"/>
        </w:tabs>
        <w:numPr>
          <w:ilvl w:val="0"/>
          <w:numId w:val="90"/>
        </w:numPr>
        <w:rPr>
          <w:rFonts w:ascii="Arial" w:cs="Arial" w:eastAsia="Arial" w:hAnsi="Arial"/>
          <w:sz w:val="22"/>
          <w:szCs w:val="22"/>
          <w:color w:val="auto"/>
        </w:rPr>
      </w:pPr>
      <w:r>
        <w:rPr>
          <w:rFonts w:ascii="Arial" w:cs="Arial" w:eastAsia="Arial" w:hAnsi="Arial"/>
          <w:sz w:val="22"/>
          <w:szCs w:val="22"/>
          <w:color w:val="auto"/>
        </w:rPr>
        <w:t>la situation économique et financière de la Société et de son groupe ou de la clientèle, les actions de vente, marketing et de publicité, les secrets commerciaux de la Société et de son groupe ou de la clientèle,</w:t>
      </w:r>
    </w:p>
    <w:p>
      <w:pPr>
        <w:spacing w:after="0" w:line="68" w:lineRule="exact"/>
        <w:rPr>
          <w:rFonts w:ascii="Arial" w:cs="Arial" w:eastAsia="Arial" w:hAnsi="Arial"/>
          <w:sz w:val="22"/>
          <w:szCs w:val="22"/>
          <w:color w:val="auto"/>
        </w:rPr>
      </w:pPr>
    </w:p>
    <w:p>
      <w:pPr>
        <w:jc w:val="both"/>
        <w:ind w:firstLine="8"/>
        <w:spacing w:after="0"/>
        <w:tabs>
          <w:tab w:leader="none" w:pos="199" w:val="left"/>
        </w:tabs>
        <w:numPr>
          <w:ilvl w:val="0"/>
          <w:numId w:val="90"/>
        </w:numPr>
        <w:rPr>
          <w:rFonts w:ascii="Arial" w:cs="Arial" w:eastAsia="Arial" w:hAnsi="Arial"/>
          <w:sz w:val="22"/>
          <w:szCs w:val="22"/>
          <w:color w:val="auto"/>
        </w:rPr>
      </w:pPr>
      <w:r>
        <w:rPr>
          <w:rFonts w:ascii="Arial" w:cs="Arial" w:eastAsia="Arial" w:hAnsi="Arial"/>
          <w:sz w:val="22"/>
          <w:szCs w:val="22"/>
          <w:color w:val="auto"/>
        </w:rPr>
        <w:t>les processus confidentiels, techniques, secrets de fabrication, savoir-faire, brevets, marques, méthodes,</w:t>
      </w:r>
    </w:p>
    <w:p>
      <w:pPr>
        <w:spacing w:after="0"/>
        <w:tabs>
          <w:tab w:leader="none" w:pos="1160" w:val="left"/>
          <w:tab w:leader="none" w:pos="2260" w:val="left"/>
          <w:tab w:leader="none" w:pos="4560" w:val="left"/>
        </w:tabs>
        <w:rPr>
          <w:sz w:val="20"/>
          <w:szCs w:val="20"/>
          <w:color w:val="auto"/>
        </w:rPr>
      </w:pPr>
      <w:r>
        <w:rPr>
          <w:rFonts w:ascii="Arial" w:cs="Arial" w:eastAsia="Arial" w:hAnsi="Arial"/>
          <w:sz w:val="22"/>
          <w:szCs w:val="22"/>
          <w:color w:val="auto"/>
        </w:rPr>
        <w:t>systèmes,</w:t>
        <w:tab/>
        <w:t>capacités</w:t>
        <w:tab/>
        <w:t>opérationnelles,</w:t>
      </w:r>
      <w:r>
        <w:rPr>
          <w:sz w:val="20"/>
          <w:szCs w:val="20"/>
          <w:color w:val="auto"/>
        </w:rPr>
        <w:tab/>
      </w:r>
      <w:r>
        <w:rPr>
          <w:rFonts w:ascii="Arial" w:cs="Arial" w:eastAsia="Arial" w:hAnsi="Arial"/>
          <w:sz w:val="21"/>
          <w:szCs w:val="21"/>
          <w:color w:val="auto"/>
        </w:rPr>
        <w:t>logiciels,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matériel, informatique,</w:t>
      </w:r>
    </w:p>
    <w:p>
      <w:pPr>
        <w:spacing w:after="0" w:line="78" w:lineRule="exact"/>
        <w:rPr>
          <w:sz w:val="20"/>
          <w:szCs w:val="20"/>
          <w:color w:val="auto"/>
        </w:rPr>
      </w:pPr>
    </w:p>
    <w:p>
      <w:pPr>
        <w:ind w:firstLine="8"/>
        <w:spacing w:after="0" w:line="259" w:lineRule="auto"/>
        <w:tabs>
          <w:tab w:leader="none" w:pos="179" w:val="left"/>
        </w:tabs>
        <w:numPr>
          <w:ilvl w:val="0"/>
          <w:numId w:val="91"/>
        </w:numPr>
        <w:rPr>
          <w:rFonts w:ascii="Arial" w:cs="Arial" w:eastAsia="Arial" w:hAnsi="Arial"/>
          <w:sz w:val="22"/>
          <w:szCs w:val="22"/>
          <w:color w:val="auto"/>
        </w:rPr>
      </w:pPr>
      <w:r>
        <w:rPr>
          <w:rFonts w:ascii="Arial" w:cs="Arial" w:eastAsia="Arial" w:hAnsi="Arial"/>
          <w:sz w:val="22"/>
          <w:szCs w:val="22"/>
          <w:color w:val="auto"/>
        </w:rPr>
        <w:t>les activités de recherche, développement, création, création de logiciel, inventions,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Both parties understand that the assignment company may have a legitimate interest in entering certain contracts with the employee, in particular regarding intellectual property. Provided the employer consents in writing to such contracts, the employer waives its rights, if any, as an employer against the employee pertaining to the subject-matter of these such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-1722755</wp:posOffset>
            </wp:positionV>
            <wp:extent cx="831215" cy="3600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9">
                      <a:extLst>
                        <a:ext uri="{28A0092B-C50C-407E-A947-70E740481C1C}"/>
                      </a:extLst>
                    </a:blip>
                    <a:srcRect/>
                    <a:stretch>
                      <a:fillRect/>
                    </a:stretch>
                  </pic:blipFill>
                  <pic:spPr bwMode="auto">
                    <a:xfrm>
                      <a:off x="0" y="0"/>
                      <a:ext cx="831215" cy="360045"/>
                    </a:xfrm>
                    <a:prstGeom prst="rect">
                      <a:avLst/>
                    </a:prstGeom>
                    <a:noFill/>
                  </pic:spPr>
                </pic:pic>
              </a:graphicData>
            </a:graphic>
          </wp:anchor>
        </w:drawing>
      </w:r>
    </w:p>
    <w:p>
      <w:pPr>
        <w:spacing w:after="0" w:line="154" w:lineRule="exact"/>
        <w:rPr>
          <w:sz w:val="20"/>
          <w:szCs w:val="20"/>
          <w:color w:val="auto"/>
        </w:rPr>
      </w:pPr>
    </w:p>
    <w:p>
      <w:pPr>
        <w:ind w:left="240" w:hanging="235"/>
        <w:spacing w:after="0"/>
        <w:tabs>
          <w:tab w:leader="none" w:pos="24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Confidentiality – Non disclosure</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Employee acknowledges that his engagement by the Company will establish a relationship of trust and that the unauthorized use or disclosure of confidential information about the Company, the G-P group, or existing or future affiliated companies, or the clientele, relating to the business thereof, that of their clients, suppliers, services or work methods may be harmful to the Company.</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Employee agrees to keep strictly confidential documents, data and information in any form including those relating: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firstLine="5"/>
        <w:spacing w:after="0"/>
        <w:tabs>
          <w:tab w:leader="none" w:pos="152"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the economic and financial position of the Company and its group or the clientele, the sales, marketing and advertising actions, business secrets, of the Company and its group or the clientele,</w:t>
      </w:r>
    </w:p>
    <w:p>
      <w:pPr>
        <w:spacing w:after="0" w:line="68" w:lineRule="exact"/>
        <w:rPr>
          <w:rFonts w:ascii="Arial" w:cs="Arial" w:eastAsia="Arial" w:hAnsi="Arial"/>
          <w:sz w:val="22"/>
          <w:szCs w:val="22"/>
          <w:color w:val="auto"/>
        </w:rPr>
      </w:pPr>
    </w:p>
    <w:p>
      <w:pPr>
        <w:jc w:val="both"/>
        <w:ind w:right="20" w:firstLine="5"/>
        <w:spacing w:after="0" w:line="245" w:lineRule="auto"/>
        <w:tabs>
          <w:tab w:leader="none" w:pos="235"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confidential, technical processes, manufacturing secrets, know how, patents, brands, methods, systems, operational capabilities, software, hardware,</w:t>
      </w:r>
    </w:p>
    <w:p>
      <w:pPr>
        <w:spacing w:after="0" w:line="62" w:lineRule="exact"/>
        <w:rPr>
          <w:rFonts w:ascii="Arial" w:cs="Arial" w:eastAsia="Arial" w:hAnsi="Arial"/>
          <w:sz w:val="22"/>
          <w:szCs w:val="22"/>
          <w:color w:val="auto"/>
        </w:rPr>
      </w:pPr>
    </w:p>
    <w:p>
      <w:pPr>
        <w:ind w:firstLine="5"/>
        <w:spacing w:after="0" w:line="259" w:lineRule="auto"/>
        <w:tabs>
          <w:tab w:leader="none" w:pos="215"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research and development work, creation work, software development, inventions,</w:t>
      </w:r>
    </w:p>
    <w:p>
      <w:pPr>
        <w:spacing w:after="0" w:line="329" w:lineRule="exact"/>
        <w:rPr>
          <w:sz w:val="20"/>
          <w:szCs w:val="20"/>
          <w:color w:val="auto"/>
        </w:rPr>
      </w:pPr>
    </w:p>
    <w:p>
      <w:pPr>
        <w:sectPr>
          <w:pgSz w:w="11900" w:h="16838" w:orient="portrait"/>
          <w:cols w:equalWidth="0" w:num="2">
            <w:col w:w="5400" w:space="340"/>
            <w:col w:w="5500"/>
          </w:cols>
          <w:pgMar w:left="320" w:top="1440" w:right="339" w:bottom="1440" w:gutter="0" w:footer="0" w:header="0"/>
        </w:sectPr>
      </w:pPr>
    </w:p>
    <w:p>
      <w:pPr>
        <w:jc w:val="center"/>
        <w:ind w:right="20"/>
        <w:spacing w:after="0"/>
        <w:rPr>
          <w:sz w:val="20"/>
          <w:szCs w:val="20"/>
          <w:color w:val="auto"/>
        </w:rPr>
      </w:pPr>
      <w:r>
        <w:rPr>
          <w:rFonts w:ascii="Arial" w:cs="Arial" w:eastAsia="Arial" w:hAnsi="Arial"/>
          <w:sz w:val="16"/>
          <w:szCs w:val="16"/>
          <w:color w:val="0000FF"/>
        </w:rPr>
        <w:t>GLOBALIZATION PARTNERS SWITZERLAND SA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04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11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1" w:name="page172"/>
    <w:bookmarkEnd w:id="171"/>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appareils, découvertes, concepts, idées, formules, ainsi que toute amélioration ou modification de ceux-ci,</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 les listes de clients,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présents et à venir de la Société, du Groupe et de ses sociétés affiliées ainsi que de la clientèle.</w:t>
      </w:r>
    </w:p>
    <w:p>
      <w:pPr>
        <w:spacing w:after="0" w:line="48" w:lineRule="exact"/>
        <w:rPr>
          <w:sz w:val="20"/>
          <w:szCs w:val="20"/>
          <w:color w:val="auto"/>
        </w:rPr>
      </w:pPr>
    </w:p>
    <w:p>
      <w:pPr>
        <w:jc w:val="both"/>
        <w:spacing w:after="0"/>
        <w:rPr>
          <w:sz w:val="20"/>
          <w:szCs w:val="20"/>
          <w:color w:val="auto"/>
        </w:rPr>
      </w:pPr>
      <w:r>
        <w:rPr>
          <w:rFonts w:ascii="Arial" w:cs="Arial" w:eastAsia="Arial" w:hAnsi="Arial"/>
          <w:sz w:val="22"/>
          <w:szCs w:val="22"/>
          <w:color w:val="auto"/>
        </w:rPr>
        <w:t>Le Travailleur s’engage formellement à ne pas utiliser ni divulguer à qui que ce soit, de tels documents, données ou informations, en dehors de ce qui lui est nécessaire pour l’exercice de ses fonctions.</w:t>
      </w:r>
    </w:p>
    <w:p>
      <w:pPr>
        <w:spacing w:after="0" w:line="6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Le Travailleur s’engage à respecter scrupuleusement cette obligation de secret, de confidentialité et de discrétion pendant toute la durée de son engagement, et dix ans après la rupture du présent contrat, quelle qu’en soit la cause.</w:t>
      </w:r>
    </w:p>
    <w:p>
      <w:pPr>
        <w:spacing w:after="0" w:line="69"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Le Travailleur s’engage </w:t>
      </w:r>
      <w:r>
        <w:rPr>
          <w:rFonts w:ascii="Arial" w:cs="Arial" w:eastAsia="Arial" w:hAnsi="Arial"/>
          <w:sz w:val="22"/>
          <w:szCs w:val="22"/>
          <w:i w:val="1"/>
          <w:iCs w:val="1"/>
          <w:color w:val="auto"/>
        </w:rPr>
        <w:t>a fortiori</w:t>
      </w:r>
      <w:r>
        <w:rPr>
          <w:rFonts w:ascii="Arial" w:cs="Arial" w:eastAsia="Arial" w:hAnsi="Arial"/>
          <w:sz w:val="22"/>
          <w:szCs w:val="22"/>
          <w:color w:val="auto"/>
        </w:rPr>
        <w:t xml:space="preserve"> à ne pas utiliser ces connaissances à son profit, et se déclare à cet effet lié par le secret professionnel le plus absolu.</w:t>
      </w:r>
    </w:p>
    <w:p>
      <w:pPr>
        <w:spacing w:after="0" w:line="6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Le Travailleur a pris connaissance à la signature du présent contrat, des pénalités encourues, notamment aux termes de l’article 162 du Code Pénal Suisse.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machines, discoveries, concepts, ideas, formulas, as well as any improvement thereof or change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-826770</wp:posOffset>
            </wp:positionV>
            <wp:extent cx="831215" cy="3600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2">
                      <a:extLst>
                        <a:ext uri="{28A0092B-C50C-407E-A947-70E740481C1C}"/>
                      </a:extLst>
                    </a:blip>
                    <a:srcRect/>
                    <a:stretch>
                      <a:fillRect/>
                    </a:stretch>
                  </pic:blipFill>
                  <pic:spPr bwMode="auto">
                    <a:xfrm>
                      <a:off x="0" y="0"/>
                      <a:ext cx="831215" cy="3600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 Client lists,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whether present or future, of the Company, the Group and its affiliated companies as well as the clientele.</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The Employee formally agrees not to use or disclose to anyone any such documents, data or information, except as absolutely required for the performance of his duties.</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Employee agrees to comply with this secrecy, confidentiality and discretion clause throughout the term of this contract and ten years after the termination thereof, whatever the cause thereof.</w:t>
      </w:r>
    </w:p>
    <w:p>
      <w:pPr>
        <w:spacing w:after="0" w:line="6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Employee agrees additionally not to use such knowledge for his own profit, and states that he is bound for that purpose by utmost secrecy.</w:t>
      </w:r>
    </w:p>
    <w:p>
      <w:pPr>
        <w:spacing w:after="0" w:line="6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Employee is aware upon executing this contract, of penalties incurred, including under section 162 of the Swiss Criminal Code.</w:t>
      </w:r>
    </w:p>
    <w:p>
      <w:pPr>
        <w:spacing w:after="0" w:line="653" w:lineRule="exact"/>
        <w:rPr>
          <w:sz w:val="20"/>
          <w:szCs w:val="20"/>
          <w:color w:val="auto"/>
        </w:rPr>
      </w:pPr>
    </w:p>
    <w:p>
      <w:pPr>
        <w:sectPr>
          <w:pgSz w:w="11900" w:h="16838" w:orient="portrait"/>
          <w:cols w:equalWidth="0" w:num="2">
            <w:col w:w="5400" w:space="340"/>
            <w:col w:w="5500"/>
          </w:cols>
          <w:pgMar w:left="320" w:top="1440" w:right="339" w:bottom="1440" w:gutter="0" w:footer="0" w:header="0"/>
        </w:sectPr>
      </w:pPr>
    </w:p>
    <w:p>
      <w:pPr>
        <w:ind w:left="240" w:hanging="232"/>
        <w:spacing w:after="0"/>
        <w:tabs>
          <w:tab w:leader="none" w:pos="24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Dispositions diverses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Le Travailleur s’engage à faire connaître à la Société toute modification dans sa situation personnelle pouvant avoir des conséquences dans la gestion de son dossier social (adresse, situation familiale, etc.).</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22"/>
          <w:szCs w:val="22"/>
          <w:color w:val="auto"/>
        </w:rPr>
        <w:t>Le Travailleur reconnaît expressément que le présent Contrat annule et remplace toute offre d’emploi ou contrat de travail ou autre document contractuel signé antérieurement avec la Société,</w:t>
      </w:r>
    </w:p>
    <w:p>
      <w:pPr>
        <w:spacing w:after="0" w:line="20" w:lineRule="exact"/>
        <w:rPr>
          <w:sz w:val="20"/>
          <w:szCs w:val="20"/>
          <w:color w:val="auto"/>
        </w:rPr>
      </w:pPr>
      <w:r>
        <w:rPr>
          <w:sz w:val="20"/>
          <w:szCs w:val="20"/>
          <w:color w:val="auto"/>
        </w:rPr>
        <w:br w:type="column"/>
      </w:r>
    </w:p>
    <w:p>
      <w:pPr>
        <w:ind w:left="240" w:hanging="235"/>
        <w:spacing w:after="0"/>
        <w:tabs>
          <w:tab w:leader="none" w:pos="24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Various provisions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Employee agrees to inform the Company of any change in his personal situation that could have consequences on the handling of his employee file (address, marital or family status, etc.).</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Employee formally recognises that this Contract supersedes any offer of employment, employment contract or other contractual</w:t>
      </w:r>
    </w:p>
    <w:p>
      <w:pPr>
        <w:spacing w:after="0" w:line="345" w:lineRule="exact"/>
        <w:rPr>
          <w:sz w:val="20"/>
          <w:szCs w:val="20"/>
          <w:color w:val="auto"/>
        </w:rPr>
      </w:pPr>
    </w:p>
    <w:p>
      <w:pPr>
        <w:sectPr>
          <w:pgSz w:w="11900" w:h="16838" w:orient="portrait"/>
          <w:cols w:equalWidth="0" w:num="2">
            <w:col w:w="5400" w:space="340"/>
            <w:col w:w="5500"/>
          </w:cols>
          <w:pgMar w:left="320" w:top="1440" w:right="3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0000FF"/>
        </w:rPr>
        <w:t>GLOBALIZATION PARTNERS SWITZERLAND SA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04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12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2" w:name="page173"/>
    <w:bookmarkEnd w:id="172"/>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sa société mère ou l’une quelconque de ses sociétés affiliées.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22"/>
          <w:szCs w:val="22"/>
          <w:color w:val="auto"/>
        </w:rPr>
        <w:t>Le Travailleur déclare formellement être libre de tout engagement vis-à-vis de tout autre Employeur, et notamment ne pas supporter d’obligation spécifique en matière de non-concurrence.</w:t>
      </w:r>
    </w:p>
    <w:p>
      <w:pPr>
        <w:spacing w:after="0" w:line="174" w:lineRule="exact"/>
        <w:rPr>
          <w:sz w:val="20"/>
          <w:szCs w:val="20"/>
          <w:color w:val="auto"/>
        </w:rPr>
      </w:pPr>
    </w:p>
    <w:p>
      <w:pPr>
        <w:ind w:left="240" w:hanging="232"/>
        <w:spacing w:after="0"/>
        <w:tabs>
          <w:tab w:leader="none" w:pos="24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Lieu de juridiction</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Le tribunal du domicile ou du siège du défendeur ou celui du lieu où le Travailleur exerce habituellement son activité professionnelle est compétent pour statuer sur les actions relevant du droit du travail (art. 34, al. 1, CPC). Est en outre compétent pour statuer sur les actions de Travailleurs relevant de la loi sur le service de l’emploi le tribunal du lieu de l’établissement commercial du bailleur de services avec lequel le contrat a été conclu (art. 34, al. 2, CPC).</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Ce contrat est soumis exclusivement au droit matériel suisse, à l’exclusion de ses règles de conflit de droit.</w:t>
      </w:r>
    </w:p>
    <w:p>
      <w:pPr>
        <w:spacing w:after="0" w:line="154" w:lineRule="exact"/>
        <w:rPr>
          <w:sz w:val="20"/>
          <w:szCs w:val="20"/>
          <w:color w:val="auto"/>
        </w:rPr>
      </w:pPr>
    </w:p>
    <w:p>
      <w:pPr>
        <w:ind w:left="240" w:hanging="232"/>
        <w:spacing w:after="0"/>
        <w:tabs>
          <w:tab w:leader="none" w:pos="240" w:val="left"/>
        </w:tabs>
        <w:numPr>
          <w:ilvl w:val="0"/>
          <w:numId w:val="97"/>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Langue</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La version définitive du présent contrat qui lie les Parties est la version française, la version anglaise de ce contrat n’étant fournie qu’à titre d’information. En cas de contradiction entre les versions française et anglaise, la version française prévaudra.</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document previously signed with the Company, its parent company or any other affiliated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-826770</wp:posOffset>
            </wp:positionV>
            <wp:extent cx="831215" cy="3600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5">
                      <a:extLst>
                        <a:ext uri="{28A0092B-C50C-407E-A947-70E740481C1C}"/>
                      </a:extLst>
                    </a:blip>
                    <a:srcRect/>
                    <a:stretch>
                      <a:fillRect/>
                    </a:stretch>
                  </pic:blipFill>
                  <pic:spPr bwMode="auto">
                    <a:xfrm>
                      <a:off x="0" y="0"/>
                      <a:ext cx="831215" cy="360045"/>
                    </a:xfrm>
                    <a:prstGeom prst="rect">
                      <a:avLst/>
                    </a:prstGeom>
                    <a:noFill/>
                  </pic:spPr>
                </pic:pic>
              </a:graphicData>
            </a:graphic>
          </wp:anchor>
        </w:drawing>
      </w:r>
    </w:p>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Employee hereby formally states that he is free from any undertaking towards another employer, including from any specific non-competition duty.</w:t>
      </w:r>
    </w:p>
    <w:p>
      <w:pPr>
        <w:spacing w:after="0" w:line="200" w:lineRule="exact"/>
        <w:rPr>
          <w:sz w:val="20"/>
          <w:szCs w:val="20"/>
          <w:color w:val="auto"/>
        </w:rPr>
      </w:pPr>
    </w:p>
    <w:p>
      <w:pPr>
        <w:spacing w:after="0" w:line="211" w:lineRule="exact"/>
        <w:rPr>
          <w:sz w:val="20"/>
          <w:szCs w:val="20"/>
          <w:color w:val="auto"/>
        </w:rPr>
      </w:pPr>
    </w:p>
    <w:p>
      <w:pPr>
        <w:ind w:left="240" w:hanging="235"/>
        <w:spacing w:after="0"/>
        <w:tabs>
          <w:tab w:leader="none" w:pos="240" w:val="left"/>
        </w:tabs>
        <w:numPr>
          <w:ilvl w:val="0"/>
          <w:numId w:val="98"/>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Place of jurisdiction and applicable law</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court of the place where the Employee usually carries out his/her work or the court of the place where the commercial establishment of the labour leasing company is situated (art. 34, al. 1, CPC) has jurisdiction over legal proceedings. The court of the place where the commercial establishment of the labour leasing company is situated (art. 34, al. 2, CPC) has jurisdiction over the legal proceedings brought by the Employee.</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This agreement is subjected exclusively to Swiss substantive law to the exclusion of its conflict of law rules.</w:t>
      </w:r>
    </w:p>
    <w:p>
      <w:pPr>
        <w:spacing w:after="0" w:line="168" w:lineRule="exact"/>
        <w:rPr>
          <w:sz w:val="20"/>
          <w:szCs w:val="20"/>
          <w:color w:val="auto"/>
        </w:rPr>
      </w:pPr>
    </w:p>
    <w:p>
      <w:pPr>
        <w:ind w:left="240" w:hanging="235"/>
        <w:spacing w:after="0"/>
        <w:tabs>
          <w:tab w:leader="none" w:pos="240" w:val="left"/>
        </w:tabs>
        <w:numPr>
          <w:ilvl w:val="0"/>
          <w:numId w:val="99"/>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Language</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definitive version of this contract that binds the Parties is the French language version, the English version being provided for information purposes only. In the event of a contradiction between the two versions, the French version shall prevail.</w:t>
      </w:r>
    </w:p>
    <w:p>
      <w:pPr>
        <w:spacing w:after="0" w:line="108" w:lineRule="exact"/>
        <w:rPr>
          <w:sz w:val="20"/>
          <w:szCs w:val="20"/>
          <w:color w:val="auto"/>
        </w:rPr>
      </w:pPr>
    </w:p>
    <w:p>
      <w:pPr>
        <w:sectPr>
          <w:pgSz w:w="11900" w:h="16838" w:orient="portrait"/>
          <w:cols w:equalWidth="0" w:num="2">
            <w:col w:w="5400" w:space="340"/>
            <w:col w:w="5500"/>
          </w:cols>
          <w:pgMar w:left="320" w:top="1440" w:right="339" w:bottom="1440" w:gutter="0" w:footer="0" w:header="0"/>
        </w:sectPr>
      </w:pPr>
    </w:p>
    <w:p>
      <w:pPr>
        <w:jc w:val="center"/>
        <w:ind w:right="20"/>
        <w:spacing w:after="0"/>
        <w:rPr>
          <w:sz w:val="20"/>
          <w:szCs w:val="20"/>
          <w:color w:val="auto"/>
        </w:rPr>
      </w:pPr>
      <w:r>
        <w:rPr>
          <w:rFonts w:ascii="Arial" w:cs="Arial" w:eastAsia="Arial" w:hAnsi="Arial"/>
          <w:sz w:val="16"/>
          <w:szCs w:val="16"/>
          <w:color w:val="0000FF"/>
        </w:rPr>
        <w:t>GLOBALIZATION PARTNERS SWITZERLAND SA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04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13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3" w:name="page174"/>
    <w:bookmarkEnd w:id="173"/>
    <w:p>
      <w:pPr>
        <w:spacing w:after="0" w:line="3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6508750</wp:posOffset>
            </wp:positionH>
            <wp:positionV relativeFrom="page">
              <wp:posOffset>509270</wp:posOffset>
            </wp:positionV>
            <wp:extent cx="831215" cy="3600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8">
                      <a:clrChange>
                        <a:clrFrom>
                          <a:srgbClr val="FFFFFF"/>
                        </a:clrFrom>
                        <a:clrTo>
                          <a:srgbClr val="FFFFFF">
                            <a:alpha val="0"/>
                          </a:srgbClr>
                        </a:clrTo>
                      </a:clrChange>
                      <a:extLst>
                        <a:ext uri="{28A0092B-C50C-407E-A947-70E740481C1C}"/>
                      </a:extLst>
                    </a:blip>
                    <a:srcRect/>
                    <a:stretch>
                      <a:fillRect/>
                    </a:stretch>
                  </pic:blipFill>
                  <pic:spPr bwMode="auto">
                    <a:xfrm>
                      <a:off x="0" y="0"/>
                      <a:ext cx="831215" cy="3600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5"/>
        </w:trPr>
        <w:tc>
          <w:tcPr>
            <w:tcW w:w="5400" w:type="dxa"/>
            <w:vAlign w:val="bottom"/>
          </w:tcPr>
          <w:p>
            <w:pPr>
              <w:spacing w:after="0"/>
              <w:rPr>
                <w:sz w:val="20"/>
                <w:szCs w:val="20"/>
                <w:color w:val="auto"/>
              </w:rPr>
            </w:pPr>
            <w:r>
              <w:rPr>
                <w:rFonts w:ascii="Arial" w:cs="Arial" w:eastAsia="Arial" w:hAnsi="Arial"/>
                <w:sz w:val="22"/>
                <w:szCs w:val="22"/>
                <w:color w:val="auto"/>
              </w:rPr>
              <w:t>Lieu et date:</w:t>
            </w:r>
          </w:p>
        </w:tc>
        <w:tc>
          <w:tcPr>
            <w:tcW w:w="5840" w:type="dxa"/>
            <w:vAlign w:val="bottom"/>
            <w:gridSpan w:val="2"/>
          </w:tcPr>
          <w:p>
            <w:pPr>
              <w:ind w:left="340"/>
              <w:spacing w:after="0"/>
              <w:rPr>
                <w:sz w:val="20"/>
                <w:szCs w:val="20"/>
                <w:color w:val="auto"/>
              </w:rPr>
            </w:pPr>
            <w:r>
              <w:rPr>
                <w:rFonts w:ascii="Arial" w:cs="Arial" w:eastAsia="Arial" w:hAnsi="Arial"/>
                <w:sz w:val="22"/>
                <w:szCs w:val="22"/>
                <w:color w:val="auto"/>
              </w:rPr>
              <w:t>Place and date:</w:t>
            </w:r>
          </w:p>
        </w:tc>
      </w:tr>
      <w:tr>
        <w:trPr>
          <w:trHeight w:val="177"/>
        </w:trPr>
        <w:tc>
          <w:tcPr>
            <w:tcW w:w="5400" w:type="dxa"/>
            <w:vAlign w:val="bottom"/>
          </w:tcPr>
          <w:p>
            <w:pPr>
              <w:ind w:left="3020"/>
              <w:spacing w:after="0" w:line="177" w:lineRule="exact"/>
              <w:rPr>
                <w:sz w:val="20"/>
                <w:szCs w:val="20"/>
                <w:color w:val="auto"/>
              </w:rPr>
            </w:pPr>
            <w:r>
              <w:rPr>
                <w:rFonts w:ascii="Arial" w:cs="Arial" w:eastAsia="Arial" w:hAnsi="Arial"/>
                <w:sz w:val="16"/>
                <w:szCs w:val="16"/>
                <w:color w:val="auto"/>
              </w:rPr>
              <w:t>03 March 2025 | 05:25 PST</w:t>
            </w:r>
          </w:p>
        </w:tc>
        <w:tc>
          <w:tcPr>
            <w:tcW w:w="340" w:type="dxa"/>
            <w:vAlign w:val="bottom"/>
          </w:tcPr>
          <w:p>
            <w:pPr>
              <w:spacing w:after="0"/>
              <w:rPr>
                <w:sz w:val="15"/>
                <w:szCs w:val="15"/>
                <w:color w:val="auto"/>
              </w:rPr>
            </w:pPr>
          </w:p>
        </w:tc>
        <w:tc>
          <w:tcPr>
            <w:tcW w:w="5500" w:type="dxa"/>
            <w:vAlign w:val="bottom"/>
          </w:tcPr>
          <w:p>
            <w:pPr>
              <w:jc w:val="right"/>
              <w:ind w:right="268"/>
              <w:spacing w:after="0" w:line="177" w:lineRule="exact"/>
              <w:rPr>
                <w:sz w:val="20"/>
                <w:szCs w:val="20"/>
                <w:color w:val="auto"/>
              </w:rPr>
            </w:pPr>
            <w:r>
              <w:rPr>
                <w:rFonts w:ascii="Arial" w:cs="Arial" w:eastAsia="Arial" w:hAnsi="Arial"/>
                <w:sz w:val="16"/>
                <w:szCs w:val="16"/>
                <w:color w:val="auto"/>
              </w:rPr>
              <w:t>03 March 2025 | 05:25 PST</w:t>
            </w:r>
          </w:p>
        </w:tc>
      </w:tr>
      <w:tr>
        <w:trPr>
          <w:trHeight w:val="283"/>
        </w:trPr>
        <w:tc>
          <w:tcPr>
            <w:tcW w:w="5400" w:type="dxa"/>
            <w:vAlign w:val="bottom"/>
          </w:tcPr>
          <w:p>
            <w:pPr>
              <w:spacing w:after="0"/>
              <w:rPr>
                <w:sz w:val="20"/>
                <w:szCs w:val="20"/>
                <w:color w:val="auto"/>
              </w:rPr>
            </w:pPr>
            <w:r>
              <w:rPr>
                <w:rFonts w:ascii="Arial" w:cs="Arial" w:eastAsia="Arial" w:hAnsi="Arial"/>
                <w:sz w:val="22"/>
                <w:szCs w:val="22"/>
                <w:color w:val="auto"/>
              </w:rPr>
              <w:t>spain,</w:t>
            </w:r>
          </w:p>
        </w:tc>
        <w:tc>
          <w:tcPr>
            <w:tcW w:w="5840" w:type="dxa"/>
            <w:vAlign w:val="bottom"/>
            <w:gridSpan w:val="2"/>
          </w:tcPr>
          <w:p>
            <w:pPr>
              <w:ind w:left="340"/>
              <w:spacing w:after="0"/>
              <w:rPr>
                <w:sz w:val="20"/>
                <w:szCs w:val="20"/>
                <w:color w:val="auto"/>
              </w:rPr>
            </w:pPr>
            <w:r>
              <w:rPr>
                <w:rFonts w:ascii="Arial" w:cs="Arial" w:eastAsia="Arial" w:hAnsi="Arial"/>
                <w:sz w:val="22"/>
                <w:szCs w:val="22"/>
                <w:color w:val="auto"/>
              </w:rPr>
              <w:t>spain,</w:t>
            </w:r>
          </w:p>
        </w:tc>
      </w:tr>
      <w:tr>
        <w:trPr>
          <w:trHeight w:val="337"/>
        </w:trPr>
        <w:tc>
          <w:tcPr>
            <w:tcW w:w="5400" w:type="dxa"/>
            <w:vAlign w:val="bottom"/>
          </w:tcPr>
          <w:p>
            <w:pPr>
              <w:spacing w:after="0"/>
              <w:rPr>
                <w:sz w:val="20"/>
                <w:szCs w:val="20"/>
                <w:color w:val="auto"/>
              </w:rPr>
            </w:pPr>
            <w:r>
              <w:rPr>
                <w:rFonts w:ascii="Arial" w:cs="Arial" w:eastAsia="Arial" w:hAnsi="Arial"/>
                <w:sz w:val="22"/>
                <w:szCs w:val="22"/>
                <w:color w:val="auto"/>
              </w:rPr>
              <w:t>/s/Valentina Pedroso</w:t>
            </w:r>
          </w:p>
        </w:tc>
        <w:tc>
          <w:tcPr>
            <w:tcW w:w="5840" w:type="dxa"/>
            <w:vAlign w:val="bottom"/>
            <w:gridSpan w:val="2"/>
          </w:tcPr>
          <w:p>
            <w:pPr>
              <w:ind w:left="340"/>
              <w:spacing w:after="0"/>
              <w:rPr>
                <w:sz w:val="20"/>
                <w:szCs w:val="20"/>
                <w:color w:val="auto"/>
              </w:rPr>
            </w:pPr>
            <w:r>
              <w:rPr>
                <w:rFonts w:ascii="Arial" w:cs="Arial" w:eastAsia="Arial" w:hAnsi="Arial"/>
                <w:sz w:val="22"/>
                <w:szCs w:val="22"/>
                <w:color w:val="auto"/>
              </w:rPr>
              <w:t>/s/Valentina Pedroso</w:t>
            </w:r>
          </w:p>
        </w:tc>
      </w:tr>
      <w:tr>
        <w:trPr>
          <w:trHeight w:val="277"/>
        </w:trPr>
        <w:tc>
          <w:tcPr>
            <w:tcW w:w="54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L’Employeur</w:t>
            </w:r>
          </w:p>
        </w:tc>
        <w:tc>
          <w:tcPr>
            <w:tcW w:w="340" w:type="dxa"/>
            <w:vAlign w:val="bottom"/>
          </w:tcPr>
          <w:p>
            <w:pPr>
              <w:spacing w:after="0"/>
              <w:rPr>
                <w:sz w:val="24"/>
                <w:szCs w:val="24"/>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The Employer</w:t>
            </w:r>
          </w:p>
        </w:tc>
      </w:tr>
      <w:tr>
        <w:trPr>
          <w:trHeight w:val="392"/>
        </w:trPr>
        <w:tc>
          <w:tcPr>
            <w:tcW w:w="5400" w:type="dxa"/>
            <w:vAlign w:val="bottom"/>
          </w:tcPr>
          <w:p>
            <w:pPr>
              <w:spacing w:after="0"/>
              <w:rPr>
                <w:sz w:val="20"/>
                <w:szCs w:val="20"/>
                <w:color w:val="auto"/>
              </w:rPr>
            </w:pPr>
            <w:r>
              <w:rPr>
                <w:rFonts w:ascii="Arial" w:cs="Arial" w:eastAsia="Arial" w:hAnsi="Arial"/>
                <w:sz w:val="22"/>
                <w:szCs w:val="22"/>
                <w:b w:val="1"/>
                <w:bCs w:val="1"/>
                <w:color w:val="auto"/>
              </w:rPr>
              <w:t>Globalization Partners Switzerland SA</w:t>
            </w:r>
          </w:p>
        </w:tc>
        <w:tc>
          <w:tcPr>
            <w:tcW w:w="5840" w:type="dxa"/>
            <w:vAlign w:val="bottom"/>
            <w:gridSpan w:val="2"/>
          </w:tcPr>
          <w:p>
            <w:pPr>
              <w:ind w:left="340"/>
              <w:spacing w:after="0"/>
              <w:rPr>
                <w:sz w:val="20"/>
                <w:szCs w:val="20"/>
                <w:color w:val="auto"/>
              </w:rPr>
            </w:pPr>
            <w:r>
              <w:rPr>
                <w:rFonts w:ascii="Arial" w:cs="Arial" w:eastAsia="Arial" w:hAnsi="Arial"/>
                <w:sz w:val="22"/>
                <w:szCs w:val="22"/>
                <w:b w:val="1"/>
                <w:bCs w:val="1"/>
                <w:color w:val="auto"/>
              </w:rPr>
              <w:t>Globalization Partners Switzerland SA</w:t>
            </w:r>
          </w:p>
        </w:tc>
      </w:tr>
      <w:tr>
        <w:trPr>
          <w:trHeight w:val="283"/>
        </w:trPr>
        <w:tc>
          <w:tcPr>
            <w:tcW w:w="5400" w:type="dxa"/>
            <w:vAlign w:val="bottom"/>
          </w:tcPr>
          <w:p>
            <w:pPr>
              <w:spacing w:after="0"/>
              <w:rPr>
                <w:sz w:val="20"/>
                <w:szCs w:val="20"/>
                <w:color w:val="auto"/>
              </w:rPr>
            </w:pPr>
            <w:r>
              <w:rPr>
                <w:rFonts w:ascii="Arial" w:cs="Arial" w:eastAsia="Arial" w:hAnsi="Arial"/>
                <w:sz w:val="22"/>
                <w:szCs w:val="22"/>
                <w:color w:val="auto"/>
              </w:rPr>
              <w:t>(Bailleur de services)</w:t>
            </w:r>
          </w:p>
        </w:tc>
        <w:tc>
          <w:tcPr>
            <w:tcW w:w="5840" w:type="dxa"/>
            <w:vAlign w:val="bottom"/>
            <w:gridSpan w:val="2"/>
          </w:tcPr>
          <w:p>
            <w:pPr>
              <w:ind w:left="340"/>
              <w:spacing w:after="0"/>
              <w:rPr>
                <w:sz w:val="20"/>
                <w:szCs w:val="20"/>
                <w:color w:val="auto"/>
              </w:rPr>
            </w:pPr>
            <w:r>
              <w:rPr>
                <w:rFonts w:ascii="Arial" w:cs="Arial" w:eastAsia="Arial" w:hAnsi="Arial"/>
                <w:sz w:val="22"/>
                <w:szCs w:val="22"/>
                <w:color w:val="auto"/>
              </w:rPr>
              <w:t>(Labour leasing company)</w:t>
            </w:r>
          </w:p>
        </w:tc>
      </w:tr>
      <w:tr>
        <w:trPr>
          <w:trHeight w:val="294"/>
        </w:trPr>
        <w:tc>
          <w:tcPr>
            <w:tcW w:w="5400" w:type="dxa"/>
            <w:vAlign w:val="bottom"/>
          </w:tcPr>
          <w:p>
            <w:pPr>
              <w:spacing w:after="0"/>
              <w:rPr>
                <w:sz w:val="20"/>
                <w:szCs w:val="20"/>
                <w:color w:val="auto"/>
              </w:rPr>
            </w:pPr>
            <w:r>
              <w:rPr>
                <w:rFonts w:ascii="Arial" w:cs="Arial" w:eastAsia="Arial" w:hAnsi="Arial"/>
                <w:sz w:val="16"/>
                <w:szCs w:val="16"/>
                <w:color w:val="auto"/>
              </w:rPr>
              <w:t>Valentina Pedroso</w:t>
            </w:r>
          </w:p>
        </w:tc>
        <w:tc>
          <w:tcPr>
            <w:tcW w:w="5840" w:type="dxa"/>
            <w:vAlign w:val="bottom"/>
            <w:gridSpan w:val="2"/>
          </w:tcPr>
          <w:p>
            <w:pPr>
              <w:ind w:left="340"/>
              <w:spacing w:after="0"/>
              <w:rPr>
                <w:sz w:val="20"/>
                <w:szCs w:val="20"/>
                <w:color w:val="auto"/>
              </w:rPr>
            </w:pPr>
            <w:r>
              <w:rPr>
                <w:rFonts w:ascii="Arial" w:cs="Arial" w:eastAsia="Arial" w:hAnsi="Arial"/>
                <w:sz w:val="16"/>
                <w:szCs w:val="16"/>
                <w:color w:val="auto"/>
              </w:rPr>
              <w:t>Valentina Pedroso</w:t>
            </w:r>
          </w:p>
        </w:tc>
      </w:tr>
      <w:tr>
        <w:trPr>
          <w:trHeight w:val="405"/>
        </w:trPr>
        <w:tc>
          <w:tcPr>
            <w:tcW w:w="5400" w:type="dxa"/>
            <w:vAlign w:val="bottom"/>
          </w:tcPr>
          <w:p>
            <w:pPr>
              <w:ind w:left="260"/>
              <w:spacing w:after="0"/>
              <w:rPr>
                <w:sz w:val="20"/>
                <w:szCs w:val="20"/>
                <w:color w:val="auto"/>
              </w:rPr>
            </w:pPr>
            <w:r>
              <w:rPr>
                <w:rFonts w:ascii="Arial" w:cs="Arial" w:eastAsia="Arial" w:hAnsi="Arial"/>
                <w:sz w:val="16"/>
                <w:szCs w:val="16"/>
                <w:color w:val="auto"/>
              </w:rPr>
              <w:t>HR Operations Manager</w:t>
            </w:r>
          </w:p>
        </w:tc>
        <w:tc>
          <w:tcPr>
            <w:tcW w:w="340" w:type="dxa"/>
            <w:vAlign w:val="bottom"/>
          </w:tcPr>
          <w:p>
            <w:pPr>
              <w:spacing w:after="0"/>
              <w:rPr>
                <w:sz w:val="24"/>
                <w:szCs w:val="24"/>
                <w:color w:val="auto"/>
              </w:rPr>
            </w:pPr>
          </w:p>
        </w:tc>
        <w:tc>
          <w:tcPr>
            <w:tcW w:w="5500" w:type="dxa"/>
            <w:vAlign w:val="bottom"/>
          </w:tcPr>
          <w:p>
            <w:pPr>
              <w:ind w:left="260"/>
              <w:spacing w:after="0"/>
              <w:rPr>
                <w:sz w:val="20"/>
                <w:szCs w:val="20"/>
                <w:color w:val="auto"/>
              </w:rPr>
            </w:pPr>
            <w:r>
              <w:rPr>
                <w:rFonts w:ascii="Arial" w:cs="Arial" w:eastAsia="Arial" w:hAnsi="Arial"/>
                <w:sz w:val="16"/>
                <w:szCs w:val="16"/>
                <w:color w:val="auto"/>
              </w:rPr>
              <w:t>HR Operations Manager</w:t>
            </w:r>
          </w:p>
        </w:tc>
      </w:tr>
      <w:tr>
        <w:trPr>
          <w:trHeight w:val="447"/>
        </w:trPr>
        <w:tc>
          <w:tcPr>
            <w:tcW w:w="5400" w:type="dxa"/>
            <w:vAlign w:val="bottom"/>
          </w:tcPr>
          <w:p>
            <w:pPr>
              <w:spacing w:after="0"/>
              <w:rPr>
                <w:sz w:val="20"/>
                <w:szCs w:val="20"/>
                <w:color w:val="auto"/>
              </w:rPr>
            </w:pPr>
            <w:r>
              <w:rPr>
                <w:rFonts w:ascii="Arial" w:cs="Arial" w:eastAsia="Arial" w:hAnsi="Arial"/>
                <w:sz w:val="22"/>
                <w:szCs w:val="22"/>
                <w:color w:val="auto"/>
              </w:rPr>
              <w:t>Lieu et date:</w:t>
            </w:r>
          </w:p>
        </w:tc>
        <w:tc>
          <w:tcPr>
            <w:tcW w:w="5840" w:type="dxa"/>
            <w:vAlign w:val="bottom"/>
            <w:gridSpan w:val="2"/>
          </w:tcPr>
          <w:p>
            <w:pPr>
              <w:ind w:left="340"/>
              <w:spacing w:after="0"/>
              <w:rPr>
                <w:sz w:val="20"/>
                <w:szCs w:val="20"/>
                <w:color w:val="auto"/>
              </w:rPr>
            </w:pPr>
            <w:r>
              <w:rPr>
                <w:rFonts w:ascii="Arial" w:cs="Arial" w:eastAsia="Arial" w:hAnsi="Arial"/>
                <w:sz w:val="22"/>
                <w:szCs w:val="22"/>
                <w:color w:val="auto"/>
              </w:rPr>
              <w:t>Place and date:</w:t>
            </w:r>
          </w:p>
        </w:tc>
      </w:tr>
      <w:tr>
        <w:trPr>
          <w:trHeight w:val="177"/>
        </w:trPr>
        <w:tc>
          <w:tcPr>
            <w:tcW w:w="5400" w:type="dxa"/>
            <w:vAlign w:val="bottom"/>
          </w:tcPr>
          <w:p>
            <w:pPr>
              <w:ind w:left="2880"/>
              <w:spacing w:after="0" w:line="177" w:lineRule="exact"/>
              <w:rPr>
                <w:sz w:val="20"/>
                <w:szCs w:val="20"/>
                <w:color w:val="auto"/>
              </w:rPr>
            </w:pPr>
            <w:r>
              <w:rPr>
                <w:rFonts w:ascii="Arial" w:cs="Arial" w:eastAsia="Arial" w:hAnsi="Arial"/>
                <w:sz w:val="16"/>
                <w:szCs w:val="16"/>
                <w:color w:val="auto"/>
              </w:rPr>
              <w:t>28 February 2025 | 06:49 PST</w:t>
            </w:r>
          </w:p>
        </w:tc>
        <w:tc>
          <w:tcPr>
            <w:tcW w:w="340" w:type="dxa"/>
            <w:vAlign w:val="bottom"/>
          </w:tcPr>
          <w:p>
            <w:pPr>
              <w:spacing w:after="0"/>
              <w:rPr>
                <w:sz w:val="15"/>
                <w:szCs w:val="15"/>
                <w:color w:val="auto"/>
              </w:rPr>
            </w:pPr>
          </w:p>
        </w:tc>
        <w:tc>
          <w:tcPr>
            <w:tcW w:w="5500" w:type="dxa"/>
            <w:vAlign w:val="bottom"/>
          </w:tcPr>
          <w:p>
            <w:pPr>
              <w:jc w:val="right"/>
              <w:ind w:right="268"/>
              <w:spacing w:after="0" w:line="177" w:lineRule="exact"/>
              <w:rPr>
                <w:sz w:val="20"/>
                <w:szCs w:val="20"/>
                <w:color w:val="auto"/>
              </w:rPr>
            </w:pPr>
            <w:r>
              <w:rPr>
                <w:rFonts w:ascii="Arial" w:cs="Arial" w:eastAsia="Arial" w:hAnsi="Arial"/>
                <w:sz w:val="16"/>
                <w:szCs w:val="16"/>
                <w:color w:val="auto"/>
              </w:rPr>
              <w:t>28 February 2025 | 06:49 PST</w:t>
            </w:r>
          </w:p>
        </w:tc>
      </w:tr>
      <w:tr>
        <w:trPr>
          <w:trHeight w:val="283"/>
        </w:trPr>
        <w:tc>
          <w:tcPr>
            <w:tcW w:w="5400" w:type="dxa"/>
            <w:vAlign w:val="bottom"/>
          </w:tcPr>
          <w:p>
            <w:pPr>
              <w:spacing w:after="0"/>
              <w:rPr>
                <w:sz w:val="20"/>
                <w:szCs w:val="20"/>
                <w:color w:val="auto"/>
              </w:rPr>
            </w:pPr>
            <w:r>
              <w:rPr>
                <w:rFonts w:ascii="Arial" w:cs="Arial" w:eastAsia="Arial" w:hAnsi="Arial"/>
                <w:sz w:val="22"/>
                <w:szCs w:val="22"/>
                <w:color w:val="auto"/>
              </w:rPr>
              <w:t>28 February 2025</w:t>
            </w:r>
          </w:p>
        </w:tc>
        <w:tc>
          <w:tcPr>
            <w:tcW w:w="5840" w:type="dxa"/>
            <w:vAlign w:val="bottom"/>
            <w:gridSpan w:val="2"/>
          </w:tcPr>
          <w:p>
            <w:pPr>
              <w:ind w:left="340"/>
              <w:spacing w:after="0"/>
              <w:rPr>
                <w:sz w:val="20"/>
                <w:szCs w:val="20"/>
                <w:color w:val="auto"/>
              </w:rPr>
            </w:pPr>
            <w:r>
              <w:rPr>
                <w:rFonts w:ascii="Arial" w:cs="Arial" w:eastAsia="Arial" w:hAnsi="Arial"/>
                <w:sz w:val="22"/>
                <w:szCs w:val="22"/>
                <w:color w:val="auto"/>
              </w:rPr>
              <w:t>28 February 2025</w:t>
            </w:r>
          </w:p>
        </w:tc>
      </w:tr>
      <w:tr>
        <w:trPr>
          <w:trHeight w:val="715"/>
        </w:trPr>
        <w:tc>
          <w:tcPr>
            <w:tcW w:w="5400" w:type="dxa"/>
            <w:vAlign w:val="bottom"/>
          </w:tcPr>
          <w:p>
            <w:pPr>
              <w:spacing w:after="0"/>
              <w:rPr>
                <w:sz w:val="20"/>
                <w:szCs w:val="20"/>
                <w:color w:val="auto"/>
              </w:rPr>
            </w:pPr>
            <w:r>
              <w:rPr>
                <w:rFonts w:ascii="Arial" w:cs="Arial" w:eastAsia="Arial" w:hAnsi="Arial"/>
                <w:sz w:val="22"/>
                <w:szCs w:val="22"/>
                <w:color w:val="auto"/>
              </w:rPr>
              <w:t>/s/Jeffrey Sevigny</w:t>
            </w:r>
          </w:p>
        </w:tc>
        <w:tc>
          <w:tcPr>
            <w:tcW w:w="5840" w:type="dxa"/>
            <w:vAlign w:val="bottom"/>
            <w:gridSpan w:val="2"/>
          </w:tcPr>
          <w:p>
            <w:pPr>
              <w:ind w:left="340"/>
              <w:spacing w:after="0"/>
              <w:rPr>
                <w:sz w:val="20"/>
                <w:szCs w:val="20"/>
                <w:color w:val="auto"/>
              </w:rPr>
            </w:pPr>
            <w:r>
              <w:rPr>
                <w:rFonts w:ascii="Arial" w:cs="Arial" w:eastAsia="Arial" w:hAnsi="Arial"/>
                <w:sz w:val="22"/>
                <w:szCs w:val="22"/>
                <w:color w:val="auto"/>
              </w:rPr>
              <w:t>/s/Jeffrey Sevigny</w:t>
            </w:r>
          </w:p>
        </w:tc>
      </w:tr>
      <w:tr>
        <w:trPr>
          <w:trHeight w:val="210"/>
        </w:trPr>
        <w:tc>
          <w:tcPr>
            <w:tcW w:w="5400" w:type="dxa"/>
            <w:vAlign w:val="bottom"/>
            <w:tcBorders>
              <w:top w:val="single" w:sz="8" w:color="auto"/>
            </w:tcBorders>
          </w:tcPr>
          <w:p>
            <w:pPr>
              <w:spacing w:after="0" w:line="210" w:lineRule="exact"/>
              <w:rPr>
                <w:sz w:val="20"/>
                <w:szCs w:val="20"/>
                <w:color w:val="auto"/>
              </w:rPr>
            </w:pPr>
            <w:r>
              <w:rPr>
                <w:rFonts w:ascii="Arial" w:cs="Arial" w:eastAsia="Arial" w:hAnsi="Arial"/>
                <w:sz w:val="22"/>
                <w:szCs w:val="22"/>
                <w:color w:val="auto"/>
              </w:rPr>
              <w:t>Le Travailleur:</w:t>
            </w:r>
          </w:p>
        </w:tc>
        <w:tc>
          <w:tcPr>
            <w:tcW w:w="340" w:type="dxa"/>
            <w:vAlign w:val="bottom"/>
          </w:tcPr>
          <w:p>
            <w:pPr>
              <w:spacing w:after="0"/>
              <w:rPr>
                <w:sz w:val="18"/>
                <w:szCs w:val="18"/>
                <w:color w:val="auto"/>
              </w:rPr>
            </w:pPr>
          </w:p>
        </w:tc>
        <w:tc>
          <w:tcPr>
            <w:tcW w:w="5500" w:type="dxa"/>
            <w:vAlign w:val="bottom"/>
            <w:tcBorders>
              <w:top w:val="single" w:sz="8" w:color="auto"/>
            </w:tcBorders>
          </w:tcPr>
          <w:p>
            <w:pPr>
              <w:spacing w:after="0" w:line="210" w:lineRule="exact"/>
              <w:rPr>
                <w:sz w:val="20"/>
                <w:szCs w:val="20"/>
                <w:color w:val="auto"/>
              </w:rPr>
            </w:pPr>
            <w:r>
              <w:rPr>
                <w:rFonts w:ascii="Arial" w:cs="Arial" w:eastAsia="Arial" w:hAnsi="Arial"/>
                <w:sz w:val="22"/>
                <w:szCs w:val="22"/>
                <w:color w:val="auto"/>
              </w:rPr>
              <w:t>The Employee:</w:t>
            </w:r>
          </w:p>
        </w:tc>
      </w:tr>
      <w:tr>
        <w:trPr>
          <w:trHeight w:val="283"/>
        </w:trPr>
        <w:tc>
          <w:tcPr>
            <w:tcW w:w="5400" w:type="dxa"/>
            <w:vAlign w:val="bottom"/>
          </w:tcPr>
          <w:p>
            <w:pPr>
              <w:spacing w:after="0"/>
              <w:rPr>
                <w:sz w:val="20"/>
                <w:szCs w:val="20"/>
                <w:color w:val="auto"/>
              </w:rPr>
            </w:pPr>
            <w:r>
              <w:rPr>
                <w:rFonts w:ascii="Arial" w:cs="Arial" w:eastAsia="Arial" w:hAnsi="Arial"/>
                <w:sz w:val="22"/>
                <w:szCs w:val="22"/>
                <w:color w:val="auto"/>
              </w:rPr>
              <w:t>Jeffrey Joseph Sevigny</w:t>
            </w:r>
          </w:p>
        </w:tc>
        <w:tc>
          <w:tcPr>
            <w:tcW w:w="5840" w:type="dxa"/>
            <w:vAlign w:val="bottom"/>
            <w:gridSpan w:val="2"/>
          </w:tcPr>
          <w:p>
            <w:pPr>
              <w:ind w:left="340"/>
              <w:spacing w:after="0"/>
              <w:rPr>
                <w:sz w:val="20"/>
                <w:szCs w:val="20"/>
                <w:color w:val="auto"/>
              </w:rPr>
            </w:pPr>
            <w:r>
              <w:rPr>
                <w:rFonts w:ascii="Arial" w:cs="Arial" w:eastAsia="Arial" w:hAnsi="Arial"/>
                <w:sz w:val="22"/>
                <w:szCs w:val="22"/>
                <w:color w:val="auto"/>
              </w:rPr>
              <w:t>Jeffrey Joseph Sevigny</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0000FF"/>
        </w:rPr>
        <w:t>GLOBALIZATION PARTNERS SWITZERLAND SA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04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14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72" w:lineRule="auto"/>
        <w:rPr>
          <w:sz w:val="20"/>
          <w:szCs w:val="20"/>
          <w:color w:val="auto"/>
        </w:rPr>
      </w:pPr>
      <w:r>
        <w:rPr>
          <w:rFonts w:ascii="Arial" w:cs="Arial" w:eastAsia="Arial" w:hAnsi="Arial"/>
          <w:sz w:val="22"/>
          <w:szCs w:val="22"/>
          <w:b w:val="1"/>
          <w:bCs w:val="1"/>
          <w:color w:val="auto"/>
        </w:rPr>
        <w:t>Avenant au contrat de mise à disposition de travailleurs à titre principal (travail en régie)</w:t>
      </w:r>
    </w:p>
    <w:p>
      <w:pPr>
        <w:spacing w:after="0" w:line="129" w:lineRule="exact"/>
        <w:rPr>
          <w:sz w:val="20"/>
          <w:szCs w:val="20"/>
          <w:color w:val="auto"/>
        </w:rPr>
      </w:pPr>
    </w:p>
    <w:p>
      <w:pPr>
        <w:ind w:left="2440"/>
        <w:spacing w:after="0"/>
        <w:rPr>
          <w:sz w:val="20"/>
          <w:szCs w:val="20"/>
          <w:color w:val="auto"/>
        </w:rPr>
      </w:pPr>
      <w:r>
        <w:rPr>
          <w:rFonts w:ascii="Arial" w:cs="Arial" w:eastAsia="Arial" w:hAnsi="Arial"/>
          <w:sz w:val="22"/>
          <w:szCs w:val="22"/>
          <w:b w:val="1"/>
          <w:bCs w:val="1"/>
          <w:color w:val="auto"/>
        </w:rPr>
        <w:t>entre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Globalization Partners Switzerland SA ("G-P")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Route de Frontenex 86 bis, 1208 Genève, Suisse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L’Employeur (bailleur de services)</w:t>
      </w:r>
    </w:p>
    <w:p>
      <w:pPr>
        <w:spacing w:after="0" w:line="204"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et</w:t>
      </w:r>
    </w:p>
    <w:p>
      <w:pPr>
        <w:spacing w:after="0" w:line="208" w:lineRule="exact"/>
        <w:rPr>
          <w:sz w:val="20"/>
          <w:szCs w:val="20"/>
          <w:color w:val="auto"/>
        </w:rPr>
      </w:pPr>
    </w:p>
    <w:p>
      <w:pPr>
        <w:ind w:right="880"/>
        <w:spacing w:after="0" w:line="289" w:lineRule="auto"/>
        <w:rPr>
          <w:sz w:val="20"/>
          <w:szCs w:val="20"/>
          <w:color w:val="auto"/>
        </w:rPr>
      </w:pPr>
      <w:r>
        <w:rPr>
          <w:rFonts w:ascii="Arial" w:cs="Arial" w:eastAsia="Arial" w:hAnsi="Arial"/>
          <w:sz w:val="22"/>
          <w:szCs w:val="22"/>
          <w:color w:val="auto"/>
        </w:rPr>
        <w:t>Jeffrey Joseph Sevigny [********************************************] [********************************************]</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Le Travailleur</w:t>
      </w:r>
    </w:p>
    <w:p>
      <w:pPr>
        <w:spacing w:after="0" w:line="204" w:lineRule="exact"/>
        <w:rPr>
          <w:sz w:val="20"/>
          <w:szCs w:val="20"/>
          <w:color w:val="auto"/>
        </w:rPr>
      </w:pPr>
    </w:p>
    <w:p>
      <w:pPr>
        <w:jc w:val="center"/>
        <w:ind w:left="20"/>
        <w:spacing w:after="0"/>
        <w:rPr>
          <w:sz w:val="20"/>
          <w:szCs w:val="20"/>
          <w:color w:val="auto"/>
        </w:rPr>
      </w:pPr>
      <w:r>
        <w:rPr>
          <w:rFonts w:ascii="Arial" w:cs="Arial" w:eastAsia="Arial" w:hAnsi="Arial"/>
          <w:sz w:val="22"/>
          <w:szCs w:val="22"/>
          <w:b w:val="1"/>
          <w:bCs w:val="1"/>
          <w:color w:val="auto"/>
        </w:rPr>
        <w:t>***</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Sauf exceptions prévues ci-après, les dispositions du contrat de mise à disposition de travailleurs à titre principal conclu avec le Travailleur le 03/03/2025 sont également applicables à cette mission.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 mission suivante est confiée au Travailleur:</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Entreprise où a lieu la mission: Rapport Therapeutics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Lieu de mission : CH - Bureau à domicile</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Contact et no de tél: Mackenzie Teren, mteren@rapportrx.com</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Date de début de la mission: 03/03/2025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Amendment to the main worker placement contract</w:t>
      </w:r>
    </w:p>
    <w:p>
      <w:pPr>
        <w:spacing w:after="0" w:line="206"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between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Globalization Partners Switzerland SA ("G-P")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Route de Frontenex 86 bis, 1208 Genève, Switzerland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As Employer</w:t>
      </w:r>
    </w:p>
    <w:p>
      <w:pPr>
        <w:spacing w:after="0" w:line="204"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and</w:t>
      </w:r>
    </w:p>
    <w:p>
      <w:pPr>
        <w:spacing w:after="0" w:line="208" w:lineRule="exact"/>
        <w:rPr>
          <w:sz w:val="20"/>
          <w:szCs w:val="20"/>
          <w:color w:val="auto"/>
        </w:rPr>
      </w:pPr>
    </w:p>
    <w:p>
      <w:pPr>
        <w:ind w:right="920"/>
        <w:spacing w:after="0" w:line="277" w:lineRule="auto"/>
        <w:rPr>
          <w:sz w:val="20"/>
          <w:szCs w:val="20"/>
          <w:color w:val="auto"/>
        </w:rPr>
      </w:pPr>
      <w:r>
        <w:rPr>
          <w:rFonts w:ascii="Arial" w:cs="Arial" w:eastAsia="Arial" w:hAnsi="Arial"/>
          <w:sz w:val="22"/>
          <w:szCs w:val="22"/>
          <w:color w:val="auto"/>
        </w:rPr>
        <w:t>Jeffrey Joseph Sevigny [********************************************] [********************************************]</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As Employee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t>
      </w:r>
    </w:p>
    <w:p>
      <w:pPr>
        <w:spacing w:after="0" w:line="100" w:lineRule="exact"/>
        <w:rPr>
          <w:sz w:val="20"/>
          <w:szCs w:val="20"/>
          <w:color w:val="auto"/>
        </w:rPr>
      </w:pPr>
    </w:p>
    <w:p>
      <w:pPr>
        <w:jc w:val="both"/>
        <w:ind w:right="20"/>
        <w:spacing w:after="0" w:line="262" w:lineRule="auto"/>
        <w:rPr>
          <w:sz w:val="20"/>
          <w:szCs w:val="20"/>
          <w:color w:val="auto"/>
        </w:rPr>
      </w:pPr>
      <w:r>
        <w:rPr>
          <w:rFonts w:ascii="Arial" w:cs="Arial" w:eastAsia="Arial" w:hAnsi="Arial"/>
          <w:sz w:val="21"/>
          <w:szCs w:val="21"/>
          <w:color w:val="auto"/>
        </w:rPr>
        <w:t>Except as set out below, the provisions of the main worker placement contract concluded with the Employee on the 03/03/2025 also applicable to this assignment.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580" w:val="left"/>
          <w:tab w:leader="none" w:pos="1740" w:val="left"/>
          <w:tab w:leader="none" w:pos="3140" w:val="left"/>
          <w:tab w:leader="none" w:pos="3540" w:val="left"/>
          <w:tab w:leader="none" w:pos="4740" w:val="left"/>
          <w:tab w:leader="none" w:pos="5160" w:val="left"/>
        </w:tabs>
        <w:rPr>
          <w:sz w:val="20"/>
          <w:szCs w:val="20"/>
          <w:color w:val="auto"/>
        </w:rPr>
      </w:pPr>
      <w:r>
        <w:rPr>
          <w:rFonts w:ascii="Arial" w:cs="Arial" w:eastAsia="Arial" w:hAnsi="Arial"/>
          <w:sz w:val="22"/>
          <w:szCs w:val="22"/>
          <w:b w:val="1"/>
          <w:bCs w:val="1"/>
          <w:color w:val="auto"/>
        </w:rPr>
        <w:t>The</w:t>
        <w:tab/>
        <w:t>following</w:t>
        <w:tab/>
        <w:t>assignment</w:t>
        <w:tab/>
        <w:t>is</w:t>
        <w:tab/>
        <w:t>entrusted</w:t>
        <w:tab/>
        <w:t>to</w:t>
      </w:r>
      <w:r>
        <w:rPr>
          <w:sz w:val="20"/>
          <w:szCs w:val="20"/>
          <w:color w:val="auto"/>
        </w:rPr>
        <w:tab/>
      </w:r>
      <w:r>
        <w:rPr>
          <w:rFonts w:ascii="Arial" w:cs="Arial" w:eastAsia="Arial" w:hAnsi="Arial"/>
          <w:sz w:val="21"/>
          <w:szCs w:val="21"/>
          <w:b w:val="1"/>
          <w:bCs w:val="1"/>
          <w:color w:val="auto"/>
        </w:rPr>
        <w:t>the</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Assignment company: Rapport Therapeutics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Place of assignment: CH - From home</w:t>
      </w:r>
    </w:p>
    <w:p>
      <w:pPr>
        <w:spacing w:after="0" w:line="206"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Contact person and tel. no.: Mackenzie Teren, mteren@rapportrx.com</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Start of assignment: 03/03/2025</w:t>
      </w:r>
    </w:p>
    <w:p>
      <w:pPr>
        <w:spacing w:after="0" w:line="200" w:lineRule="exact"/>
        <w:rPr>
          <w:sz w:val="20"/>
          <w:szCs w:val="20"/>
          <w:color w:val="auto"/>
        </w:rPr>
      </w:pPr>
    </w:p>
    <w:p>
      <w:pPr>
        <w:sectPr>
          <w:pgSz w:w="11900" w:h="16838" w:orient="portrait"/>
          <w:cols w:equalWidth="0" w:num="2">
            <w:col w:w="5400" w:space="340"/>
            <w:col w:w="5500"/>
          </w:cols>
          <w:pgMar w:left="320" w:top="1299" w:right="339" w:bottom="1440" w:gutter="0" w:footer="0" w:header="0"/>
        </w:sectPr>
      </w:pP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0000FF"/>
        </w:rPr>
        <w:t>GLOBALIZATION PARTNERS SWITZERLAND SA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type w:val="continuous"/>
        </w:sectPr>
      </w:pPr>
    </w:p>
    <w:bookmarkStart w:id="175" w:name="page176"/>
    <w:bookmarkEnd w:id="175"/>
    <w:p>
      <w:pPr>
        <w:jc w:val="both"/>
        <w:spacing w:after="0" w:line="259" w:lineRule="auto"/>
        <w:rPr>
          <w:sz w:val="20"/>
          <w:szCs w:val="20"/>
          <w:color w:val="auto"/>
        </w:rPr>
      </w:pPr>
      <w:r>
        <w:rPr>
          <w:rFonts w:ascii="Arial" w:cs="Arial" w:eastAsia="Arial" w:hAnsi="Arial"/>
          <w:sz w:val="22"/>
          <w:szCs w:val="22"/>
          <w:color w:val="auto"/>
        </w:rPr>
        <w:t>Durée de la mission: 03/03/2025 – à durée indéterminée.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Indemnités: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Indemnité forfaitaire: CHF [*******] par mois.</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b w:val="1"/>
          <w:bCs w:val="1"/>
          <w:color w:val="auto"/>
        </w:rPr>
        <w:t xml:space="preserve">Part variable: </w:t>
      </w:r>
      <w:r>
        <w:rPr>
          <w:rFonts w:ascii="Arial" w:cs="Arial" w:eastAsia="Arial" w:hAnsi="Arial"/>
          <w:sz w:val="22"/>
          <w:szCs w:val="22"/>
          <w:color w:val="auto"/>
        </w:rPr>
        <w:t>en plus de son Salaire de Base, le</w:t>
      </w:r>
      <w:r>
        <w:rPr>
          <w:rFonts w:ascii="Arial" w:cs="Arial" w:eastAsia="Arial" w:hAnsi="Arial"/>
          <w:sz w:val="22"/>
          <w:szCs w:val="22"/>
          <w:b w:val="1"/>
          <w:bCs w:val="1"/>
          <w:color w:val="auto"/>
        </w:rPr>
        <w:t xml:space="preserve"> </w:t>
      </w:r>
      <w:r>
        <w:rPr>
          <w:rFonts w:ascii="Arial" w:cs="Arial" w:eastAsia="Arial" w:hAnsi="Arial"/>
          <w:sz w:val="22"/>
          <w:szCs w:val="22"/>
          <w:color w:val="auto"/>
        </w:rPr>
        <w:t>Salarié sera éligible au versement d’une rémunération variable qui sera calculée et versée selon le plan de prime tel que défini et mis en œuvre par le Client. Il est rappelé que le versement d’une rémunération variable au Salarié au titre d’une période spécifique n’entraîne pas un droit acquis au versement d’une rémunération variable pour les périodes ou années suivantes. Le montant et la périodicité de cette rémunération variable seront déterminés en fonction de la réalisation de certains objectifs par la Salariée, tels que définis au Plan de Rémunération Variable du Client.</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La version définitive du présent avenant qui lie les Parties est la version française, la version anglaise de ce contrat n’étant fournie qu’à titre d’information. En cas de contradiction entre les versions française et anglaise, la version française prévaudra.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Duration of assignment: 03/03/2025 – Open ended.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Allowances: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General allowance: CHF [*******] per month.</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color w:val="auto"/>
        </w:rPr>
        <w:t xml:space="preserve">Variable part: </w:t>
      </w:r>
      <w:r>
        <w:rPr>
          <w:rFonts w:ascii="Arial" w:cs="Arial" w:eastAsia="Arial" w:hAnsi="Arial"/>
          <w:sz w:val="22"/>
          <w:szCs w:val="22"/>
          <w:color w:val="auto"/>
        </w:rPr>
        <w:t>In addition to the Base Salary,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is eligible to receive a variable remuneration calculated and paid in accordance with bonus plan established and implemented by the Client. It is recalled that the payment of a variable remuneration for a specific year does not create an acquired right for the payment to a variable remuneration for subsequent periods or years. The amount and periodicity of this variable remuneration will be determined in accordance with the achievement of objectives by the Employee as defined in the Client’s Variable Remuneration Plan.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definitive version of this amendment that binds the Parties is the French language version, the English version being provided for information purposes only. In the event of a contradiction between the two versions, the French version shall prevail.</w:t>
      </w:r>
    </w:p>
    <w:p>
      <w:pPr>
        <w:spacing w:after="0" w:line="685" w:lineRule="exact"/>
        <w:rPr>
          <w:sz w:val="20"/>
          <w:szCs w:val="20"/>
          <w:color w:val="auto"/>
        </w:rPr>
      </w:pPr>
    </w:p>
    <w:p>
      <w:pPr>
        <w:sectPr>
          <w:pgSz w:w="11900" w:h="16838" w:orient="portrait"/>
          <w:cols w:equalWidth="0" w:num="2">
            <w:col w:w="5400" w:space="340"/>
            <w:col w:w="5500"/>
          </w:cols>
          <w:pgMar w:left="320" w:top="1301" w:right="339" w:bottom="1440" w:gutter="0" w:footer="0" w:header="0"/>
        </w:sectPr>
      </w:pP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0000FF"/>
        </w:rPr>
        <w:t>GLOBALIZATION PARTNERS SWITZERLAND SA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type w:val="continuous"/>
        </w:sectPr>
      </w:pPr>
    </w:p>
    <w:bookmarkStart w:id="176" w:name="page177"/>
    <w:bookmarkEnd w:id="176"/>
    <w:tbl>
      <w:tblPr>
        <w:tblLayout w:type="fixed"/>
        <w:tblInd w:w="0" w:type="dxa"/>
        <w:tblCellMar>
          <w:top w:w="0" w:type="dxa"/>
          <w:left w:w="0" w:type="dxa"/>
          <w:bottom w:w="0" w:type="dxa"/>
          <w:right w:w="0" w:type="dxa"/>
        </w:tblCellMar>
      </w:tblPr>
      <w:tr>
        <w:trPr>
          <w:trHeight w:val="255"/>
        </w:trPr>
        <w:tc>
          <w:tcPr>
            <w:tcW w:w="5400" w:type="dxa"/>
            <w:vAlign w:val="bottom"/>
          </w:tcPr>
          <w:p>
            <w:pPr>
              <w:spacing w:after="0"/>
              <w:rPr>
                <w:sz w:val="20"/>
                <w:szCs w:val="20"/>
                <w:color w:val="auto"/>
              </w:rPr>
            </w:pPr>
            <w:r>
              <w:rPr>
                <w:rFonts w:ascii="Arial" w:cs="Arial" w:eastAsia="Arial" w:hAnsi="Arial"/>
                <w:sz w:val="22"/>
                <w:szCs w:val="22"/>
                <w:color w:val="auto"/>
              </w:rPr>
              <w:t>Lieu et date:</w:t>
            </w:r>
          </w:p>
        </w:tc>
        <w:tc>
          <w:tcPr>
            <w:tcW w:w="5840" w:type="dxa"/>
            <w:vAlign w:val="bottom"/>
            <w:gridSpan w:val="2"/>
          </w:tcPr>
          <w:p>
            <w:pPr>
              <w:ind w:left="340"/>
              <w:spacing w:after="0"/>
              <w:rPr>
                <w:sz w:val="20"/>
                <w:szCs w:val="20"/>
                <w:color w:val="auto"/>
              </w:rPr>
            </w:pPr>
            <w:r>
              <w:rPr>
                <w:rFonts w:ascii="Arial" w:cs="Arial" w:eastAsia="Arial" w:hAnsi="Arial"/>
                <w:sz w:val="22"/>
                <w:szCs w:val="22"/>
                <w:color w:val="auto"/>
              </w:rPr>
              <w:t>Place and date:</w:t>
            </w:r>
          </w:p>
        </w:tc>
      </w:tr>
      <w:tr>
        <w:trPr>
          <w:trHeight w:val="177"/>
        </w:trPr>
        <w:tc>
          <w:tcPr>
            <w:tcW w:w="5400" w:type="dxa"/>
            <w:vAlign w:val="bottom"/>
          </w:tcPr>
          <w:p>
            <w:pPr>
              <w:ind w:left="3020"/>
              <w:spacing w:after="0" w:line="177" w:lineRule="exact"/>
              <w:rPr>
                <w:sz w:val="20"/>
                <w:szCs w:val="20"/>
                <w:color w:val="auto"/>
              </w:rPr>
            </w:pPr>
            <w:r>
              <w:rPr>
                <w:rFonts w:ascii="Arial" w:cs="Arial" w:eastAsia="Arial" w:hAnsi="Arial"/>
                <w:sz w:val="16"/>
                <w:szCs w:val="16"/>
                <w:color w:val="auto"/>
              </w:rPr>
              <w:t>03 March 2025 | 05:25 PST</w:t>
            </w:r>
          </w:p>
        </w:tc>
        <w:tc>
          <w:tcPr>
            <w:tcW w:w="340" w:type="dxa"/>
            <w:vAlign w:val="bottom"/>
          </w:tcPr>
          <w:p>
            <w:pPr>
              <w:spacing w:after="0"/>
              <w:rPr>
                <w:sz w:val="15"/>
                <w:szCs w:val="15"/>
                <w:color w:val="auto"/>
              </w:rPr>
            </w:pPr>
          </w:p>
        </w:tc>
        <w:tc>
          <w:tcPr>
            <w:tcW w:w="5500" w:type="dxa"/>
            <w:vAlign w:val="bottom"/>
          </w:tcPr>
          <w:p>
            <w:pPr>
              <w:jc w:val="right"/>
              <w:ind w:right="268"/>
              <w:spacing w:after="0" w:line="177" w:lineRule="exact"/>
              <w:rPr>
                <w:sz w:val="20"/>
                <w:szCs w:val="20"/>
                <w:color w:val="auto"/>
              </w:rPr>
            </w:pPr>
            <w:r>
              <w:rPr>
                <w:rFonts w:ascii="Arial" w:cs="Arial" w:eastAsia="Arial" w:hAnsi="Arial"/>
                <w:sz w:val="16"/>
                <w:szCs w:val="16"/>
                <w:color w:val="auto"/>
              </w:rPr>
              <w:t>03 March 2025 | 05:25 PST</w:t>
            </w:r>
          </w:p>
        </w:tc>
      </w:tr>
      <w:tr>
        <w:trPr>
          <w:trHeight w:val="283"/>
        </w:trPr>
        <w:tc>
          <w:tcPr>
            <w:tcW w:w="5400" w:type="dxa"/>
            <w:vAlign w:val="bottom"/>
          </w:tcPr>
          <w:p>
            <w:pPr>
              <w:spacing w:after="0"/>
              <w:rPr>
                <w:sz w:val="20"/>
                <w:szCs w:val="20"/>
                <w:color w:val="auto"/>
              </w:rPr>
            </w:pPr>
            <w:r>
              <w:rPr>
                <w:rFonts w:ascii="Arial" w:cs="Arial" w:eastAsia="Arial" w:hAnsi="Arial"/>
                <w:sz w:val="22"/>
                <w:szCs w:val="22"/>
                <w:color w:val="auto"/>
              </w:rPr>
              <w:t>spain,</w:t>
            </w:r>
          </w:p>
        </w:tc>
        <w:tc>
          <w:tcPr>
            <w:tcW w:w="5840" w:type="dxa"/>
            <w:vAlign w:val="bottom"/>
            <w:gridSpan w:val="2"/>
          </w:tcPr>
          <w:p>
            <w:pPr>
              <w:ind w:left="340"/>
              <w:spacing w:after="0"/>
              <w:rPr>
                <w:sz w:val="20"/>
                <w:szCs w:val="20"/>
                <w:color w:val="auto"/>
              </w:rPr>
            </w:pPr>
            <w:r>
              <w:rPr>
                <w:rFonts w:ascii="Arial" w:cs="Arial" w:eastAsia="Arial" w:hAnsi="Arial"/>
                <w:sz w:val="22"/>
                <w:szCs w:val="22"/>
                <w:color w:val="auto"/>
              </w:rPr>
              <w:t>spain,</w:t>
            </w:r>
          </w:p>
        </w:tc>
      </w:tr>
      <w:tr>
        <w:trPr>
          <w:trHeight w:val="337"/>
        </w:trPr>
        <w:tc>
          <w:tcPr>
            <w:tcW w:w="5400" w:type="dxa"/>
            <w:vAlign w:val="bottom"/>
          </w:tcPr>
          <w:p>
            <w:pPr>
              <w:spacing w:after="0"/>
              <w:rPr>
                <w:sz w:val="20"/>
                <w:szCs w:val="20"/>
                <w:color w:val="auto"/>
              </w:rPr>
            </w:pPr>
            <w:r>
              <w:rPr>
                <w:rFonts w:ascii="Arial" w:cs="Arial" w:eastAsia="Arial" w:hAnsi="Arial"/>
                <w:sz w:val="22"/>
                <w:szCs w:val="22"/>
                <w:color w:val="auto"/>
              </w:rPr>
              <w:t>/s/Valentina Pedroso</w:t>
            </w:r>
          </w:p>
        </w:tc>
        <w:tc>
          <w:tcPr>
            <w:tcW w:w="5840" w:type="dxa"/>
            <w:vAlign w:val="bottom"/>
            <w:gridSpan w:val="2"/>
          </w:tcPr>
          <w:p>
            <w:pPr>
              <w:ind w:left="340"/>
              <w:spacing w:after="0"/>
              <w:rPr>
                <w:sz w:val="20"/>
                <w:szCs w:val="20"/>
                <w:color w:val="auto"/>
              </w:rPr>
            </w:pPr>
            <w:r>
              <w:rPr>
                <w:rFonts w:ascii="Arial" w:cs="Arial" w:eastAsia="Arial" w:hAnsi="Arial"/>
                <w:sz w:val="22"/>
                <w:szCs w:val="22"/>
                <w:color w:val="auto"/>
              </w:rPr>
              <w:t>/s/Valentina Pedroso</w:t>
            </w:r>
          </w:p>
        </w:tc>
      </w:tr>
      <w:tr>
        <w:trPr>
          <w:trHeight w:val="277"/>
        </w:trPr>
        <w:tc>
          <w:tcPr>
            <w:tcW w:w="54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L’Employeur</w:t>
            </w:r>
          </w:p>
        </w:tc>
        <w:tc>
          <w:tcPr>
            <w:tcW w:w="340" w:type="dxa"/>
            <w:vAlign w:val="bottom"/>
          </w:tcPr>
          <w:p>
            <w:pPr>
              <w:spacing w:after="0"/>
              <w:rPr>
                <w:sz w:val="24"/>
                <w:szCs w:val="24"/>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The Employer</w:t>
            </w:r>
          </w:p>
        </w:tc>
      </w:tr>
      <w:tr>
        <w:trPr>
          <w:trHeight w:val="392"/>
        </w:trPr>
        <w:tc>
          <w:tcPr>
            <w:tcW w:w="5400" w:type="dxa"/>
            <w:vAlign w:val="bottom"/>
          </w:tcPr>
          <w:p>
            <w:pPr>
              <w:spacing w:after="0"/>
              <w:rPr>
                <w:sz w:val="20"/>
                <w:szCs w:val="20"/>
                <w:color w:val="auto"/>
              </w:rPr>
            </w:pPr>
            <w:r>
              <w:rPr>
                <w:rFonts w:ascii="Arial" w:cs="Arial" w:eastAsia="Arial" w:hAnsi="Arial"/>
                <w:sz w:val="22"/>
                <w:szCs w:val="22"/>
                <w:b w:val="1"/>
                <w:bCs w:val="1"/>
                <w:color w:val="auto"/>
              </w:rPr>
              <w:t>Globalization Partners Switzerland SA</w:t>
            </w:r>
          </w:p>
        </w:tc>
        <w:tc>
          <w:tcPr>
            <w:tcW w:w="5840" w:type="dxa"/>
            <w:vAlign w:val="bottom"/>
            <w:gridSpan w:val="2"/>
          </w:tcPr>
          <w:p>
            <w:pPr>
              <w:ind w:left="340"/>
              <w:spacing w:after="0"/>
              <w:rPr>
                <w:sz w:val="20"/>
                <w:szCs w:val="20"/>
                <w:color w:val="auto"/>
              </w:rPr>
            </w:pPr>
            <w:r>
              <w:rPr>
                <w:rFonts w:ascii="Arial" w:cs="Arial" w:eastAsia="Arial" w:hAnsi="Arial"/>
                <w:sz w:val="22"/>
                <w:szCs w:val="22"/>
                <w:b w:val="1"/>
                <w:bCs w:val="1"/>
                <w:color w:val="auto"/>
              </w:rPr>
              <w:t>Globalization Partners Switzerland SA</w:t>
            </w:r>
          </w:p>
        </w:tc>
      </w:tr>
      <w:tr>
        <w:trPr>
          <w:trHeight w:val="283"/>
        </w:trPr>
        <w:tc>
          <w:tcPr>
            <w:tcW w:w="5400" w:type="dxa"/>
            <w:vAlign w:val="bottom"/>
          </w:tcPr>
          <w:p>
            <w:pPr>
              <w:spacing w:after="0"/>
              <w:rPr>
                <w:sz w:val="20"/>
                <w:szCs w:val="20"/>
                <w:color w:val="auto"/>
              </w:rPr>
            </w:pPr>
            <w:r>
              <w:rPr>
                <w:rFonts w:ascii="Arial" w:cs="Arial" w:eastAsia="Arial" w:hAnsi="Arial"/>
                <w:sz w:val="22"/>
                <w:szCs w:val="22"/>
                <w:color w:val="auto"/>
              </w:rPr>
              <w:t>(Bailleur de services)</w:t>
            </w:r>
          </w:p>
        </w:tc>
        <w:tc>
          <w:tcPr>
            <w:tcW w:w="5840" w:type="dxa"/>
            <w:vAlign w:val="bottom"/>
            <w:gridSpan w:val="2"/>
          </w:tcPr>
          <w:p>
            <w:pPr>
              <w:ind w:left="340"/>
              <w:spacing w:after="0"/>
              <w:rPr>
                <w:sz w:val="20"/>
                <w:szCs w:val="20"/>
                <w:color w:val="auto"/>
              </w:rPr>
            </w:pPr>
            <w:r>
              <w:rPr>
                <w:rFonts w:ascii="Arial" w:cs="Arial" w:eastAsia="Arial" w:hAnsi="Arial"/>
                <w:sz w:val="22"/>
                <w:szCs w:val="22"/>
                <w:color w:val="auto"/>
              </w:rPr>
              <w:t>(Labour leasing company)</w:t>
            </w:r>
          </w:p>
        </w:tc>
      </w:tr>
      <w:tr>
        <w:trPr>
          <w:trHeight w:val="294"/>
        </w:trPr>
        <w:tc>
          <w:tcPr>
            <w:tcW w:w="5400" w:type="dxa"/>
            <w:vAlign w:val="bottom"/>
          </w:tcPr>
          <w:p>
            <w:pPr>
              <w:spacing w:after="0"/>
              <w:rPr>
                <w:sz w:val="20"/>
                <w:szCs w:val="20"/>
                <w:color w:val="auto"/>
              </w:rPr>
            </w:pPr>
            <w:r>
              <w:rPr>
                <w:rFonts w:ascii="Arial" w:cs="Arial" w:eastAsia="Arial" w:hAnsi="Arial"/>
                <w:sz w:val="16"/>
                <w:szCs w:val="16"/>
                <w:color w:val="auto"/>
              </w:rPr>
              <w:t>Valentina Pedroso</w:t>
            </w:r>
          </w:p>
        </w:tc>
        <w:tc>
          <w:tcPr>
            <w:tcW w:w="5840" w:type="dxa"/>
            <w:vAlign w:val="bottom"/>
            <w:gridSpan w:val="2"/>
          </w:tcPr>
          <w:p>
            <w:pPr>
              <w:ind w:left="340"/>
              <w:spacing w:after="0"/>
              <w:rPr>
                <w:sz w:val="20"/>
                <w:szCs w:val="20"/>
                <w:color w:val="auto"/>
              </w:rPr>
            </w:pPr>
            <w:r>
              <w:rPr>
                <w:rFonts w:ascii="Arial" w:cs="Arial" w:eastAsia="Arial" w:hAnsi="Arial"/>
                <w:sz w:val="16"/>
                <w:szCs w:val="16"/>
                <w:color w:val="auto"/>
              </w:rPr>
              <w:t>Valentina Pedroso</w:t>
            </w:r>
          </w:p>
        </w:tc>
      </w:tr>
      <w:tr>
        <w:trPr>
          <w:trHeight w:val="405"/>
        </w:trPr>
        <w:tc>
          <w:tcPr>
            <w:tcW w:w="5400" w:type="dxa"/>
            <w:vAlign w:val="bottom"/>
          </w:tcPr>
          <w:p>
            <w:pPr>
              <w:ind w:left="260"/>
              <w:spacing w:after="0"/>
              <w:rPr>
                <w:sz w:val="20"/>
                <w:szCs w:val="20"/>
                <w:color w:val="auto"/>
              </w:rPr>
            </w:pPr>
            <w:r>
              <w:rPr>
                <w:rFonts w:ascii="Arial" w:cs="Arial" w:eastAsia="Arial" w:hAnsi="Arial"/>
                <w:sz w:val="16"/>
                <w:szCs w:val="16"/>
                <w:color w:val="auto"/>
              </w:rPr>
              <w:t>HR Operations Manager</w:t>
            </w:r>
          </w:p>
        </w:tc>
        <w:tc>
          <w:tcPr>
            <w:tcW w:w="340" w:type="dxa"/>
            <w:vAlign w:val="bottom"/>
          </w:tcPr>
          <w:p>
            <w:pPr>
              <w:spacing w:after="0"/>
              <w:rPr>
                <w:sz w:val="24"/>
                <w:szCs w:val="24"/>
                <w:color w:val="auto"/>
              </w:rPr>
            </w:pPr>
          </w:p>
        </w:tc>
        <w:tc>
          <w:tcPr>
            <w:tcW w:w="5500" w:type="dxa"/>
            <w:vAlign w:val="bottom"/>
          </w:tcPr>
          <w:p>
            <w:pPr>
              <w:ind w:left="260"/>
              <w:spacing w:after="0"/>
              <w:rPr>
                <w:sz w:val="20"/>
                <w:szCs w:val="20"/>
                <w:color w:val="auto"/>
              </w:rPr>
            </w:pPr>
            <w:r>
              <w:rPr>
                <w:rFonts w:ascii="Arial" w:cs="Arial" w:eastAsia="Arial" w:hAnsi="Arial"/>
                <w:sz w:val="16"/>
                <w:szCs w:val="16"/>
                <w:color w:val="auto"/>
              </w:rPr>
              <w:t>HR Operations Manager</w:t>
            </w:r>
          </w:p>
        </w:tc>
      </w:tr>
      <w:tr>
        <w:trPr>
          <w:trHeight w:val="447"/>
        </w:trPr>
        <w:tc>
          <w:tcPr>
            <w:tcW w:w="5400" w:type="dxa"/>
            <w:vAlign w:val="bottom"/>
          </w:tcPr>
          <w:p>
            <w:pPr>
              <w:spacing w:after="0"/>
              <w:rPr>
                <w:sz w:val="20"/>
                <w:szCs w:val="20"/>
                <w:color w:val="auto"/>
              </w:rPr>
            </w:pPr>
            <w:r>
              <w:rPr>
                <w:rFonts w:ascii="Arial" w:cs="Arial" w:eastAsia="Arial" w:hAnsi="Arial"/>
                <w:sz w:val="22"/>
                <w:szCs w:val="22"/>
                <w:color w:val="auto"/>
              </w:rPr>
              <w:t>Lieu et date:</w:t>
            </w:r>
          </w:p>
        </w:tc>
        <w:tc>
          <w:tcPr>
            <w:tcW w:w="5840" w:type="dxa"/>
            <w:vAlign w:val="bottom"/>
            <w:gridSpan w:val="2"/>
          </w:tcPr>
          <w:p>
            <w:pPr>
              <w:ind w:left="340"/>
              <w:spacing w:after="0"/>
              <w:rPr>
                <w:sz w:val="20"/>
                <w:szCs w:val="20"/>
                <w:color w:val="auto"/>
              </w:rPr>
            </w:pPr>
            <w:r>
              <w:rPr>
                <w:rFonts w:ascii="Arial" w:cs="Arial" w:eastAsia="Arial" w:hAnsi="Arial"/>
                <w:sz w:val="22"/>
                <w:szCs w:val="22"/>
                <w:color w:val="auto"/>
              </w:rPr>
              <w:t>Place and date:</w:t>
            </w:r>
          </w:p>
        </w:tc>
      </w:tr>
      <w:tr>
        <w:trPr>
          <w:trHeight w:val="215"/>
        </w:trPr>
        <w:tc>
          <w:tcPr>
            <w:tcW w:w="5400" w:type="dxa"/>
            <w:vAlign w:val="bottom"/>
          </w:tcPr>
          <w:p>
            <w:pPr>
              <w:ind w:left="2880"/>
              <w:spacing w:after="0"/>
              <w:rPr>
                <w:sz w:val="20"/>
                <w:szCs w:val="20"/>
                <w:color w:val="auto"/>
              </w:rPr>
            </w:pPr>
            <w:r>
              <w:rPr>
                <w:rFonts w:ascii="Arial" w:cs="Arial" w:eastAsia="Arial" w:hAnsi="Arial"/>
                <w:sz w:val="16"/>
                <w:szCs w:val="16"/>
                <w:color w:val="auto"/>
              </w:rPr>
              <w:t>28 February 2025 | 06:49 PST</w:t>
            </w:r>
          </w:p>
        </w:tc>
        <w:tc>
          <w:tcPr>
            <w:tcW w:w="340" w:type="dxa"/>
            <w:vAlign w:val="bottom"/>
          </w:tcPr>
          <w:p>
            <w:pPr>
              <w:spacing w:after="0"/>
              <w:rPr>
                <w:sz w:val="18"/>
                <w:szCs w:val="18"/>
                <w:color w:val="auto"/>
              </w:rPr>
            </w:pPr>
          </w:p>
        </w:tc>
        <w:tc>
          <w:tcPr>
            <w:tcW w:w="5500" w:type="dxa"/>
            <w:vAlign w:val="bottom"/>
          </w:tcPr>
          <w:p>
            <w:pPr>
              <w:jc w:val="right"/>
              <w:ind w:right="268"/>
              <w:spacing w:after="0"/>
              <w:rPr>
                <w:sz w:val="20"/>
                <w:szCs w:val="20"/>
                <w:color w:val="auto"/>
              </w:rPr>
            </w:pPr>
            <w:r>
              <w:rPr>
                <w:rFonts w:ascii="Arial" w:cs="Arial" w:eastAsia="Arial" w:hAnsi="Arial"/>
                <w:sz w:val="16"/>
                <w:szCs w:val="16"/>
                <w:color w:val="auto"/>
              </w:rPr>
              <w:t>28 February 2025 | 06:49 PST</w:t>
            </w:r>
          </w:p>
        </w:tc>
      </w:tr>
      <w:tr>
        <w:trPr>
          <w:trHeight w:val="216"/>
        </w:trPr>
        <w:tc>
          <w:tcPr>
            <w:tcW w:w="5400" w:type="dxa"/>
            <w:vAlign w:val="bottom"/>
          </w:tcPr>
          <w:p>
            <w:pPr>
              <w:spacing w:after="0"/>
              <w:rPr>
                <w:sz w:val="20"/>
                <w:szCs w:val="20"/>
                <w:color w:val="auto"/>
              </w:rPr>
            </w:pPr>
            <w:r>
              <w:rPr>
                <w:rFonts w:ascii="Arial" w:cs="Arial" w:eastAsia="Arial" w:hAnsi="Arial"/>
                <w:sz w:val="16"/>
                <w:szCs w:val="16"/>
                <w:color w:val="auto"/>
              </w:rPr>
              <w:t>28/02/2025, Oberwil,</w:t>
            </w:r>
          </w:p>
        </w:tc>
        <w:tc>
          <w:tcPr>
            <w:tcW w:w="5840" w:type="dxa"/>
            <w:vAlign w:val="bottom"/>
            <w:gridSpan w:val="2"/>
          </w:tcPr>
          <w:p>
            <w:pPr>
              <w:ind w:left="340"/>
              <w:spacing w:after="0"/>
              <w:rPr>
                <w:sz w:val="20"/>
                <w:szCs w:val="20"/>
                <w:color w:val="auto"/>
              </w:rPr>
            </w:pPr>
            <w:r>
              <w:rPr>
                <w:rFonts w:ascii="Arial" w:cs="Arial" w:eastAsia="Arial" w:hAnsi="Arial"/>
                <w:sz w:val="16"/>
                <w:szCs w:val="16"/>
                <w:color w:val="auto"/>
              </w:rPr>
              <w:t>28/02/2025, Oberwil,</w:t>
            </w:r>
          </w:p>
        </w:tc>
      </w:tr>
      <w:tr>
        <w:trPr>
          <w:trHeight w:val="718"/>
        </w:trPr>
        <w:tc>
          <w:tcPr>
            <w:tcW w:w="5400" w:type="dxa"/>
            <w:vAlign w:val="bottom"/>
          </w:tcPr>
          <w:p>
            <w:pPr>
              <w:spacing w:after="0"/>
              <w:rPr>
                <w:sz w:val="20"/>
                <w:szCs w:val="20"/>
                <w:color w:val="auto"/>
              </w:rPr>
            </w:pPr>
            <w:r>
              <w:rPr>
                <w:rFonts w:ascii="Arial" w:cs="Arial" w:eastAsia="Arial" w:hAnsi="Arial"/>
                <w:sz w:val="22"/>
                <w:szCs w:val="22"/>
                <w:color w:val="auto"/>
              </w:rPr>
              <w:t>/s/Jeffrey Sevigny</w:t>
            </w:r>
          </w:p>
        </w:tc>
        <w:tc>
          <w:tcPr>
            <w:tcW w:w="5840" w:type="dxa"/>
            <w:vAlign w:val="bottom"/>
            <w:gridSpan w:val="2"/>
          </w:tcPr>
          <w:p>
            <w:pPr>
              <w:ind w:left="340"/>
              <w:spacing w:after="0"/>
              <w:rPr>
                <w:sz w:val="20"/>
                <w:szCs w:val="20"/>
                <w:color w:val="auto"/>
              </w:rPr>
            </w:pPr>
            <w:r>
              <w:rPr>
                <w:rFonts w:ascii="Arial" w:cs="Arial" w:eastAsia="Arial" w:hAnsi="Arial"/>
                <w:sz w:val="22"/>
                <w:szCs w:val="22"/>
                <w:color w:val="auto"/>
              </w:rPr>
              <w:t>/s/Jeffrey Sevigny</w:t>
            </w:r>
          </w:p>
        </w:tc>
      </w:tr>
      <w:tr>
        <w:trPr>
          <w:trHeight w:val="210"/>
        </w:trPr>
        <w:tc>
          <w:tcPr>
            <w:tcW w:w="5400" w:type="dxa"/>
            <w:vAlign w:val="bottom"/>
            <w:tcBorders>
              <w:top w:val="single" w:sz="8" w:color="auto"/>
            </w:tcBorders>
          </w:tcPr>
          <w:p>
            <w:pPr>
              <w:spacing w:after="0" w:line="210" w:lineRule="exact"/>
              <w:rPr>
                <w:sz w:val="20"/>
                <w:szCs w:val="20"/>
                <w:color w:val="auto"/>
              </w:rPr>
            </w:pPr>
            <w:r>
              <w:rPr>
                <w:rFonts w:ascii="Arial" w:cs="Arial" w:eastAsia="Arial" w:hAnsi="Arial"/>
                <w:sz w:val="22"/>
                <w:szCs w:val="22"/>
                <w:color w:val="auto"/>
              </w:rPr>
              <w:t>Le Travailleur:</w:t>
            </w:r>
          </w:p>
        </w:tc>
        <w:tc>
          <w:tcPr>
            <w:tcW w:w="340" w:type="dxa"/>
            <w:vAlign w:val="bottom"/>
          </w:tcPr>
          <w:p>
            <w:pPr>
              <w:spacing w:after="0"/>
              <w:rPr>
                <w:sz w:val="18"/>
                <w:szCs w:val="18"/>
                <w:color w:val="auto"/>
              </w:rPr>
            </w:pPr>
          </w:p>
        </w:tc>
        <w:tc>
          <w:tcPr>
            <w:tcW w:w="5500" w:type="dxa"/>
            <w:vAlign w:val="bottom"/>
            <w:tcBorders>
              <w:top w:val="single" w:sz="8" w:color="auto"/>
            </w:tcBorders>
          </w:tcPr>
          <w:p>
            <w:pPr>
              <w:spacing w:after="0" w:line="210" w:lineRule="exact"/>
              <w:rPr>
                <w:sz w:val="20"/>
                <w:szCs w:val="20"/>
                <w:color w:val="auto"/>
              </w:rPr>
            </w:pPr>
            <w:r>
              <w:rPr>
                <w:rFonts w:ascii="Arial" w:cs="Arial" w:eastAsia="Arial" w:hAnsi="Arial"/>
                <w:sz w:val="22"/>
                <w:szCs w:val="22"/>
                <w:color w:val="auto"/>
              </w:rPr>
              <w:t>The Employee:</w:t>
            </w:r>
          </w:p>
        </w:tc>
      </w:tr>
      <w:tr>
        <w:trPr>
          <w:trHeight w:val="283"/>
        </w:trPr>
        <w:tc>
          <w:tcPr>
            <w:tcW w:w="5400" w:type="dxa"/>
            <w:vAlign w:val="bottom"/>
          </w:tcPr>
          <w:p>
            <w:pPr>
              <w:spacing w:after="0"/>
              <w:rPr>
                <w:sz w:val="20"/>
                <w:szCs w:val="20"/>
                <w:color w:val="auto"/>
              </w:rPr>
            </w:pPr>
            <w:r>
              <w:rPr>
                <w:rFonts w:ascii="Arial" w:cs="Arial" w:eastAsia="Arial" w:hAnsi="Arial"/>
                <w:sz w:val="22"/>
                <w:szCs w:val="22"/>
                <w:color w:val="auto"/>
              </w:rPr>
              <w:t>Jeffrey Joseph Sevigny</w:t>
            </w:r>
          </w:p>
        </w:tc>
        <w:tc>
          <w:tcPr>
            <w:tcW w:w="5840" w:type="dxa"/>
            <w:vAlign w:val="bottom"/>
            <w:gridSpan w:val="2"/>
          </w:tcPr>
          <w:p>
            <w:pPr>
              <w:ind w:left="340"/>
              <w:spacing w:after="0"/>
              <w:rPr>
                <w:sz w:val="20"/>
                <w:szCs w:val="20"/>
                <w:color w:val="auto"/>
              </w:rPr>
            </w:pPr>
            <w:r>
              <w:rPr>
                <w:rFonts w:ascii="Arial" w:cs="Arial" w:eastAsia="Arial" w:hAnsi="Arial"/>
                <w:sz w:val="22"/>
                <w:szCs w:val="22"/>
                <w:color w:val="auto"/>
              </w:rPr>
              <w:t>Jeffrey Joseph Sevigny</w:t>
            </w: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0000FF"/>
        </w:rPr>
        <w:t>GLOBALIZATION PARTNERS SWITZERLAND SA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0000FF"/>
        </w:rPr>
        <w:t>ROUTE DE FRONTENEX 86BIS, 1208 GENEVE, SWITZERLAND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0000FF"/>
        </w:rPr>
        <w:t>HTTPS: / /G-P.COM</w:t>
      </w:r>
    </w:p>
    <w:p>
      <w:pPr>
        <w:spacing w:after="0" w:line="194"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0000FF"/>
        </w:rPr>
        <w:t>2023.3.CH.V[1]</w:t>
      </w:r>
      <w:r>
        <w:rPr>
          <w:sz w:val="20"/>
          <w:szCs w:val="20"/>
          <w:color w:val="auto"/>
        </w:rPr>
        <w:tab/>
      </w:r>
      <w:r>
        <w:rPr>
          <w:rFonts w:ascii="Arial" w:cs="Arial" w:eastAsia="Arial" w:hAnsi="Arial"/>
          <w:sz w:val="16"/>
          <w:szCs w:val="16"/>
          <w:color w:val="0000FF"/>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RAPPORT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INSIDER TRADING POLICY</w:t>
      </w:r>
    </w:p>
    <w:p>
      <w:pPr>
        <w:spacing w:after="0" w:line="233"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auto"/>
        </w:rPr>
        <w:t>Rapport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adopted the following amended and restated policy and procedures for securities trading by Company directors and employees (the “</w:t>
      </w:r>
      <w:r>
        <w:rPr>
          <w:rFonts w:ascii="Times New Roman" w:cs="Times New Roman" w:eastAsia="Times New Roman" w:hAnsi="Times New Roman"/>
          <w:sz w:val="22"/>
          <w:szCs w:val="22"/>
          <w:b w:val="1"/>
          <w:bCs w:val="1"/>
          <w:color w:val="auto"/>
        </w:rPr>
        <w:t>Insider Trading Policy</w:t>
      </w:r>
      <w:r>
        <w:rPr>
          <w:rFonts w:ascii="Times New Roman" w:cs="Times New Roman" w:eastAsia="Times New Roman" w:hAnsi="Times New Roman"/>
          <w:sz w:val="22"/>
          <w:szCs w:val="22"/>
          <w:color w:val="auto"/>
        </w:rPr>
        <w:t>”). Our Insider Trading Policy is intended to prevent the misuse of material nonpublic information, insider trading in securities, and the severe consequences associated with violations of insider trading laws. It is your obligation to review, understand and comply with this Insider Trading Policy and applicable laws. Our Board of Directors has approved this Insider Trading Policy, and we have appointed each of Troy Ignelzi and Cheryl Gault as Compliance Officers (collectively with their designees, the “</w:t>
      </w:r>
      <w:r>
        <w:rPr>
          <w:rFonts w:ascii="Times New Roman" w:cs="Times New Roman" w:eastAsia="Times New Roman" w:hAnsi="Times New Roman"/>
          <w:sz w:val="22"/>
          <w:szCs w:val="22"/>
          <w:b w:val="1"/>
          <w:bCs w:val="1"/>
          <w:color w:val="auto"/>
        </w:rPr>
        <w:t>Compliance Officers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b w:val="1"/>
          <w:bCs w:val="1"/>
          <w:color w:val="auto"/>
        </w:rPr>
        <w:t>Compliance Officer</w:t>
      </w:r>
      <w:r>
        <w:rPr>
          <w:rFonts w:ascii="Times New Roman" w:cs="Times New Roman" w:eastAsia="Times New Roman" w:hAnsi="Times New Roman"/>
          <w:sz w:val="22"/>
          <w:szCs w:val="22"/>
          <w:color w:val="auto"/>
        </w:rPr>
        <w:t>”) to administer the policy and to be available to answer your questions.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OVERVIEW</w:t>
      </w:r>
    </w:p>
    <w:p>
      <w:pPr>
        <w:spacing w:after="0" w:line="312" w:lineRule="exact"/>
        <w:rPr>
          <w:sz w:val="20"/>
          <w:szCs w:val="20"/>
          <w:color w:val="auto"/>
        </w:rPr>
      </w:pPr>
    </w:p>
    <w:p>
      <w:pPr>
        <w:ind w:left="440" w:hanging="432"/>
        <w:spacing w:after="0"/>
        <w:tabs>
          <w:tab w:leader="none" w:pos="440" w:val="left"/>
        </w:tabs>
        <w:numPr>
          <w:ilvl w:val="0"/>
          <w:numId w:val="10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Who Must Comply?</w:t>
      </w:r>
    </w:p>
    <w:p>
      <w:pPr>
        <w:spacing w:after="0" w:line="212"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This Insider Trading Policy applies to all of our employees and members of our Board of Directors, including anyone employed by or acting as a director of any of the Company’s subsidiaries, as well as any other individuals whom the Compliance Officers may designate as Insiders (defined below) because they have access to material nonpublic information about the Company.</w:t>
      </w:r>
    </w:p>
    <w:p>
      <w:pPr>
        <w:spacing w:after="0" w:line="180"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In addition, all of our directors, executive officers (as defined by Section 16 of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and any other employees or contractors designated by a Compliance Officer because they have access to material nonpublic information about the Company must comply with the Trading Procedures included in Part II of this Insider Trading Policy (the “</w:t>
      </w:r>
      <w:r>
        <w:rPr>
          <w:rFonts w:ascii="Times New Roman" w:cs="Times New Roman" w:eastAsia="Times New Roman" w:hAnsi="Times New Roman"/>
          <w:sz w:val="22"/>
          <w:szCs w:val="22"/>
          <w:b w:val="1"/>
          <w:bCs w:val="1"/>
          <w:color w:val="auto"/>
        </w:rPr>
        <w:t>Trading Procedures</w:t>
      </w:r>
      <w:r>
        <w:rPr>
          <w:rFonts w:ascii="Times New Roman" w:cs="Times New Roman" w:eastAsia="Times New Roman" w:hAnsi="Times New Roman"/>
          <w:sz w:val="22"/>
          <w:szCs w:val="22"/>
          <w:color w:val="auto"/>
        </w:rPr>
        <w:t>”); we will refer to these individuals in this policy as “</w:t>
      </w:r>
      <w:r>
        <w:rPr>
          <w:rFonts w:ascii="Times New Roman" w:cs="Times New Roman" w:eastAsia="Times New Roman" w:hAnsi="Times New Roman"/>
          <w:sz w:val="22"/>
          <w:szCs w:val="22"/>
          <w:b w:val="1"/>
          <w:bCs w:val="1"/>
          <w:color w:val="auto"/>
        </w:rPr>
        <w:t>Insiders</w:t>
      </w:r>
      <w:r>
        <w:rPr>
          <w:rFonts w:ascii="Times New Roman" w:cs="Times New Roman" w:eastAsia="Times New Roman" w:hAnsi="Times New Roman"/>
          <w:sz w:val="22"/>
          <w:szCs w:val="22"/>
          <w:color w:val="auto"/>
        </w:rPr>
        <w:t>.” The Trading Procedures provide rules for when Insiders can trade in our securities and explain the process for mandatory pre-clearance of proposed trades. You will be notified if you are considered to be an Insider who is required to comply with the Trading Procedures.</w:t>
      </w:r>
    </w:p>
    <w:p>
      <w:pPr>
        <w:spacing w:after="0" w:line="179" w:lineRule="exact"/>
        <w:rPr>
          <w:sz w:val="20"/>
          <w:szCs w:val="20"/>
          <w:color w:val="auto"/>
        </w:rPr>
      </w:pPr>
    </w:p>
    <w:p>
      <w:pPr>
        <w:ind w:right="340" w:firstLine="749"/>
        <w:spacing w:after="0" w:line="262" w:lineRule="auto"/>
        <w:rPr>
          <w:sz w:val="20"/>
          <w:szCs w:val="20"/>
          <w:color w:val="auto"/>
        </w:rPr>
      </w:pPr>
      <w:r>
        <w:rPr>
          <w:rFonts w:ascii="Times New Roman" w:cs="Times New Roman" w:eastAsia="Times New Roman" w:hAnsi="Times New Roman"/>
          <w:sz w:val="22"/>
          <w:szCs w:val="22"/>
          <w:color w:val="auto"/>
        </w:rPr>
        <w:t>This Insider Trading Policy and, for Insiders, the Trading Procedures also apply to the following persons (“</w:t>
      </w:r>
      <w:r>
        <w:rPr>
          <w:rFonts w:ascii="Times New Roman" w:cs="Times New Roman" w:eastAsia="Times New Roman" w:hAnsi="Times New Roman"/>
          <w:sz w:val="22"/>
          <w:szCs w:val="22"/>
          <w:b w:val="1"/>
          <w:bCs w:val="1"/>
          <w:color w:val="auto"/>
        </w:rPr>
        <w:t>Affiliated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Persons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500" w:right="20" w:hanging="743"/>
        <w:spacing w:after="0" w:line="255" w:lineRule="auto"/>
        <w:tabs>
          <w:tab w:leader="none" w:pos="150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w:t>
      </w:r>
      <w:r>
        <w:rPr>
          <w:rFonts w:ascii="Times New Roman" w:cs="Times New Roman" w:eastAsia="Times New Roman" w:hAnsi="Times New Roman"/>
          <w:sz w:val="21"/>
          <w:szCs w:val="21"/>
          <w:b w:val="1"/>
          <w:bCs w:val="1"/>
          <w:color w:val="auto"/>
        </w:rPr>
        <w:t>Family Members</w:t>
      </w:r>
      <w:r>
        <w:rPr>
          <w:rFonts w:ascii="Times New Roman" w:cs="Times New Roman" w:eastAsia="Times New Roman" w:hAnsi="Times New Roman"/>
          <w:sz w:val="21"/>
          <w:szCs w:val="21"/>
          <w:color w:val="auto"/>
        </w:rPr>
        <w:t>” (“Family Members” are (a) your spouse or domestic partner, children, stepchildren, grandchildren, parents, stepparents, grandparents, siblings and in-laws who reside in the same household as you,</w:t>
      </w:r>
    </w:p>
    <w:p>
      <w:pPr>
        <w:ind w:left="1500" w:right="18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just a phone 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78" w:name="page179"/>
    <w:bookmarkEnd w:id="178"/>
    <w:p>
      <w:pPr>
        <w:ind w:left="1500" w:right="160" w:hanging="743"/>
        <w:spacing w:after="0" w:line="244" w:lineRule="auto"/>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trusts, family partnerships and other types of entities formed for your benefit or for the benefit of a member of your family and over which you have the ability to influence or direct investment decisions concerning securities;</w:t>
      </w:r>
    </w:p>
    <w:p>
      <w:pPr>
        <w:spacing w:after="0" w:line="17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spacing w:after="0" w:line="206" w:lineRule="exact"/>
        <w:rPr>
          <w:rFonts w:ascii="Times New Roman" w:cs="Times New Roman" w:eastAsia="Times New Roman" w:hAnsi="Times New Roman"/>
          <w:sz w:val="22"/>
          <w:szCs w:val="22"/>
          <w:color w:val="auto"/>
        </w:rPr>
      </w:pPr>
    </w:p>
    <w:p>
      <w:pPr>
        <w:ind w:left="1500" w:right="140" w:hanging="743"/>
        <w:spacing w:after="0" w:line="245" w:lineRule="auto"/>
        <w:tabs>
          <w:tab w:leader="none" w:pos="150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investment funds, trusts, retirement plans, partnerships, corporations and other types of entities over which you have the ability to influence or direct investment decisions concerning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Trading Procedures do not apply to any such entity that engages in the investment of securities in the ordinary course of its business (e.g., an investment fund or partnership) if the entity has established its own insider trading controls and procedures in compliance with applicable securities laws and it (or an affiliated entity) has represented to the Company that its affiliated entities: (a) engage in the investment of securities in the ordinary course of their respective businesses; (b) have established insider trading controls and procedures in compliance with securities laws; and (c)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77" w:lineRule="exact"/>
        <w:rPr>
          <w:sz w:val="20"/>
          <w:szCs w:val="20"/>
          <w:color w:val="auto"/>
        </w:rPr>
      </w:pPr>
    </w:p>
    <w:p>
      <w:pPr>
        <w:ind w:right="780" w:firstLine="749"/>
        <w:spacing w:after="0" w:line="258" w:lineRule="auto"/>
        <w:rPr>
          <w:sz w:val="20"/>
          <w:szCs w:val="20"/>
          <w:color w:val="auto"/>
        </w:rPr>
      </w:pPr>
      <w:r>
        <w:rPr>
          <w:rFonts w:ascii="Times New Roman" w:cs="Times New Roman" w:eastAsia="Times New Roman" w:hAnsi="Times New Roman"/>
          <w:sz w:val="22"/>
          <w:szCs w:val="22"/>
          <w:color w:val="auto"/>
        </w:rPr>
        <w:t>You are responsible for ensuring compliance with this Insider Trading Policy, including the Trading Procedures contained herein, by all of your Affiliated Persons.</w:t>
      </w:r>
    </w:p>
    <w:p>
      <w:pPr>
        <w:spacing w:after="0" w:line="152" w:lineRule="exact"/>
        <w:rPr>
          <w:sz w:val="20"/>
          <w:szCs w:val="20"/>
          <w:color w:val="auto"/>
        </w:rPr>
      </w:pPr>
    </w:p>
    <w:p>
      <w:pPr>
        <w:ind w:left="440" w:hanging="432"/>
        <w:spacing w:after="0"/>
        <w:tabs>
          <w:tab w:leader="none" w:pos="440" w:val="left"/>
        </w:tabs>
        <w:numPr>
          <w:ilvl w:val="0"/>
          <w:numId w:val="10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Prohibited by this Insider Trading Policy?</w:t>
      </w:r>
    </w:p>
    <w:p>
      <w:pPr>
        <w:spacing w:after="0" w:line="212" w:lineRule="exact"/>
        <w:rPr>
          <w:sz w:val="20"/>
          <w:szCs w:val="20"/>
          <w:color w:val="auto"/>
        </w:rPr>
      </w:pPr>
    </w:p>
    <w:p>
      <w:pPr>
        <w:ind w:right="180" w:firstLine="749"/>
        <w:spacing w:after="0" w:line="236" w:lineRule="auto"/>
        <w:rPr>
          <w:sz w:val="20"/>
          <w:szCs w:val="20"/>
          <w:color w:val="auto"/>
        </w:rPr>
      </w:pPr>
      <w:r>
        <w:rPr>
          <w:rFonts w:ascii="Times New Roman" w:cs="Times New Roman" w:eastAsia="Times New Roman" w:hAnsi="Times New Roman"/>
          <w:sz w:val="22"/>
          <w:szCs w:val="22"/>
          <w:color w:val="auto"/>
        </w:rPr>
        <w:t>You and your Affiliated Persons are prohibited from engaging in insider trading and from trading in securities in violation of this Insider Trading Policy. “Insider trading” is (1) trading (buying or selling) the securities of a company whether for your account or for the account of another, while in the possession of material nonpublic information (see definition below) about that company or (2) disclosing material nonpublic information about a company to others who may trade on the basis of that information. Insider trading can result in criminal prosecution, jail time, significant fines and public embarrassment for you and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Trading in Company Securities</w:t>
      </w:r>
    </w:p>
    <w:p>
      <w:pPr>
        <w:spacing w:after="0" w:line="21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When you are in possession of material nonpublic information about the Company, whether positive or negative, you are prohibited from trading (whether for your account of for the account of another) in the Company’s securities, which include common stock, options to purchase common stock, any other type of securities that the Company may issue (such as preferred stock, convertible debentures, warrants and exchange-traded options), and any derivative securities that provide the economic equivalent of ownership of any the Company’s securities or an opportunity, direct or indirect, to profit from any change in the value of the Company’s securities, except for trades made pursuant to plans approved by a Compliance Officer in accordance with this policy that are intended to comply with Rule 10b5-1 under the Exchange Act.</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79" w:name="page180"/>
    <w:bookmarkEnd w:id="179"/>
    <w:p>
      <w:pPr>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trading prohibitions in this Insider Trading Policy do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apply to: (1) an exercise of an employee stock option when payment of the exercise price is made in cash or (2)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7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21"/>
          <w:szCs w:val="21"/>
          <w:color w:val="auto"/>
        </w:rPr>
        <w:t xml:space="preserve">The trading prohibitions in this Insider Trading Policy </w:t>
      </w:r>
      <w:r>
        <w:rPr>
          <w:rFonts w:ascii="Times New Roman" w:cs="Times New Roman" w:eastAsia="Times New Roman" w:hAnsi="Times New Roman"/>
          <w:sz w:val="21"/>
          <w:szCs w:val="21"/>
          <w:u w:val="single" w:color="auto"/>
          <w:color w:val="auto"/>
        </w:rPr>
        <w:t>do</w:t>
      </w:r>
      <w:r>
        <w:rPr>
          <w:rFonts w:ascii="Times New Roman" w:cs="Times New Roman" w:eastAsia="Times New Roman" w:hAnsi="Times New Roman"/>
          <w:sz w:val="21"/>
          <w:szCs w:val="21"/>
          <w:color w:val="auto"/>
        </w:rPr>
        <w:t xml:space="preserve"> apply, however, to the use of outstanding Company securities to pay part or all of the exercise price of a stock option, any sale of stock as part of a broker-assisted cashless exercise of an option and any other market sale for the purpose of generating the cash needed to pay the exercise price of an option.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Tipping</w:t>
      </w:r>
    </w:p>
    <w:p>
      <w:pPr>
        <w:spacing w:after="0" w:line="210"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Providing material nonpublic information about the Company to another person who may trade or advise others to trade on the basis of that information is known as “</w:t>
      </w:r>
      <w:r>
        <w:rPr>
          <w:rFonts w:ascii="Times New Roman" w:cs="Times New Roman" w:eastAsia="Times New Roman" w:hAnsi="Times New Roman"/>
          <w:sz w:val="22"/>
          <w:szCs w:val="22"/>
          <w:u w:val="single" w:color="auto"/>
          <w:color w:val="auto"/>
        </w:rPr>
        <w:t>tipping</w:t>
      </w:r>
      <w:r>
        <w:rPr>
          <w:rFonts w:ascii="Times New Roman" w:cs="Times New Roman" w:eastAsia="Times New Roman" w:hAnsi="Times New Roman"/>
          <w:sz w:val="22"/>
          <w:szCs w:val="22"/>
          <w:color w:val="auto"/>
        </w:rPr>
        <w:t>”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Trading in Securities of Other Companies</w:t>
      </w:r>
    </w:p>
    <w:p>
      <w:pPr>
        <w:spacing w:after="0" w:line="210" w:lineRule="exact"/>
        <w:rPr>
          <w:sz w:val="20"/>
          <w:szCs w:val="20"/>
          <w:color w:val="auto"/>
        </w:rPr>
      </w:pPr>
    </w:p>
    <w:p>
      <w:pPr>
        <w:ind w:right="120" w:firstLine="749"/>
        <w:spacing w:after="0" w:line="235" w:lineRule="auto"/>
        <w:rPr>
          <w:sz w:val="20"/>
          <w:szCs w:val="20"/>
          <w:color w:val="auto"/>
        </w:rPr>
      </w:pPr>
      <w:r>
        <w:rPr>
          <w:rFonts w:ascii="Times New Roman" w:cs="Times New Roman" w:eastAsia="Times New Roman" w:hAnsi="Times New Roman"/>
          <w:sz w:val="22"/>
          <w:szCs w:val="22"/>
          <w:color w:val="auto"/>
        </w:rPr>
        <w:t>This policy’s prohibitions against insider trading and tipping also apply to trading in securities of other companies, including the Company’s customers, suppliers, partners and other enterprises with which we are working (such as when negotiating an acquisition, investment or other transaction that could be material to the other company). Whenever, during the course of your service to or employment by the Company, you become aware of material nonpublic information about another company, including any confidential information that is reasonably likely to affect the market price of that company’s securities (for example, discussions of licensing a product or acquiring that other company), neither you nor your Affiliated Persons may trade in any securities of that company, give trading advice about that company, tip or disclose that information, pass it on to others or engage in any other action to take advantage of that information.</w:t>
      </w:r>
    </w:p>
    <w:p>
      <w:pPr>
        <w:spacing w:after="0" w:line="178" w:lineRule="exact"/>
        <w:rPr>
          <w:sz w:val="20"/>
          <w:szCs w:val="20"/>
          <w:color w:val="auto"/>
        </w:rPr>
      </w:pPr>
    </w:p>
    <w:p>
      <w:pPr>
        <w:ind w:right="520" w:firstLine="749"/>
        <w:spacing w:after="0" w:line="258" w:lineRule="auto"/>
        <w:rPr>
          <w:sz w:val="20"/>
          <w:szCs w:val="20"/>
          <w:color w:val="auto"/>
        </w:rPr>
      </w:pPr>
      <w:r>
        <w:rPr>
          <w:rFonts w:ascii="Times New Roman" w:cs="Times New Roman" w:eastAsia="Times New Roman" w:hAnsi="Times New Roman"/>
          <w:sz w:val="22"/>
          <w:szCs w:val="22"/>
          <w:color w:val="auto"/>
        </w:rPr>
        <w:t>If your work regularly involves handling or discussing confidential information of one of our partners, suppliers or customers, you should consult with the Compliance Officers before trading in any of that company’s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Prohibited Transactions</w:t>
      </w:r>
    </w:p>
    <w:p>
      <w:pPr>
        <w:spacing w:after="0" w:line="204" w:lineRule="exact"/>
        <w:rPr>
          <w:sz w:val="20"/>
          <w:szCs w:val="20"/>
          <w:color w:val="auto"/>
        </w:rPr>
      </w:pPr>
    </w:p>
    <w:p>
      <w:pPr>
        <w:ind w:left="1500" w:right="200" w:hanging="743"/>
        <w:spacing w:after="0" w:line="264" w:lineRule="auto"/>
        <w:tabs>
          <w:tab w:leader="none" w:pos="15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Short Sales</w:t>
      </w:r>
      <w:r>
        <w:rPr>
          <w:rFonts w:ascii="Times New Roman" w:cs="Times New Roman" w:eastAsia="Times New Roman" w:hAnsi="Times New Roman"/>
          <w:sz w:val="22"/>
          <w:szCs w:val="22"/>
          <w:color w:val="auto"/>
        </w:rPr>
        <w:t>. You may not at any time sell any securities of the Company that are not owned by you at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time of the sale (a “short sale”).</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80" w:name="page181"/>
    <w:bookmarkEnd w:id="180"/>
    <w:p>
      <w:pPr>
        <w:ind w:left="1500" w:right="20" w:hanging="743"/>
        <w:spacing w:after="0" w:line="266" w:lineRule="auto"/>
        <w:tabs>
          <w:tab w:leader="none" w:pos="150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No Purchases or Sales of Derivative Securities or Hedging Transactions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You may not buy or sell puts, calls,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other derivative securities of the Company or any derivative securities that provide the economic equivalent of ownership of any of the Company’s securities or an opportunity, direct or indirect, to profit from any change in the value of our securities or engage in any other hedging transaction with respect to our securities.</w:t>
      </w:r>
    </w:p>
    <w:p>
      <w:pPr>
        <w:spacing w:after="0" w:line="144" w:lineRule="exact"/>
        <w:rPr>
          <w:rFonts w:ascii="Times New Roman" w:cs="Times New Roman" w:eastAsia="Times New Roman" w:hAnsi="Times New Roman"/>
          <w:sz w:val="21"/>
          <w:szCs w:val="21"/>
          <w:color w:val="auto"/>
        </w:rPr>
      </w:pPr>
    </w:p>
    <w:p>
      <w:pPr>
        <w:ind w:left="1500" w:right="120" w:hanging="743"/>
        <w:spacing w:after="0" w:line="264" w:lineRule="auto"/>
        <w:tabs>
          <w:tab w:leader="none" w:pos="15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Company Securities Subject to Margin Calls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 may not use the Company’s securities as collateral in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margin account.</w:t>
      </w:r>
    </w:p>
    <w:p>
      <w:pPr>
        <w:spacing w:after="0" w:line="145"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Pledges</w:t>
      </w:r>
      <w:r>
        <w:rPr>
          <w:rFonts w:ascii="Times New Roman" w:cs="Times New Roman" w:eastAsia="Times New Roman" w:hAnsi="Times New Roman"/>
          <w:sz w:val="22"/>
          <w:szCs w:val="22"/>
          <w:color w:val="auto"/>
        </w:rPr>
        <w:t>. You may not pledge Company securities as collateral for a loan (or modify an existing pledge).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Duration of Trading Prohibitions</w:t>
      </w:r>
    </w:p>
    <w:p>
      <w:pPr>
        <w:spacing w:after="0" w:line="210"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These trading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even the appearance of improper insider trading and how enforcement authorities and others might view the transaction in hindsight.</w:t>
      </w:r>
    </w:p>
    <w:p>
      <w:pPr>
        <w:spacing w:after="0" w:line="180"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color w:val="auto"/>
        </w:rPr>
        <w:t>This Insider Trading Policy applies to you and your Affiliated Persons so long as you are associated with the Company. If you leave the Company for any reason, this Insider Trading Policy, including, if applicable, the Trading Procedures described in Part III, will continue to apply to you and your Affiliated Persons until the later of: (1) the first trading day following the public release of earnings for the fiscal quarter in which you leave the Company or (2) the first trading day after any material nonpublic information known to you has become public or is no longer material.</w:t>
      </w:r>
    </w:p>
    <w:p>
      <w:pPr>
        <w:spacing w:after="0" w:line="171" w:lineRule="exact"/>
        <w:rPr>
          <w:sz w:val="20"/>
          <w:szCs w:val="20"/>
          <w:color w:val="auto"/>
        </w:rPr>
      </w:pPr>
    </w:p>
    <w:p>
      <w:pPr>
        <w:ind w:left="440" w:hanging="432"/>
        <w:spacing w:after="0"/>
        <w:tabs>
          <w:tab w:leader="none" w:pos="440" w:val="left"/>
        </w:tabs>
        <w:numPr>
          <w:ilvl w:val="0"/>
          <w:numId w:val="10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Material Nonpublic Information?</w:t>
      </w:r>
    </w:p>
    <w:p>
      <w:pPr>
        <w:spacing w:after="0" w:line="212"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This Insider Trading Policy prohibits you from trading in a company’s securities if you are in possession of information about the company that is both “</w:t>
      </w:r>
      <w:r>
        <w:rPr>
          <w:rFonts w:ascii="Times New Roman" w:cs="Times New Roman" w:eastAsia="Times New Roman" w:hAnsi="Times New Roman"/>
          <w:sz w:val="22"/>
          <w:szCs w:val="22"/>
          <w:i w:val="1"/>
          <w:iCs w:val="1"/>
          <w:color w:val="auto"/>
        </w:rPr>
        <w:t>material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nonpublic</w:t>
      </w:r>
      <w:r>
        <w:rPr>
          <w:rFonts w:ascii="Times New Roman" w:cs="Times New Roman" w:eastAsia="Times New Roman" w:hAnsi="Times New Roman"/>
          <w:sz w:val="22"/>
          <w:szCs w:val="22"/>
          <w:color w:val="auto"/>
        </w:rPr>
        <w:t>.” If you have a question whether certain information you are aware of is material or has been made public, you should consult with the Compliance Officers.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Information</w:t>
      </w:r>
    </w:p>
    <w:p>
      <w:pPr>
        <w:spacing w:after="0" w:line="210" w:lineRule="exact"/>
        <w:rPr>
          <w:sz w:val="20"/>
          <w:szCs w:val="20"/>
          <w:color w:val="auto"/>
        </w:rPr>
      </w:pPr>
    </w:p>
    <w:p>
      <w:pPr>
        <w:ind w:right="140" w:firstLine="749"/>
        <w:spacing w:after="0" w:line="236" w:lineRule="auto"/>
        <w:rPr>
          <w:sz w:val="20"/>
          <w:szCs w:val="20"/>
          <w:color w:val="auto"/>
        </w:rPr>
      </w:pPr>
      <w:r>
        <w:rPr>
          <w:rFonts w:ascii="Times New Roman" w:cs="Times New Roman" w:eastAsia="Times New Roman" w:hAnsi="Times New Roman"/>
          <w:sz w:val="22"/>
          <w:szCs w:val="22"/>
          <w:color w:val="auto"/>
        </w:rPr>
        <w:t>Information about our Company or any other company is “material” if it could reasonably be expected to affect the investment decisions of a stockholder or potential investor or if disclosure of the information could reasonably be expected to significantly alter the total mix of information in the marketplace about us or any other company. We speak mostly in this Insider Trading Policy about determining whether information about us is material and nonpublic, but the same analysis applies to information about other companies covered by this Insider Trading Policy that would preclude you from trading in their securities.</w:t>
      </w:r>
    </w:p>
    <w:p>
      <w:pPr>
        <w:spacing w:after="0" w:line="181"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In simple terms, material information is any type of information that could reasonably be expected to affect the market price of our securities. Both positive and negative information may be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2" w:right="399" w:bottom="1440" w:gutter="0" w:footer="0" w:header="0"/>
        </w:sectPr>
      </w:pPr>
    </w:p>
    <w:bookmarkStart w:id="181" w:name="page182"/>
    <w:bookmarkEnd w:id="181"/>
    <w:p>
      <w:pPr>
        <w:ind w:right="200"/>
        <w:spacing w:after="0" w:line="258" w:lineRule="auto"/>
        <w:rPr>
          <w:sz w:val="20"/>
          <w:szCs w:val="20"/>
          <w:color w:val="auto"/>
        </w:rPr>
      </w:pPr>
      <w:r>
        <w:rPr>
          <w:rFonts w:ascii="Times New Roman" w:cs="Times New Roman" w:eastAsia="Times New Roman" w:hAnsi="Times New Roman"/>
          <w:sz w:val="22"/>
          <w:szCs w:val="22"/>
          <w:color w:val="auto"/>
        </w:rPr>
        <w:t>material. While it is not possible to identify all information that would be deemed “material,” the following items are examples of the types of information that could be material:</w:t>
      </w:r>
    </w:p>
    <w:p>
      <w:pPr>
        <w:spacing w:after="0" w:line="158" w:lineRule="exact"/>
        <w:rPr>
          <w:sz w:val="20"/>
          <w:szCs w:val="20"/>
          <w:color w:val="auto"/>
        </w:rPr>
      </w:pPr>
    </w:p>
    <w:p>
      <w:pPr>
        <w:ind w:left="1500" w:right="140" w:hanging="743"/>
        <w:spacing w:after="0" w:line="255" w:lineRule="auto"/>
        <w:tabs>
          <w:tab w:leader="none" w:pos="150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new scientific discoveries or other events, late-stage preclinical development achievements or failures from any lead or other important preclinical programs, clinical program developments, filing of an Investigational New Drug Application or other significant regulatory events or interactions, relevant regulatory changes, data that have been recently generated from ongoing or recently completed clinical trials;</w:t>
      </w:r>
    </w:p>
    <w:p>
      <w:pPr>
        <w:spacing w:after="0" w:line="53" w:lineRule="exact"/>
        <w:rPr>
          <w:rFonts w:ascii="Times New Roman" w:cs="Times New Roman" w:eastAsia="Times New Roman" w:hAnsi="Times New Roman"/>
          <w:sz w:val="21"/>
          <w:szCs w:val="21"/>
          <w:color w:val="auto"/>
        </w:rPr>
      </w:pPr>
    </w:p>
    <w:p>
      <w:pPr>
        <w:ind w:left="1500" w:right="320" w:hanging="743"/>
        <w:spacing w:after="0" w:line="244" w:lineRule="auto"/>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plans to pursue, entry into, or termination of a major licensing, partnership, collaboration, manufacturing or supply agreement, or changes in relationships, including significant disputes, with major licensors, licensees, partners, collaborators, manufacturers, or suppliers;</w:t>
      </w:r>
    </w:p>
    <w:p>
      <w:pPr>
        <w:spacing w:after="0" w:line="65"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financial results that are known but have not been publicly disclosed;</w:t>
      </w:r>
    </w:p>
    <w:p>
      <w:pPr>
        <w:spacing w:after="0" w:line="98" w:lineRule="exact"/>
        <w:rPr>
          <w:rFonts w:ascii="Times New Roman" w:cs="Times New Roman" w:eastAsia="Times New Roman" w:hAnsi="Times New Roman"/>
          <w:sz w:val="22"/>
          <w:szCs w:val="22"/>
          <w:color w:val="auto"/>
        </w:rPr>
      </w:pPr>
    </w:p>
    <w:p>
      <w:pPr>
        <w:ind w:left="1500" w:right="40" w:hanging="743"/>
        <w:spacing w:after="0" w:line="258" w:lineRule="auto"/>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restatements of the Company’s financial statements, changes in auditors or auditor notification that the Company may no longer rely on an auditor’s audit report;</w:t>
      </w:r>
    </w:p>
    <w:p>
      <w:pPr>
        <w:spacing w:after="0" w:line="50" w:lineRule="exact"/>
        <w:rPr>
          <w:rFonts w:ascii="Times New Roman" w:cs="Times New Roman" w:eastAsia="Times New Roman" w:hAnsi="Times New Roman"/>
          <w:sz w:val="22"/>
          <w:szCs w:val="22"/>
          <w:color w:val="auto"/>
        </w:rPr>
      </w:pPr>
    </w:p>
    <w:p>
      <w:pPr>
        <w:ind w:left="1500" w:right="180" w:hanging="743"/>
        <w:spacing w:after="0" w:line="258" w:lineRule="auto"/>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proposed corporate mergers, acquisitions, tender offers, joint ventures or dispositions of significant assets;</w:t>
      </w:r>
    </w:p>
    <w:p>
      <w:pPr>
        <w:spacing w:after="0" w:line="50"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 significant employees, or member of our Board of Directors;</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actual or threatened litigation or governmental investigations or major developments in such matters;</w:t>
      </w:r>
    </w:p>
    <w:p>
      <w:pPr>
        <w:spacing w:after="0" w:line="109" w:lineRule="exact"/>
        <w:rPr>
          <w:rFonts w:ascii="Times New Roman" w:cs="Times New Roman" w:eastAsia="Times New Roman" w:hAnsi="Times New Roman"/>
          <w:sz w:val="21"/>
          <w:szCs w:val="21"/>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risks and incidents, including the discovery of significant vulnerabilities or breaches;</w:t>
      </w:r>
    </w:p>
    <w:p>
      <w:pPr>
        <w:spacing w:after="0" w:line="98" w:lineRule="exact"/>
        <w:rPr>
          <w:rFonts w:ascii="Times New Roman" w:cs="Times New Roman" w:eastAsia="Times New Roman" w:hAnsi="Times New Roman"/>
          <w:sz w:val="22"/>
          <w:szCs w:val="22"/>
          <w:color w:val="auto"/>
        </w:rPr>
      </w:pPr>
    </w:p>
    <w:p>
      <w:pPr>
        <w:ind w:left="1500" w:right="180" w:hanging="743"/>
        <w:spacing w:after="0" w:line="258" w:lineRule="auto"/>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regarding products, customers, suppliers, orders, contracts or financing sources (e.g., the acquisition or loss of a contract);</w:t>
      </w:r>
    </w:p>
    <w:p>
      <w:pPr>
        <w:spacing w:after="0" w:line="50"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 declarations of stock splits or proposed securities offerings or other financings;</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defaults under our credit agreements or indentures or potential material liquidity issues; and</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or receiverships.</w:t>
      </w:r>
    </w:p>
    <w:p>
      <w:pPr>
        <w:spacing w:after="0" w:line="206"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The above items will not always be material. For example, some new products or contracts may clearly be material while others may not be. No “bright-line” standard or list of items can adequately address the range of situations that may arise; information and events should be carefully considered in terms of their materiality to the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2"/>
          <w:szCs w:val="22"/>
          <w:b w:val="1"/>
          <w:bCs w:val="1"/>
          <w:color w:val="auto"/>
        </w:rPr>
        <w:t>“Nonpublic” Information</w:t>
      </w:r>
    </w:p>
    <w:p>
      <w:pPr>
        <w:spacing w:after="0" w:line="210" w:lineRule="exact"/>
        <w:rPr>
          <w:sz w:val="20"/>
          <w:szCs w:val="20"/>
          <w:color w:val="auto"/>
        </w:rPr>
      </w:pPr>
    </w:p>
    <w:p>
      <w:pPr>
        <w:ind w:right="840" w:firstLine="749"/>
        <w:spacing w:after="0" w:line="258" w:lineRule="auto"/>
        <w:rPr>
          <w:sz w:val="20"/>
          <w:szCs w:val="20"/>
          <w:color w:val="auto"/>
        </w:rPr>
      </w:pPr>
      <w:r>
        <w:rPr>
          <w:rFonts w:ascii="Times New Roman" w:cs="Times New Roman" w:eastAsia="Times New Roman" w:hAnsi="Times New Roman"/>
          <w:sz w:val="22"/>
          <w:szCs w:val="22"/>
          <w:color w:val="auto"/>
        </w:rPr>
        <w:t>Material information is “nonpublic” if it has not been disseminated in a manner making it available to investors generally.</w:t>
      </w:r>
    </w:p>
    <w:p>
      <w:pPr>
        <w:spacing w:after="0" w:line="158"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To demonstrate that information is public, one must be able to point to some fact that establishes that the information has become publicly available, such as the filing of a report with the SEC, the distribution of a press release, publishing the information on our website or posting on social media if those are regular ways we communicate with investors, or by other means that are reasonably designed to provide broad public access. Before a person with material nonpublic information can trade, the market must have adequate time to absorb the information that has been disclosed. For the purposes of this Insider Trading Policy, information will be considered public after the completion of one full day of trading following our public release of the information. For that purpose, a full day of trading means an entire calendar day in which a session of regular trading hours on the Nasdaq Stock Market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between 9:30 a.m. and 4:00 p.m. Eastern Time (or such earlier close time as has been set by exchange rules) has occurred.</w:t>
      </w:r>
    </w:p>
    <w:p>
      <w:pPr>
        <w:spacing w:after="0" w:line="183" w:lineRule="exact"/>
        <w:rPr>
          <w:sz w:val="20"/>
          <w:szCs w:val="20"/>
          <w:color w:val="auto"/>
        </w:rPr>
      </w:pPr>
    </w:p>
    <w:p>
      <w:pPr>
        <w:ind w:right="220" w:firstLine="749"/>
        <w:spacing w:after="0" w:line="239" w:lineRule="auto"/>
        <w:rPr>
          <w:sz w:val="20"/>
          <w:szCs w:val="20"/>
          <w:color w:val="auto"/>
        </w:rPr>
      </w:pPr>
      <w:r>
        <w:rPr>
          <w:rFonts w:ascii="Times New Roman" w:cs="Times New Roman" w:eastAsia="Times New Roman" w:hAnsi="Times New Roman"/>
          <w:sz w:val="22"/>
          <w:szCs w:val="22"/>
          <w:color w:val="auto"/>
        </w:rPr>
        <w:t>For example, if the Company publicly discloses material nonpublic information of which you are aware before trading begins on a Tuesday, the first time you can buy or sell Company securities is the opening of the market on Wednesday. However, if the Company publicly discloses material information after trading begins on a Tuesday, the first time that you can buy or sell Company securities is the opening of the market on Thursday.</w:t>
      </w:r>
    </w:p>
    <w:p>
      <w:pPr>
        <w:spacing w:after="0" w:line="174" w:lineRule="exact"/>
        <w:rPr>
          <w:sz w:val="20"/>
          <w:szCs w:val="20"/>
          <w:color w:val="auto"/>
        </w:rPr>
      </w:pPr>
    </w:p>
    <w:p>
      <w:pPr>
        <w:ind w:left="440" w:hanging="432"/>
        <w:spacing w:after="0"/>
        <w:tabs>
          <w:tab w:leader="none" w:pos="440" w:val="left"/>
        </w:tabs>
        <w:numPr>
          <w:ilvl w:val="0"/>
          <w:numId w:val="10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are the Penalties for Insider Trading and Noncompliance with this Insider Trading Policy?</w:t>
      </w:r>
    </w:p>
    <w:p>
      <w:pPr>
        <w:spacing w:after="0" w:line="208" w:lineRule="exact"/>
        <w:rPr>
          <w:sz w:val="20"/>
          <w:szCs w:val="20"/>
          <w:color w:val="auto"/>
        </w:rPr>
      </w:pPr>
    </w:p>
    <w:p>
      <w:pPr>
        <w:ind w:right="40" w:firstLine="749"/>
        <w:spacing w:after="0" w:line="241" w:lineRule="auto"/>
        <w:rPr>
          <w:sz w:val="20"/>
          <w:szCs w:val="20"/>
          <w:color w:val="auto"/>
        </w:rPr>
      </w:pPr>
      <w:r>
        <w:rPr>
          <w:rFonts w:ascii="Times New Roman" w:cs="Times New Roman" w:eastAsia="Times New Roman" w:hAnsi="Times New Roman"/>
          <w:sz w:val="22"/>
          <w:szCs w:val="22"/>
          <w:color w:val="auto"/>
        </w:rPr>
        <w:t>Both the U.S.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and the national securities exchanges, through the Financial Industry Regulatory Authority (“</w:t>
      </w:r>
      <w:r>
        <w:rPr>
          <w:rFonts w:ascii="Times New Roman" w:cs="Times New Roman" w:eastAsia="Times New Roman" w:hAnsi="Times New Roman"/>
          <w:sz w:val="22"/>
          <w:szCs w:val="22"/>
          <w:b w:val="1"/>
          <w:bCs w:val="1"/>
          <w:color w:val="auto"/>
        </w:rPr>
        <w:t>FINRA</w:t>
      </w:r>
      <w:r>
        <w:rPr>
          <w:rFonts w:ascii="Times New Roman" w:cs="Times New Roman" w:eastAsia="Times New Roman" w:hAnsi="Times New Roman"/>
          <w:sz w:val="22"/>
          <w:szCs w:val="22"/>
          <w:color w:val="auto"/>
        </w:rPr>
        <w:t>”), investigate and are very effective at detecting insider trading. The U.S. government pursues insider trading violations vigorously, successfully prosecuting, for example, trading by employees in foreign accounts, trading by family members and friends of insiders and trading involving only a small number of shares.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penalties for violating rules against insider trading can be severe and include:</w:t>
      </w:r>
    </w:p>
    <w:p>
      <w:pPr>
        <w:spacing w:after="0" w:line="206" w:lineRule="exact"/>
        <w:rPr>
          <w:sz w:val="20"/>
          <w:szCs w:val="20"/>
          <w:color w:val="auto"/>
        </w:rPr>
      </w:pPr>
    </w:p>
    <w:p>
      <w:pPr>
        <w:ind w:left="1140" w:hanging="383"/>
        <w:spacing w:after="0"/>
        <w:tabs>
          <w:tab w:leader="none" w:pos="11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forfeiting any profit gained or loss avoided by the trading;</w:t>
      </w:r>
    </w:p>
    <w:p>
      <w:pPr>
        <w:spacing w:after="0" w:line="98" w:lineRule="exact"/>
        <w:rPr>
          <w:rFonts w:ascii="Times New Roman" w:cs="Times New Roman" w:eastAsia="Times New Roman" w:hAnsi="Times New Roman"/>
          <w:sz w:val="22"/>
          <w:szCs w:val="22"/>
          <w:color w:val="auto"/>
        </w:rPr>
      </w:pPr>
    </w:p>
    <w:p>
      <w:pPr>
        <w:ind w:left="1140" w:right="120" w:hanging="383"/>
        <w:spacing w:after="0" w:line="258" w:lineRule="auto"/>
        <w:tabs>
          <w:tab w:leader="none" w:pos="11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loss suffered by the persons who, contemporaneously with the purchase or sale of securities that are subject of a violation, have purchased or sold securities of the same class;</w:t>
      </w:r>
    </w:p>
    <w:p>
      <w:pPr>
        <w:spacing w:after="0" w:line="50"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criminal penalties of up to $5,000,000;</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civil penalties of up to three times the profit made or loss avoided; and</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imprisonment for up to 20 years.</w:t>
      </w:r>
    </w:p>
    <w:p>
      <w:pPr>
        <w:spacing w:after="0" w:line="20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The Company and/or the supervisors of the person engaged in insider trading may also be required to pay civil penalties or fines of $2,500,000 or more, up to three times the profit made or</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83" w:name="page184"/>
    <w:bookmarkEnd w:id="183"/>
    <w:p>
      <w:pPr>
        <w:ind w:right="640"/>
        <w:spacing w:after="0" w:line="258" w:lineRule="auto"/>
        <w:rPr>
          <w:sz w:val="20"/>
          <w:szCs w:val="20"/>
          <w:color w:val="auto"/>
        </w:rPr>
      </w:pPr>
      <w:r>
        <w:rPr>
          <w:rFonts w:ascii="Times New Roman" w:cs="Times New Roman" w:eastAsia="Times New Roman" w:hAnsi="Times New Roman"/>
          <w:sz w:val="22"/>
          <w:szCs w:val="22"/>
          <w:color w:val="auto"/>
        </w:rPr>
        <w:t>loss avoided, as well as criminal penalties of up to $25,000,000, and could under some circumstances be subject to private lawsuits.</w:t>
      </w:r>
    </w:p>
    <w:p>
      <w:pPr>
        <w:spacing w:after="0" w:line="158"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Violation of this Insider Trading Policy or any federal or state insider trading laws may subject you to disciplinary action by the Company, including termination of your employment or other relationship with the Company. The Company reserves the right to determine, in its own discretion and on the basis of the information available to it, whether this Insider Trading Policy has been violated. The Company may determine that specific conduct violates this Insider Trading Policy whether or not it also violates the law. It is not necessary for the Company to await the filing or conclusion of a civil or criminal action against an alleged violator before taking disciplinary action.</w:t>
      </w:r>
    </w:p>
    <w:p>
      <w:pPr>
        <w:spacing w:after="0" w:line="175" w:lineRule="exact"/>
        <w:rPr>
          <w:sz w:val="20"/>
          <w:szCs w:val="20"/>
          <w:color w:val="auto"/>
        </w:rPr>
      </w:pPr>
    </w:p>
    <w:p>
      <w:pPr>
        <w:ind w:left="440" w:hanging="432"/>
        <w:spacing w:after="0"/>
        <w:tabs>
          <w:tab w:leader="none" w:pos="440" w:val="left"/>
        </w:tabs>
        <w:numPr>
          <w:ilvl w:val="0"/>
          <w:numId w:val="11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How Do You Report a Violation of this Insider Trading Policy?</w:t>
      </w:r>
    </w:p>
    <w:p>
      <w:pPr>
        <w:spacing w:after="0" w:line="212"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If you have a question about this Insider Trading Policy, including whether certain information you are aware of is material or has been made public, you should consult with the Compliance Officers. In addition, if you violate this Insider Trading Policy or any federal or state laws governing insider trading or know of any such violation by any director or employee of the Company, you should report the violation immediately to the Compliance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TRADING PROCEDURES</w:t>
      </w:r>
    </w:p>
    <w:p>
      <w:pPr>
        <w:spacing w:after="0" w:line="204" w:lineRule="exact"/>
        <w:rPr>
          <w:sz w:val="20"/>
          <w:szCs w:val="20"/>
          <w:color w:val="auto"/>
        </w:rPr>
      </w:pPr>
    </w:p>
    <w:p>
      <w:pPr>
        <w:ind w:left="440" w:hanging="432"/>
        <w:spacing w:after="0"/>
        <w:tabs>
          <w:tab w:leader="none" w:pos="440" w:val="left"/>
        </w:tabs>
        <w:numPr>
          <w:ilvl w:val="0"/>
          <w:numId w:val="11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Special Trading Restrictions Applicable to Insiders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addition to needing to comply with the restrictions on trading in our securities set forth above, Insiders and their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Affiliated Persons are subject to the following special trading restrictions:</w:t>
      </w:r>
    </w:p>
    <w:p>
      <w:pPr>
        <w:spacing w:after="0" w:line="178" w:lineRule="exact"/>
        <w:rPr>
          <w:sz w:val="20"/>
          <w:szCs w:val="20"/>
          <w:color w:val="auto"/>
        </w:rPr>
      </w:pPr>
    </w:p>
    <w:p>
      <w:pPr>
        <w:ind w:left="1180" w:hanging="423"/>
        <w:spacing w:after="0"/>
        <w:tabs>
          <w:tab w:leader="none" w:pos="118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Trading Except During Trading Windows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right="40" w:firstLine="749"/>
        <w:spacing w:after="0" w:line="233" w:lineRule="auto"/>
        <w:rPr>
          <w:sz w:val="20"/>
          <w:szCs w:val="20"/>
          <w:color w:val="auto"/>
        </w:rPr>
      </w:pPr>
      <w:r>
        <w:rPr>
          <w:rFonts w:ascii="Times New Roman" w:cs="Times New Roman" w:eastAsia="Times New Roman" w:hAnsi="Times New Roman"/>
          <w:sz w:val="22"/>
          <w:szCs w:val="22"/>
          <w:color w:val="auto"/>
        </w:rPr>
        <w:t>The announcement of the Company’s quarterly financial results almost always has the potential to have a material effect on the market for the Company’s securities. Although an Insider may not know the financial results prior to public announcement, if an Insider engages in a trade before the financial results are disclosed to the public, such trades may give an appearance of impropriety that could subject the Insider and the Company to a charge of insider trading. Therefore, subject to limited exceptions described herein, Insiders may trade in Company securities only during four quarterly trading windows and then only after obtaining pre-clearance from a Compliance Officer in accordance with the procedures set forth below. Unless otherwise advised, the four trading windows consist of the periods that begin after market close on the first full trading day following the Company’s issuance of a press release (or other method of broad public dissemination) announcing its quarterly or annual earnings and end at the close of business on the last business day before the end of the then-current quarter. For the purposes of the foregoing, a full trading day means an entire calendar day in which a session of regular trading hours on the NYSE or Nasdaq between 9:30 a.m. and 4:00 p.m. Eastern Time (or such earlier close time as has been set by exchange rules) has occurred. Insiders may be allowed to trade outside of a trading window only (a) pursuant to a pre-approved Rule 10b5-1 Plan as described below or (b) if granted a waiver in accordance with the procedure for granting waivers as described below.</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84" w:name="page185"/>
    <w:bookmarkEnd w:id="184"/>
    <w:p>
      <w:pPr>
        <w:ind w:firstLine="749"/>
        <w:spacing w:after="0" w:line="244" w:lineRule="auto"/>
        <w:rPr>
          <w:sz w:val="20"/>
          <w:szCs w:val="20"/>
          <w:color w:val="auto"/>
        </w:rPr>
      </w:pPr>
      <w:r>
        <w:rPr>
          <w:rFonts w:ascii="Times New Roman" w:cs="Times New Roman" w:eastAsia="Times New Roman" w:hAnsi="Times New Roman"/>
          <w:sz w:val="22"/>
          <w:szCs w:val="22"/>
          <w:color w:val="auto"/>
        </w:rPr>
        <w:t>For example, if we release earnings results before the market opens on a Tuesday, the first time an Insider can buy or sell Company securities is after the market opens on Wednesday. However, if our earnings release occurs after trading begins on a Tuesday, the first time that an Insider can buy or sell Company securities is the opening of the market on Thursday.</w:t>
      </w:r>
    </w:p>
    <w:p>
      <w:pPr>
        <w:spacing w:after="0" w:line="20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Of course, if an Insider has material nonpublic information about the Company during one of these trading windows, the Insider may not trade in the Company’s securities.</w:t>
      </w:r>
    </w:p>
    <w:p>
      <w:pPr>
        <w:spacing w:after="0" w:line="181" w:lineRule="exact"/>
        <w:rPr>
          <w:sz w:val="20"/>
          <w:szCs w:val="20"/>
          <w:color w:val="auto"/>
        </w:rPr>
      </w:pPr>
    </w:p>
    <w:p>
      <w:pPr>
        <w:ind w:left="1180" w:hanging="423"/>
        <w:spacing w:after="0"/>
        <w:tabs>
          <w:tab w:leader="none" w:pos="118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Special Closed Trading Periods</w:t>
      </w:r>
    </w:p>
    <w:p>
      <w:pPr>
        <w:spacing w:after="0" w:line="237"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The Compliance Officers, acting together or individually, may designate, from time to time, a “Special Closed Window” during what would otherwise be a permitted trading window. During a Special Closed Window, designated Insiders (which could be all Insiders or a subset of them) may not trade in the Company’s securities. The Compliance Officers, acting together or individually, may also impose a Special Closed Window on Insiders or a subset of them to prohibit trading in the securities of other companies to ensure compliance with this Insider Trading Policy. The imposition of a Special Closed Window will not be announced to the Company generally, should not be communicated to any other person, and may itself be considered under this Insider Trading Policy to be material nonpublic information about the Company.</w:t>
      </w:r>
    </w:p>
    <w:p>
      <w:pPr>
        <w:spacing w:after="0" w:line="220" w:lineRule="exact"/>
        <w:rPr>
          <w:sz w:val="20"/>
          <w:szCs w:val="20"/>
          <w:color w:val="auto"/>
        </w:rPr>
      </w:pPr>
    </w:p>
    <w:p>
      <w:pPr>
        <w:ind w:left="1180" w:hanging="423"/>
        <w:spacing w:after="0"/>
        <w:tabs>
          <w:tab w:leader="none" w:pos="118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Gifts and Other Distributions in Kind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220" w:firstLine="749"/>
        <w:spacing w:after="0" w:line="238" w:lineRule="auto"/>
        <w:rPr>
          <w:sz w:val="20"/>
          <w:szCs w:val="20"/>
          <w:color w:val="auto"/>
        </w:rPr>
      </w:pPr>
      <w:r>
        <w:rPr>
          <w:rFonts w:ascii="Times New Roman" w:cs="Times New Roman" w:eastAsia="Times New Roman" w:hAnsi="Times New Roman"/>
          <w:sz w:val="22"/>
          <w:szCs w:val="22"/>
          <w:color w:val="auto"/>
        </w:rPr>
        <w:t>No Insider may donate or make any other transfer of Company securities without consideration when the Insider is not permitted to trade unless the donee agrees not to sell the shares until the Insider is permitted to sell. In addition to charitable donations or gifts to family members, friends, trusts or others, this prohibition applies to distributions to limited partners by limited partnerships that are subject to this Insider Trading Policy. Making a gift shall be considered trading in securities for purposes of the Pre-Clearance Procedures and Post-Trade Reporting Procedures in Section II.B. below.</w:t>
      </w:r>
    </w:p>
    <w:p>
      <w:pPr>
        <w:spacing w:after="0" w:line="171" w:lineRule="exact"/>
        <w:rPr>
          <w:sz w:val="20"/>
          <w:szCs w:val="20"/>
          <w:color w:val="auto"/>
        </w:rPr>
      </w:pPr>
    </w:p>
    <w:p>
      <w:pPr>
        <w:ind w:left="440" w:hanging="432"/>
        <w:spacing w:after="0"/>
        <w:tabs>
          <w:tab w:leader="none" w:pos="440" w:val="left"/>
        </w:tabs>
        <w:numPr>
          <w:ilvl w:val="0"/>
          <w:numId w:val="11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Pre-Clearance Procedures</w:t>
      </w:r>
    </w:p>
    <w:p>
      <w:pPr>
        <w:spacing w:after="0" w:line="212"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2"/>
          <w:szCs w:val="22"/>
          <w:color w:val="auto"/>
        </w:rPr>
        <w:t>No Insider may trade in our securities, even during an open trading window, unless the trade has been approved by a Compliance Officer in accordance with the procedures described below. In reviewing trading requests, the Compliance Officers, acting together or individually, may consult with our other officers and/or outside legal counsel, and must seek approval of their own respective trades from the Chief Executive Officer.</w:t>
      </w:r>
    </w:p>
    <w:p>
      <w:pPr>
        <w:spacing w:after="0" w:line="169" w:lineRule="exact"/>
        <w:rPr>
          <w:sz w:val="20"/>
          <w:szCs w:val="20"/>
          <w:color w:val="auto"/>
        </w:rPr>
      </w:pPr>
    </w:p>
    <w:p>
      <w:pPr>
        <w:ind w:left="1500" w:hanging="743"/>
        <w:spacing w:after="0"/>
        <w:tabs>
          <w:tab w:leader="none" w:pos="150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Procedures. </w:t>
      </w:r>
      <w:r>
        <w:rPr>
          <w:rFonts w:ascii="Times New Roman" w:cs="Times New Roman" w:eastAsia="Times New Roman" w:hAnsi="Times New Roman"/>
          <w:sz w:val="22"/>
          <w:szCs w:val="22"/>
          <w:color w:val="auto"/>
        </w:rPr>
        <w:t>No Insider may trade in our securities unless:</w:t>
      </w:r>
    </w:p>
    <w:p>
      <w:pPr>
        <w:spacing w:after="0" w:line="210" w:lineRule="exact"/>
        <w:rPr>
          <w:rFonts w:ascii="Times New Roman" w:cs="Times New Roman" w:eastAsia="Times New Roman" w:hAnsi="Times New Roman"/>
          <w:sz w:val="22"/>
          <w:szCs w:val="22"/>
          <w:b w:val="1"/>
          <w:bCs w:val="1"/>
          <w:color w:val="auto"/>
        </w:rPr>
      </w:pPr>
    </w:p>
    <w:p>
      <w:pPr>
        <w:ind w:left="1880" w:right="120" w:hanging="375"/>
        <w:spacing w:after="0" w:line="238" w:lineRule="auto"/>
        <w:tabs>
          <w:tab w:leader="none" w:pos="188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notified the Compliance Officers of the amount and nature of the proposed trade(s) using the Stock Transaction Request form attached to this Insider Trading Policy. To provide adequate time for the preparation of any required reports under Section 16 of the Exchange Act, a Stock Transaction Request form should, if practicable, be received by a Compliance Officer at least two (2) business days before the intended trade date;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5" w:name="page186"/>
    <w:bookmarkEnd w:id="185"/>
    <w:p>
      <w:pPr>
        <w:ind w:left="1880" w:right="120" w:hanging="375"/>
        <w:spacing w:after="0" w:line="258" w:lineRule="auto"/>
        <w:tabs>
          <w:tab w:leader="none" w:pos="18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certified to the Compliance Officers in writing before the proposed trade(s) that the Insider does not possess material nonpublic information concerning the Company;</w:t>
      </w:r>
    </w:p>
    <w:p>
      <w:pPr>
        <w:spacing w:after="0" w:line="158" w:lineRule="exact"/>
        <w:rPr>
          <w:rFonts w:ascii="Times New Roman" w:cs="Times New Roman" w:eastAsia="Times New Roman" w:hAnsi="Times New Roman"/>
          <w:sz w:val="22"/>
          <w:szCs w:val="22"/>
          <w:color w:val="auto"/>
        </w:rPr>
      </w:pPr>
    </w:p>
    <w:p>
      <w:pPr>
        <w:ind w:left="1880" w:hanging="375"/>
        <w:spacing w:after="0" w:line="235" w:lineRule="auto"/>
        <w:tabs>
          <w:tab w:leader="none" w:pos="18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Insider is an executive officer or director, the Insider has informed the Compliance Officers, using the Stock Transaction Request form,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w:t>
      </w:r>
      <w:r>
        <w:rPr>
          <w:rFonts w:ascii="Times New Roman" w:cs="Times New Roman" w:eastAsia="Times New Roman" w:hAnsi="Times New Roman"/>
          <w:sz w:val="22"/>
          <w:szCs w:val="22"/>
          <w:b w:val="1"/>
          <w:bCs w:val="1"/>
          <w:color w:val="auto"/>
        </w:rPr>
        <w:t>Rule 144</w:t>
      </w:r>
      <w:r>
        <w:rPr>
          <w:rFonts w:ascii="Times New Roman" w:cs="Times New Roman" w:eastAsia="Times New Roman" w:hAnsi="Times New Roman"/>
          <w:sz w:val="22"/>
          <w:szCs w:val="22"/>
          <w:color w:val="auto"/>
        </w:rPr>
        <w:t>”)), whether the transaction meets all of the applicable conditions of Rule 144; and</w:t>
      </w:r>
    </w:p>
    <w:p>
      <w:pPr>
        <w:spacing w:after="0" w:line="183" w:lineRule="exact"/>
        <w:rPr>
          <w:rFonts w:ascii="Times New Roman" w:cs="Times New Roman" w:eastAsia="Times New Roman" w:hAnsi="Times New Roman"/>
          <w:sz w:val="22"/>
          <w:szCs w:val="22"/>
          <w:color w:val="auto"/>
        </w:rPr>
      </w:pPr>
    </w:p>
    <w:p>
      <w:pPr>
        <w:ind w:left="1880" w:right="220" w:hanging="375"/>
        <w:spacing w:after="0" w:line="258" w:lineRule="auto"/>
        <w:tabs>
          <w:tab w:leader="none" w:pos="18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Compliance Officer has approved the trade(s) and has certified their approval in writing (which may be by email).</w:t>
      </w:r>
    </w:p>
    <w:p>
      <w:pPr>
        <w:spacing w:after="0" w:line="158"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22"/>
          <w:szCs w:val="22"/>
          <w:color w:val="auto"/>
        </w:rPr>
        <w:t>The Compliance Officers do not assume responsibility for, and approval by a Compliance Officer does not protect the Insider from, the consequences of prohibited insider trading.</w:t>
      </w:r>
    </w:p>
    <w:p>
      <w:pPr>
        <w:spacing w:after="0" w:line="154" w:lineRule="exact"/>
        <w:rPr>
          <w:sz w:val="20"/>
          <w:szCs w:val="20"/>
          <w:color w:val="auto"/>
        </w:rPr>
      </w:pPr>
    </w:p>
    <w:p>
      <w:pPr>
        <w:ind w:left="1500" w:hanging="743"/>
        <w:spacing w:after="0"/>
        <w:tabs>
          <w:tab w:leader="none" w:pos="150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Information.</w:t>
      </w:r>
    </w:p>
    <w:p>
      <w:pPr>
        <w:spacing w:after="0" w:line="210"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Insiders shall provide to the Compliance Officers any documentation that they reasonably require in furtherance of the foregoing procedures. Any failure to provide such information will be grounds for a Compliance Officer to deny approval of the trade request.</w:t>
      </w:r>
    </w:p>
    <w:p>
      <w:pPr>
        <w:spacing w:after="0" w:line="169" w:lineRule="exact"/>
        <w:rPr>
          <w:sz w:val="20"/>
          <w:szCs w:val="20"/>
          <w:color w:val="auto"/>
        </w:rPr>
      </w:pPr>
    </w:p>
    <w:p>
      <w:pPr>
        <w:ind w:left="7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color w:val="auto"/>
        </w:rPr>
        <w:t>Notification of Brokers of Insider Status</w:t>
      </w:r>
    </w:p>
    <w:p>
      <w:pPr>
        <w:spacing w:after="0" w:line="210" w:lineRule="exact"/>
        <w:rPr>
          <w:sz w:val="20"/>
          <w:szCs w:val="20"/>
          <w:color w:val="auto"/>
        </w:rPr>
      </w:pPr>
    </w:p>
    <w:p>
      <w:pPr>
        <w:ind w:right="120" w:firstLine="432"/>
        <w:spacing w:after="0" w:line="239" w:lineRule="auto"/>
        <w:rPr>
          <w:sz w:val="20"/>
          <w:szCs w:val="20"/>
          <w:color w:val="auto"/>
        </w:rPr>
      </w:pPr>
      <w:r>
        <w:rPr>
          <w:rFonts w:ascii="Times New Roman" w:cs="Times New Roman" w:eastAsia="Times New Roman" w:hAnsi="Times New Roman"/>
          <w:sz w:val="22"/>
          <w:szCs w:val="22"/>
          <w:color w:val="auto"/>
        </w:rPr>
        <w:t>Insiders who are required to file reports under Section 16 of the Exchange Act shall inform their broker-dealers that (a) the Insider is subject to Section 16; (b) the broker shall confirm that any trade by the Insider or any of their affiliates has been precleared by the Company; and (c) the broker is expected to provide transaction information to the Insider and/or a Compliance Officer on the day of a trade.</w:t>
      </w:r>
    </w:p>
    <w:p>
      <w:pPr>
        <w:spacing w:after="0" w:line="176" w:lineRule="exact"/>
        <w:rPr>
          <w:sz w:val="20"/>
          <w:szCs w:val="20"/>
          <w:color w:val="auto"/>
        </w:rPr>
      </w:pPr>
    </w:p>
    <w:p>
      <w:pPr>
        <w:ind w:left="1500" w:hanging="743"/>
        <w:spacing w:after="0"/>
        <w:tabs>
          <w:tab w:leader="none" w:pos="150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Obligation to Approve Trades.</w:t>
      </w:r>
    </w:p>
    <w:p>
      <w:pPr>
        <w:spacing w:after="0" w:line="210" w:lineRule="exact"/>
        <w:rPr>
          <w:sz w:val="20"/>
          <w:szCs w:val="20"/>
          <w:color w:val="auto"/>
        </w:rPr>
      </w:pPr>
    </w:p>
    <w:p>
      <w:pPr>
        <w:jc w:val="both"/>
        <w:ind w:right="500" w:firstLine="749"/>
        <w:spacing w:after="0" w:line="250" w:lineRule="auto"/>
        <w:rPr>
          <w:sz w:val="20"/>
          <w:szCs w:val="20"/>
          <w:color w:val="auto"/>
        </w:rPr>
      </w:pPr>
      <w:r>
        <w:rPr>
          <w:rFonts w:ascii="Times New Roman" w:cs="Times New Roman" w:eastAsia="Times New Roman" w:hAnsi="Times New Roman"/>
          <w:sz w:val="22"/>
          <w:szCs w:val="22"/>
          <w:color w:val="auto"/>
        </w:rPr>
        <w:t>The foregoing approval procedures do not in any way obligate the Compliance Officers to approve any trade. Each Compliance Officer has sole discretion to reject any trading request, and the rejection of a trading request by a Compliance Officer acting individually shall be conclusive.</w:t>
      </w:r>
    </w:p>
    <w:p>
      <w:pPr>
        <w:spacing w:after="0" w:line="168" w:lineRule="exact"/>
        <w:rPr>
          <w:sz w:val="20"/>
          <w:szCs w:val="20"/>
          <w:color w:val="auto"/>
        </w:rPr>
      </w:pPr>
    </w:p>
    <w:p>
      <w:pPr>
        <w:ind w:right="180" w:firstLine="749"/>
        <w:spacing w:after="0" w:line="235" w:lineRule="auto"/>
        <w:rPr>
          <w:sz w:val="20"/>
          <w:szCs w:val="20"/>
          <w:color w:val="auto"/>
        </w:rPr>
      </w:pPr>
      <w:r>
        <w:rPr>
          <w:rFonts w:ascii="Times New Roman" w:cs="Times New Roman" w:eastAsia="Times New Roman" w:hAnsi="Times New Roman"/>
          <w:sz w:val="22"/>
          <w:szCs w:val="22"/>
          <w:color w:val="auto"/>
        </w:rPr>
        <w:t>From time to time, an event may occur that is material to the Company and is known by only by a limited number of directors and employees. A Compliance Officer may decline an Insider’s request to preclear a proposed trade based on the existence of a material nonpublic development – even if the Insider is not aware of that material nonpublic development.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a Compliance Officer may decide not to approve any transactions in the Company’s</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6" w:name="page187"/>
    <w:bookmarkEnd w:id="186"/>
    <w:p>
      <w:pPr>
        <w:ind w:right="100"/>
        <w:spacing w:after="0" w:line="244" w:lineRule="auto"/>
        <w:rPr>
          <w:sz w:val="20"/>
          <w:szCs w:val="20"/>
          <w:color w:val="auto"/>
        </w:rPr>
      </w:pPr>
      <w:r>
        <w:rPr>
          <w:rFonts w:ascii="Times New Roman" w:cs="Times New Roman" w:eastAsia="Times New Roman" w:hAnsi="Times New Roman"/>
          <w:sz w:val="22"/>
          <w:szCs w:val="22"/>
          <w:color w:val="auto"/>
        </w:rPr>
        <w:t>securities. A Compliance Officer will subsequently notify the Insider once the material nonpublic development is disclosed to the public or resolved. If an Insider requests preclearance of a trade during the pendency of such an event, a Compliance Officer may reject the trading request without disclosing the reason.</w:t>
      </w:r>
    </w:p>
    <w:p>
      <w:pPr>
        <w:spacing w:after="0" w:line="169" w:lineRule="exact"/>
        <w:rPr>
          <w:sz w:val="20"/>
          <w:szCs w:val="20"/>
          <w:color w:val="auto"/>
        </w:rPr>
      </w:pPr>
    </w:p>
    <w:p>
      <w:pPr>
        <w:ind w:left="1500" w:hanging="743"/>
        <w:spacing w:after="0"/>
        <w:tabs>
          <w:tab w:leader="none" w:pos="150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Trades.</w:t>
      </w:r>
    </w:p>
    <w:p>
      <w:pPr>
        <w:spacing w:after="0" w:line="210"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After receiving written clearance to engage in a trade signed by a Compliance Officer, an Insider must complete the proposed trade within four (4) business days or make a new trading request. Even if an Insider has received clearance, the Insider may not engage in a trade if (i) such clearance has been rescinded by a Compliance Officer, (ii) the Insider has otherwise received notice that the trading window has closed or (iii) the Insider has or acquires material nonpublic information.</w:t>
      </w:r>
    </w:p>
    <w:p>
      <w:pPr>
        <w:spacing w:after="0" w:line="176" w:lineRule="exact"/>
        <w:rPr>
          <w:sz w:val="20"/>
          <w:szCs w:val="20"/>
          <w:color w:val="auto"/>
        </w:rPr>
      </w:pPr>
    </w:p>
    <w:p>
      <w:pPr>
        <w:ind w:left="1500" w:hanging="743"/>
        <w:spacing w:after="0"/>
        <w:tabs>
          <w:tab w:leader="none" w:pos="150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Post-Trade Reporting.</w:t>
      </w:r>
    </w:p>
    <w:p>
      <w:pPr>
        <w:spacing w:after="0" w:line="210" w:lineRule="exact"/>
        <w:rPr>
          <w:sz w:val="20"/>
          <w:szCs w:val="20"/>
          <w:color w:val="auto"/>
        </w:rPr>
      </w:pPr>
    </w:p>
    <w:p>
      <w:pPr>
        <w:ind w:right="60" w:firstLine="749"/>
        <w:spacing w:after="0" w:line="233" w:lineRule="auto"/>
        <w:rPr>
          <w:sz w:val="20"/>
          <w:szCs w:val="20"/>
          <w:color w:val="auto"/>
        </w:rPr>
      </w:pPr>
      <w:r>
        <w:rPr>
          <w:rFonts w:ascii="Times New Roman" w:cs="Times New Roman" w:eastAsia="Times New Roman" w:hAnsi="Times New Roman"/>
          <w:sz w:val="22"/>
          <w:szCs w:val="22"/>
          <w:color w:val="auto"/>
        </w:rPr>
        <w:t>The details of any transactions in our securities (including transactions effected pursuant to a Rule 10b5-1 Plan) by an Insider (or an Affiliated Person) who is required to file reports under Section 16 of the Exchange Act must be reported to the Compliance Officers by the Insider or their brokerage firm on the same day on which a trade order is placed or such a transaction otherwise is entered into. The report shall include the date of the transaction, quantity of shares, the price and the name of the broker-dealer that effected the transaction and whether the trade was made pursuant to a valid Rule 10b5-1 Plan (as defined below). This reporting requirement may be satisfied by providing (or having the Insider’s broker provide) a trade order confirmation to the Compliance Officers if they receive such information by the required date. Compliance by directors and executive officers with this provision is imperative given the requirement of Section 16 of the Exchange Act that these persons generally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181" w:lineRule="exact"/>
        <w:rPr>
          <w:sz w:val="20"/>
          <w:szCs w:val="20"/>
          <w:color w:val="auto"/>
        </w:rPr>
      </w:pPr>
    </w:p>
    <w:p>
      <w:pPr>
        <w:ind w:left="440" w:hanging="432"/>
        <w:spacing w:after="0"/>
        <w:tabs>
          <w:tab w:leader="none" w:pos="440" w:val="left"/>
        </w:tabs>
        <w:numPr>
          <w:ilvl w:val="0"/>
          <w:numId w:val="12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Exemptions</w:t>
      </w:r>
    </w:p>
    <w:p>
      <w:pPr>
        <w:spacing w:after="0" w:line="208" w:lineRule="exact"/>
        <w:rPr>
          <w:rFonts w:ascii="Times New Roman" w:cs="Times New Roman" w:eastAsia="Times New Roman" w:hAnsi="Times New Roman"/>
          <w:sz w:val="22"/>
          <w:szCs w:val="22"/>
          <w:b w:val="1"/>
          <w:bCs w:val="1"/>
          <w:i w:val="1"/>
          <w:iCs w:val="1"/>
          <w:color w:val="auto"/>
        </w:rPr>
      </w:pPr>
    </w:p>
    <w:p>
      <w:pPr>
        <w:ind w:left="1500" w:hanging="743"/>
        <w:spacing w:after="0"/>
        <w:tabs>
          <w:tab w:leader="none" w:pos="1500" w:val="left"/>
        </w:tabs>
        <w:numPr>
          <w:ilvl w:val="1"/>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Pre-Approved Rule 10b5-1 Plan.</w:t>
      </w:r>
    </w:p>
    <w:p>
      <w:pPr>
        <w:spacing w:after="0" w:line="210" w:lineRule="exact"/>
        <w:rPr>
          <w:sz w:val="20"/>
          <w:szCs w:val="20"/>
          <w:color w:val="auto"/>
        </w:rPr>
      </w:pPr>
    </w:p>
    <w:p>
      <w:pPr>
        <w:ind w:right="200" w:firstLine="749"/>
        <w:spacing w:after="0" w:line="236" w:lineRule="auto"/>
        <w:rPr>
          <w:sz w:val="20"/>
          <w:szCs w:val="20"/>
          <w:color w:val="auto"/>
        </w:rPr>
      </w:pPr>
      <w:r>
        <w:rPr>
          <w:rFonts w:ascii="Times New Roman" w:cs="Times New Roman" w:eastAsia="Times New Roman" w:hAnsi="Times New Roman"/>
          <w:sz w:val="22"/>
          <w:szCs w:val="22"/>
          <w:color w:val="auto"/>
        </w:rPr>
        <w:t>Transactions made pursuant to an approved Rule 10b5-1 Plan (as defined below) will not be subject to our trading windows or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specified requirements. A trading plan, arrangement or instruction that meets the requirements of the SEC’s Rule 10b5-1 (a “</w:t>
      </w:r>
      <w:r>
        <w:rPr>
          <w:rFonts w:ascii="Times New Roman" w:cs="Times New Roman" w:eastAsia="Times New Roman" w:hAnsi="Times New Roman"/>
          <w:sz w:val="22"/>
          <w:szCs w:val="22"/>
          <w:b w:val="1"/>
          <w:bCs w:val="1"/>
          <w:color w:val="auto"/>
        </w:rPr>
        <w:t>Rule 10b5-1 Plan</w:t>
      </w:r>
      <w:r>
        <w:rPr>
          <w:rFonts w:ascii="Times New Roman" w:cs="Times New Roman" w:eastAsia="Times New Roman" w:hAnsi="Times New Roman"/>
          <w:sz w:val="22"/>
          <w:szCs w:val="22"/>
          <w:color w:val="auto"/>
        </w:rPr>
        <w:t>”) enables Insiders to trade in Company securities outside of our trading windows, even when in possession of material nonpublic information.</w:t>
      </w:r>
    </w:p>
    <w:p>
      <w:pPr>
        <w:spacing w:after="0" w:line="181"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22"/>
          <w:szCs w:val="22"/>
          <w:color w:val="auto"/>
        </w:rPr>
        <w:t>The Company has adopted a separate Rule 10b5-1 Trading Plan Policy that sets forth the requirements for putting in place a Rule 10b5-1 Plan with respect to Company securities.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7" w:name="page188"/>
    <w:bookmarkEnd w:id="187"/>
    <w:p>
      <w:pPr>
        <w:ind w:left="1500" w:hanging="743"/>
        <w:spacing w:after="0"/>
        <w:tabs>
          <w:tab w:leader="none" w:pos="150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Equity.</w:t>
      </w:r>
    </w:p>
    <w:p>
      <w:pPr>
        <w:spacing w:after="0" w:line="204"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Exercise of Stock Options</w:t>
      </w:r>
      <w:r>
        <w:rPr>
          <w:rFonts w:ascii="Times New Roman" w:cs="Times New Roman" w:eastAsia="Times New Roman" w:hAnsi="Times New Roman"/>
          <w:sz w:val="22"/>
          <w:szCs w:val="22"/>
          <w:color w:val="auto"/>
        </w:rPr>
        <w:t>. The trading prohibitions and restrictions set forth in the Trading Procedures do not apply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exercise for cash of an option to purchase securities of the Company. However, the exercise is subject to the current reporting requirements of 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this Insider Trading Policy, including the Trading Procedures. Moreover, the Trading Procedures apply to the use of outstanding Company securities to pay part or all of the exercise price of an option, any net option exercise, any exercise of a stock appreciation right, share withholding and any sale of stock as part of a broker-assisted cashless exercise of an option or any other market sale for the purpose of generating the cash needed to pay the exercise price of an option.</w:t>
      </w:r>
    </w:p>
    <w:p>
      <w:pPr>
        <w:spacing w:after="0" w:line="174"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Tax Withholding on Restricted Stock/Units</w:t>
      </w:r>
      <w:r>
        <w:rPr>
          <w:rFonts w:ascii="Times New Roman" w:cs="Times New Roman" w:eastAsia="Times New Roman" w:hAnsi="Times New Roman"/>
          <w:sz w:val="22"/>
          <w:szCs w:val="22"/>
          <w:color w:val="auto"/>
        </w:rPr>
        <w:t>. The trading prohibitions and restrictions set forth in the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Procedures do not apply to the withholding by the Company of shares of stock upon vesting of restricted stock or upon settlement of restricted stock units to satisfy tax withholding requirements if (a) withholding is required by the applicable plan or award agreement or (b) the election to exercise the tax withholding right was made by the Insider in compliance with the Trading Procedures.</w:t>
      </w:r>
    </w:p>
    <w:p>
      <w:pPr>
        <w:spacing w:after="0" w:line="171"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Employee Stock Purchase Plan</w:t>
      </w:r>
      <w:r>
        <w:rPr>
          <w:rFonts w:ascii="Times New Roman" w:cs="Times New Roman" w:eastAsia="Times New Roman" w:hAnsi="Times New Roman"/>
          <w:sz w:val="22"/>
          <w:szCs w:val="22"/>
          <w:color w:val="auto"/>
        </w:rPr>
        <w:t>. The trading prohibitions and restrictions set forth in the Trading Procedures do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apply to periodic wage withholding contributions by the Company or its employees that are used to purchase Company stock pursuant to the employees’ advance instructions under the Company’s 2024 Employee Stock Purchase Plan. However, an Insider may not: (a) elect to participate in the plan or alter their instructions regarding the level of withholding or purchase by the Insider of Company securities under the plan; or (b) make cash contributions to the plan (other than through periodic wage withholding) without complying with the Trading Procedures. Any sale of securities acquired under the plan is subject to the prohibitions and restrictions of the Trading Procedures.</w:t>
      </w:r>
    </w:p>
    <w:p>
      <w:pPr>
        <w:spacing w:after="0" w:line="176" w:lineRule="exact"/>
        <w:rPr>
          <w:sz w:val="20"/>
          <w:szCs w:val="20"/>
          <w:color w:val="auto"/>
        </w:rPr>
      </w:pPr>
    </w:p>
    <w:p>
      <w:pPr>
        <w:ind w:left="440" w:hanging="432"/>
        <w:spacing w:after="0"/>
        <w:tabs>
          <w:tab w:leader="none" w:pos="440" w:val="left"/>
        </w:tabs>
        <w:numPr>
          <w:ilvl w:val="0"/>
          <w:numId w:val="12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Waivers</w:t>
      </w:r>
    </w:p>
    <w:p>
      <w:pPr>
        <w:spacing w:after="0" w:line="212" w:lineRule="exact"/>
        <w:rPr>
          <w:sz w:val="20"/>
          <w:szCs w:val="20"/>
          <w:color w:val="auto"/>
        </w:rPr>
      </w:pPr>
    </w:p>
    <w:p>
      <w:pPr>
        <w:ind w:right="180" w:firstLine="749"/>
        <w:spacing w:after="0" w:line="244" w:lineRule="auto"/>
        <w:rPr>
          <w:sz w:val="20"/>
          <w:szCs w:val="20"/>
          <w:color w:val="auto"/>
        </w:rPr>
      </w:pPr>
      <w:r>
        <w:rPr>
          <w:rFonts w:ascii="Times New Roman" w:cs="Times New Roman" w:eastAsia="Times New Roman" w:hAnsi="Times New Roman"/>
          <w:sz w:val="22"/>
          <w:szCs w:val="22"/>
          <w:color w:val="auto"/>
        </w:rPr>
        <w:t>A waiver of any provision of this Insider Trading Policy or the Trading Procedures may be authorized in writing by the Compliance Officers, acting together or individually, or their respective designees, or the Audit Committee of the Board of Directors. All waivers shall be reported to the Board of Directors.</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PART III.</w:t>
      </w:r>
      <w:r>
        <w:rPr>
          <w:sz w:val="20"/>
          <w:szCs w:val="20"/>
          <w:color w:val="auto"/>
        </w:rPr>
        <w:tab/>
      </w:r>
      <w:r>
        <w:rPr>
          <w:rFonts w:ascii="Times New Roman" w:cs="Times New Roman" w:eastAsia="Times New Roman" w:hAnsi="Times New Roman"/>
          <w:sz w:val="21"/>
          <w:szCs w:val="21"/>
          <w:b w:val="1"/>
          <w:bCs w:val="1"/>
          <w:color w:val="auto"/>
        </w:rPr>
        <w:t>AMENDMENT</w:t>
      </w:r>
    </w:p>
    <w:p>
      <w:pPr>
        <w:spacing w:after="0" w:line="210"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22"/>
          <w:szCs w:val="22"/>
          <w:color w:val="auto"/>
        </w:rPr>
        <w:t>This Insider Trading Policy may be amended from time to time with the approval of the Board of Directors or a designated committee thereof.</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PART IV.</w:t>
      </w:r>
      <w:r>
        <w:rPr>
          <w:sz w:val="20"/>
          <w:szCs w:val="20"/>
          <w:color w:val="auto"/>
        </w:rPr>
        <w:tab/>
      </w:r>
      <w:r>
        <w:rPr>
          <w:rFonts w:ascii="Times New Roman" w:cs="Times New Roman" w:eastAsia="Times New Roman" w:hAnsi="Times New Roman"/>
          <w:sz w:val="21"/>
          <w:szCs w:val="21"/>
          <w:b w:val="1"/>
          <w:bCs w:val="1"/>
          <w:color w:val="auto"/>
        </w:rPr>
        <w:t>ACKNOWLEDGEMENT</w:t>
      </w:r>
    </w:p>
    <w:p>
      <w:pPr>
        <w:spacing w:after="0" w:line="210" w:lineRule="exact"/>
        <w:rPr>
          <w:sz w:val="20"/>
          <w:szCs w:val="20"/>
          <w:color w:val="auto"/>
        </w:rPr>
      </w:pPr>
    </w:p>
    <w:p>
      <w:pPr>
        <w:ind w:right="180" w:firstLine="749"/>
        <w:spacing w:after="0" w:line="244" w:lineRule="auto"/>
        <w:rPr>
          <w:sz w:val="20"/>
          <w:szCs w:val="20"/>
          <w:color w:val="auto"/>
        </w:rPr>
      </w:pPr>
      <w:r>
        <w:rPr>
          <w:rFonts w:ascii="Times New Roman" w:cs="Times New Roman" w:eastAsia="Times New Roman" w:hAnsi="Times New Roman"/>
          <w:sz w:val="22"/>
          <w:szCs w:val="22"/>
          <w:color w:val="auto"/>
        </w:rPr>
        <w:t>We will deliver a copy of this Insider Trading Policy to all current employees and directors and designated consultants, and to future employees and directors and designated consultants, at the start of their employment or relationship with the Company. Each of these individuals must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8" w:name="page189"/>
    <w:bookmarkEnd w:id="188"/>
    <w:p>
      <w:pPr>
        <w:spacing w:after="0" w:line="235" w:lineRule="auto"/>
        <w:rPr>
          <w:sz w:val="20"/>
          <w:szCs w:val="20"/>
          <w:color w:val="auto"/>
        </w:rPr>
      </w:pPr>
      <w:r>
        <w:rPr>
          <w:rFonts w:ascii="Times New Roman" w:cs="Times New Roman" w:eastAsia="Times New Roman" w:hAnsi="Times New Roman"/>
          <w:sz w:val="22"/>
          <w:szCs w:val="22"/>
          <w:color w:val="auto"/>
        </w:rPr>
        <w:t>acknowledge that they have received a copy and agree to comply with the terms of this Insider Trading Policy, and, if applicable, the Trading Procedures contained herein. The attached acknowledgment must be completed and submitted to the Company within ten days of receipt. From time to time, directors and employees and designated consultants may be required to re-acknowledge and agree to comply with the Insider Trading Policy (including any amendments or modifications thereto). For that purpose, an individual will be deemed to have acknowledged and agreed to comply with the Insider Trading Policy, as amended from time to time, when copies of the attached acknowledgment have been delivered by regular or electronic mail (or other delivery option used by the Company) to the Compliance Officers.</w:t>
      </w:r>
    </w:p>
    <w:p>
      <w:pPr>
        <w:spacing w:after="0" w:line="183" w:lineRule="exact"/>
        <w:rPr>
          <w:sz w:val="20"/>
          <w:szCs w:val="20"/>
          <w:color w:val="auto"/>
        </w:rPr>
      </w:pPr>
    </w:p>
    <w:p>
      <w:pPr>
        <w:jc w:val="center"/>
        <w:ind w:right="-59"/>
        <w:spacing w:after="0"/>
        <w:tabs>
          <w:tab w:leader="none" w:pos="320" w:val="left"/>
          <w:tab w:leader="none" w:pos="3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tab/>
        <w:t>*</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Questions regarding this Insider Trading Policy are encouraged and may be directed to the Compliance Officers.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by the Rapport Therapeutics, Inc. Board of Directors and effective as of March 9, 2026.</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TRANSACTION REQUEST</w:t>
      </w:r>
    </w:p>
    <w:p>
      <w:pPr>
        <w:spacing w:after="0" w:line="211"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b w:val="1"/>
          <w:bCs w:val="1"/>
          <w:color w:val="auto"/>
        </w:rPr>
        <w:t>RAPPORT THERAPEUTICS, INC.</w:t>
      </w:r>
      <w:r>
        <w:rPr>
          <w:rFonts w:ascii="Times New Roman" w:cs="Times New Roman" w:eastAsia="Times New Roman" w:hAnsi="Times New Roman"/>
          <w:sz w:val="20"/>
          <w:szCs w:val="20"/>
          <w:color w:val="auto"/>
        </w:rPr>
        <w:t xml:space="preserve">’s Insider Trading Policy, I hereby notify </w:t>
      </w:r>
      <w:r>
        <w:rPr>
          <w:rFonts w:ascii="Times New Roman" w:cs="Times New Roman" w:eastAsia="Times New Roman" w:hAnsi="Times New Roman"/>
          <w:sz w:val="20"/>
          <w:szCs w:val="20"/>
          <w:b w:val="1"/>
          <w:bCs w:val="1"/>
          <w:color w:val="auto"/>
        </w:rPr>
        <w:t>RAPPORT THERAPEUTICS, INC.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of my intent to trade the securities of the Company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136130" cy="65684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9">
                      <a:extLst>
                        <a:ext uri="{28A0092B-C50C-407E-A947-70E740481C1C}"/>
                      </a:extLst>
                    </a:blip>
                    <a:srcRect/>
                    <a:stretch>
                      <a:fillRect/>
                    </a:stretch>
                  </pic:blipFill>
                  <pic:spPr bwMode="auto">
                    <a:xfrm>
                      <a:off x="0" y="0"/>
                      <a:ext cx="7136130" cy="6568440"/>
                    </a:xfrm>
                    <a:prstGeom prst="rect">
                      <a:avLst/>
                    </a:prstGeom>
                    <a:noFill/>
                  </pic:spPr>
                </pic:pic>
              </a:graphicData>
            </a:graphic>
          </wp:anchor>
        </w:drawing>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REQUESTER INFORMATION</w:t>
      </w:r>
    </w:p>
    <w:p>
      <w:pPr>
        <w:spacing w:after="0" w:line="67" w:lineRule="exact"/>
        <w:rPr>
          <w:sz w:val="20"/>
          <w:szCs w:val="20"/>
          <w:color w:val="auto"/>
        </w:rPr>
      </w:pPr>
    </w:p>
    <w:p>
      <w:pPr>
        <w:ind w:left="120"/>
        <w:spacing w:after="0"/>
        <w:tabs>
          <w:tab w:leader="none" w:pos="1580" w:val="left"/>
        </w:tabs>
        <w:rPr>
          <w:sz w:val="20"/>
          <w:szCs w:val="20"/>
          <w:color w:val="auto"/>
        </w:rPr>
      </w:pPr>
      <w:r>
        <w:rPr>
          <w:rFonts w:ascii="Times New Roman" w:cs="Times New Roman" w:eastAsia="Times New Roman" w:hAnsi="Times New Roman"/>
          <w:sz w:val="18"/>
          <w:szCs w:val="18"/>
          <w:color w:val="auto"/>
        </w:rPr>
        <w:t>Insider’s Name:</w:t>
      </w:r>
      <w:r>
        <w:rPr>
          <w:sz w:val="20"/>
          <w:szCs w:val="20"/>
          <w:color w:val="auto"/>
        </w:rPr>
        <w:tab/>
      </w:r>
      <w:r>
        <w:rPr>
          <w:rFonts w:ascii="Times New Roman" w:cs="Times New Roman" w:eastAsia="Times New Roman" w:hAnsi="Times New Roman"/>
          <w:sz w:val="18"/>
          <w:szCs w:val="18"/>
          <w:color w:val="auto"/>
        </w:rPr>
        <w:t>_________________________________________</w:t>
      </w:r>
    </w:p>
    <w:p>
      <w:pPr>
        <w:spacing w:after="0" w:line="38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INTENT TO PURCHASE</w:t>
            </w:r>
          </w:p>
        </w:tc>
        <w:tc>
          <w:tcPr>
            <w:tcW w:w="90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91"/>
        </w:trPr>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Up to number of shares:</w:t>
            </w:r>
          </w:p>
        </w:tc>
        <w:tc>
          <w:tcPr>
            <w:tcW w:w="180" w:type="dxa"/>
            <w:vAlign w:val="bottom"/>
          </w:tcPr>
          <w:p>
            <w:pPr>
              <w:spacing w:after="0"/>
              <w:rPr>
                <w:sz w:val="24"/>
                <w:szCs w:val="24"/>
                <w:color w:val="auto"/>
              </w:rPr>
            </w:pPr>
          </w:p>
        </w:tc>
        <w:tc>
          <w:tcPr>
            <w:tcW w:w="5480" w:type="dxa"/>
            <w:vAlign w:val="bottom"/>
            <w:gridSpan w:val="2"/>
          </w:tcPr>
          <w:p>
            <w:pPr>
              <w:jc w:val="right"/>
              <w:ind w:right="2430"/>
              <w:spacing w:after="0"/>
              <w:rPr>
                <w:sz w:val="20"/>
                <w:szCs w:val="20"/>
                <w:color w:val="auto"/>
              </w:rPr>
            </w:pPr>
            <w:r>
              <w:rPr>
                <w:rFonts w:ascii="Times New Roman" w:cs="Times New Roman" w:eastAsia="Times New Roman" w:hAnsi="Times New Roman"/>
                <w:sz w:val="18"/>
                <w:szCs w:val="18"/>
                <w:color w:val="auto"/>
              </w:rPr>
              <w:t>_______________________________</w:t>
            </w:r>
          </w:p>
        </w:tc>
      </w:tr>
      <w:tr>
        <w:trPr>
          <w:trHeight w:val="324"/>
        </w:trPr>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Intended trade range (up to consecutive 4 business days):  _______________________________</w:t>
            </w:r>
          </w:p>
        </w:tc>
      </w:tr>
      <w:tr>
        <w:trPr>
          <w:trHeight w:val="32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Means of acquiring shares:</w:t>
            </w:r>
          </w:p>
        </w:tc>
        <w:tc>
          <w:tcPr>
            <w:tcW w:w="900" w:type="dxa"/>
            <w:vAlign w:val="bottom"/>
          </w:tcPr>
          <w:p>
            <w:pPr>
              <w:ind w:left="500"/>
              <w:spacing w:after="0"/>
              <w:rPr>
                <w:sz w:val="20"/>
                <w:szCs w:val="20"/>
                <w:color w:val="auto"/>
              </w:rPr>
            </w:pPr>
            <w:r>
              <w:rPr>
                <w:rFonts w:ascii="Wingdings" w:cs="Wingdings" w:eastAsia="Wingdings" w:hAnsi="Wingdings"/>
                <w:sz w:val="18"/>
                <w:szCs w:val="18"/>
                <w:b w:val="1"/>
                <w:bCs w:val="1"/>
                <w:color w:val="auto"/>
              </w:rPr>
              <w:t></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Acquisition through employee benefit plan (please specify):</w:t>
            </w:r>
          </w:p>
        </w:tc>
      </w:tr>
    </w:tbl>
    <w:p>
      <w:pPr>
        <w:spacing w:after="0" w:line="30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Grant #___________Type: ______________________________________________</w:t>
      </w:r>
    </w:p>
    <w:p>
      <w:pPr>
        <w:spacing w:after="0" w:line="374" w:lineRule="exact"/>
        <w:rPr>
          <w:sz w:val="20"/>
          <w:szCs w:val="20"/>
          <w:color w:val="auto"/>
        </w:rPr>
      </w:pPr>
    </w:p>
    <w:p>
      <w:pPr>
        <w:ind w:left="3480" w:hanging="670"/>
        <w:spacing w:after="0"/>
        <w:tabs>
          <w:tab w:leader="none" w:pos="3480" w:val="left"/>
        </w:tabs>
        <w:numPr>
          <w:ilvl w:val="0"/>
          <w:numId w:val="12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Purchase through a broker on the open market</w:t>
      </w:r>
    </w:p>
    <w:p>
      <w:pPr>
        <w:spacing w:after="0" w:line="387" w:lineRule="exact"/>
        <w:rPr>
          <w:rFonts w:ascii="Wingdings" w:cs="Wingdings" w:eastAsia="Wingdings" w:hAnsi="Wingdings"/>
          <w:sz w:val="18"/>
          <w:szCs w:val="18"/>
          <w:b w:val="1"/>
          <w:bCs w:val="1"/>
          <w:color w:val="auto"/>
        </w:rPr>
      </w:pPr>
    </w:p>
    <w:p>
      <w:pPr>
        <w:ind w:left="3480" w:hanging="670"/>
        <w:spacing w:after="0"/>
        <w:tabs>
          <w:tab w:leader="none" w:pos="3480" w:val="left"/>
        </w:tabs>
        <w:numPr>
          <w:ilvl w:val="0"/>
          <w:numId w:val="12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Other (please specify): ________________________________________</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INTENT TO SELL</w:t>
      </w:r>
    </w:p>
    <w:p>
      <w:pPr>
        <w:spacing w:after="0" w:line="67"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color w:val="auto"/>
        </w:rPr>
        <w:t>Up to number of shares:</w:t>
        <w:tab/>
        <w:t>______________________________</w:t>
      </w:r>
    </w:p>
    <w:p>
      <w:pPr>
        <w:spacing w:after="0" w:line="117" w:lineRule="exact"/>
        <w:rPr>
          <w:sz w:val="20"/>
          <w:szCs w:val="20"/>
          <w:color w:val="auto"/>
        </w:rPr>
      </w:pPr>
    </w:p>
    <w:p>
      <w:pPr>
        <w:ind w:left="120"/>
        <w:spacing w:after="0"/>
        <w:tabs>
          <w:tab w:leader="none" w:pos="4420" w:val="left"/>
        </w:tabs>
        <w:rPr>
          <w:sz w:val="20"/>
          <w:szCs w:val="20"/>
          <w:color w:val="auto"/>
        </w:rPr>
      </w:pPr>
      <w:r>
        <w:rPr>
          <w:rFonts w:ascii="Times New Roman" w:cs="Times New Roman" w:eastAsia="Times New Roman" w:hAnsi="Times New Roman"/>
          <w:sz w:val="18"/>
          <w:szCs w:val="18"/>
          <w:color w:val="auto"/>
        </w:rPr>
        <w:t>Intended trade range (up to consecutive 4 business days):</w:t>
        <w:tab/>
        <w:t>__________________________________</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Means of selling shares:</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auto"/>
              </w:rPr>
              <w:t></w:t>
            </w:r>
          </w:p>
        </w:tc>
        <w:tc>
          <w:tcPr>
            <w:tcW w:w="82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Sale through employee benefit plan (please specify):</w:t>
            </w:r>
          </w:p>
        </w:tc>
      </w:tr>
      <w:tr>
        <w:trPr>
          <w:trHeight w:val="540"/>
        </w:trPr>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Grant#:__________________Type:_______________________________________</w:t>
            </w:r>
          </w:p>
        </w:tc>
      </w:tr>
      <w:tr>
        <w:trPr>
          <w:trHeight w:val="581"/>
        </w:trPr>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auto"/>
              </w:rPr>
              <w:t></w:t>
            </w:r>
          </w:p>
        </w:tc>
        <w:tc>
          <w:tcPr>
            <w:tcW w:w="82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Sale through a broker on the open market</w:t>
            </w:r>
          </w:p>
        </w:tc>
      </w:tr>
      <w:tr>
        <w:trPr>
          <w:trHeight w:val="594"/>
        </w:trPr>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auto"/>
              </w:rPr>
              <w:t></w:t>
            </w:r>
          </w:p>
        </w:tc>
        <w:tc>
          <w:tcPr>
            <w:tcW w:w="82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Other (please specify): ________________________________________</w:t>
            </w:r>
          </w:p>
        </w:tc>
      </w:tr>
      <w:tr>
        <w:trPr>
          <w:trHeight w:val="54"/>
        </w:trPr>
        <w:tc>
          <w:tcPr>
            <w:tcW w:w="1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284"/>
        </w:trPr>
        <w:tc>
          <w:tcPr>
            <w:tcW w:w="120" w:type="dxa"/>
            <w:vAlign w:val="bottom"/>
          </w:tcPr>
          <w:p>
            <w:pPr>
              <w:spacing w:after="0"/>
              <w:rPr>
                <w:sz w:val="24"/>
                <w:szCs w:val="24"/>
                <w:color w:val="auto"/>
              </w:rPr>
            </w:pPr>
          </w:p>
        </w:tc>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SECTION 16</w:t>
            </w:r>
          </w:p>
        </w:tc>
        <w:tc>
          <w:tcPr>
            <w:tcW w:w="7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RULE 144 (Not applicable if transaction requested does not involve a sale)</w:t>
            </w:r>
          </w:p>
        </w:tc>
        <w:tc>
          <w:tcPr>
            <w:tcW w:w="100" w:type="dxa"/>
            <w:vAlign w:val="bottom"/>
          </w:tcPr>
          <w:p>
            <w:pPr>
              <w:spacing w:after="0"/>
              <w:rPr>
                <w:sz w:val="24"/>
                <w:szCs w:val="24"/>
                <w:color w:val="auto"/>
              </w:rPr>
            </w:pPr>
          </w:p>
        </w:tc>
      </w:tr>
    </w:tbl>
    <w:p>
      <w:pPr>
        <w:spacing w:after="0" w:line="63" w:lineRule="exact"/>
        <w:rPr>
          <w:sz w:val="20"/>
          <w:szCs w:val="20"/>
          <w:color w:val="auto"/>
        </w:rPr>
      </w:pPr>
    </w:p>
    <w:p>
      <w:pPr>
        <w:sectPr>
          <w:pgSz w:w="11900" w:h="16838" w:orient="portrait"/>
          <w:cols w:equalWidth="0" w:num="1">
            <w:col w:w="11240"/>
          </w:cols>
          <w:pgMar w:left="320" w:top="1408" w:right="339" w:bottom="1440" w:gutter="0" w:footer="0" w:header="0"/>
        </w:sectPr>
      </w:pPr>
    </w:p>
    <w:p>
      <w:pPr>
        <w:spacing w:after="0" w:line="27" w:lineRule="exact"/>
        <w:rPr>
          <w:sz w:val="20"/>
          <w:szCs w:val="20"/>
          <w:color w:val="auto"/>
        </w:rPr>
      </w:pPr>
    </w:p>
    <w:p>
      <w:pPr>
        <w:ind w:left="580" w:hanging="461"/>
        <w:spacing w:after="0"/>
        <w:tabs>
          <w:tab w:leader="none" w:pos="580" w:val="left"/>
        </w:tabs>
        <w:numPr>
          <w:ilvl w:val="0"/>
          <w:numId w:val="12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 am not subject to Section 16.</w:t>
      </w:r>
    </w:p>
    <w:p>
      <w:pPr>
        <w:spacing w:after="0" w:line="333" w:lineRule="exact"/>
        <w:rPr>
          <w:rFonts w:ascii="Wingdings" w:cs="Wingdings" w:eastAsia="Wingdings" w:hAnsi="Wingdings"/>
          <w:sz w:val="18"/>
          <w:szCs w:val="18"/>
          <w:b w:val="1"/>
          <w:bCs w:val="1"/>
          <w:color w:val="auto"/>
        </w:rPr>
      </w:pPr>
    </w:p>
    <w:p>
      <w:pPr>
        <w:ind w:left="580" w:right="109" w:hanging="461"/>
        <w:spacing w:after="0" w:line="261" w:lineRule="auto"/>
        <w:tabs>
          <w:tab w:leader="none" w:pos="580" w:val="left"/>
        </w:tabs>
        <w:numPr>
          <w:ilvl w:val="0"/>
          <w:numId w:val="12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To the best of my knowledge, I have not (and am not deemed to have) engaged in an opposite way transaction within the previous 6 months that was not exempt from Section 16(b) of the Exchange Act.</w:t>
      </w:r>
    </w:p>
    <w:p>
      <w:pPr>
        <w:spacing w:after="0" w:line="2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 of the above.</w:t>
      </w:r>
    </w:p>
    <w:p>
      <w:pPr>
        <w:ind w:left="120"/>
        <w:spacing w:after="0" w:line="238" w:lineRule="auto"/>
        <w:rPr>
          <w:sz w:val="20"/>
          <w:szCs w:val="20"/>
          <w:color w:val="auto"/>
        </w:rPr>
      </w:pPr>
      <w:r>
        <w:rPr>
          <w:rFonts w:ascii="Wingdings" w:cs="Wingdings" w:eastAsia="Wingdings" w:hAnsi="Wingdings"/>
          <w:sz w:val="18"/>
          <w:szCs w:val="18"/>
          <w:b w:val="1"/>
          <w:bCs w:val="1"/>
          <w:color w:val="auto"/>
        </w:rPr>
        <w:t></w:t>
      </w:r>
    </w:p>
    <w:p>
      <w:pPr>
        <w:spacing w:after="0" w:line="20" w:lineRule="exact"/>
        <w:rPr>
          <w:sz w:val="20"/>
          <w:szCs w:val="20"/>
          <w:color w:val="auto"/>
        </w:rPr>
      </w:pPr>
      <w:r>
        <w:rPr>
          <w:sz w:val="20"/>
          <w:szCs w:val="20"/>
          <w:color w:val="auto"/>
        </w:rPr>
        <w:br w:type="column"/>
      </w:r>
    </w:p>
    <w:p>
      <w:pPr>
        <w:ind w:left="211" w:right="120" w:hanging="211"/>
        <w:spacing w:after="0" w:line="261" w:lineRule="auto"/>
        <w:tabs>
          <w:tab w:leader="none" w:pos="381" w:val="left"/>
        </w:tabs>
        <w:numPr>
          <w:ilvl w:val="0"/>
          <w:numId w:val="12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 am not an “affiliate” of the Company and the transaction requested above does not involve the sale of “restricted securities” (as those terms are defined in Rule 144 under the Securities Act of 1933, as amended).</w:t>
      </w:r>
    </w:p>
    <w:p>
      <w:pPr>
        <w:spacing w:after="0" w:line="233" w:lineRule="exact"/>
        <w:rPr>
          <w:rFonts w:ascii="Wingdings" w:cs="Wingdings" w:eastAsia="Wingdings" w:hAnsi="Wingdings"/>
          <w:sz w:val="18"/>
          <w:szCs w:val="18"/>
          <w:b w:val="1"/>
          <w:bCs w:val="1"/>
          <w:color w:val="auto"/>
        </w:rPr>
      </w:pPr>
    </w:p>
    <w:p>
      <w:pPr>
        <w:ind w:left="211" w:right="260" w:hanging="211"/>
        <w:spacing w:after="0" w:line="282" w:lineRule="auto"/>
        <w:tabs>
          <w:tab w:leader="none" w:pos="381" w:val="left"/>
        </w:tabs>
        <w:numPr>
          <w:ilvl w:val="0"/>
          <w:numId w:val="12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To the best of my knowledge, the transaction requested above will meet all of the applicable conditions of Rule 144.</w:t>
      </w:r>
    </w:p>
    <w:p>
      <w:pPr>
        <w:spacing w:after="0" w:line="188" w:lineRule="exact"/>
        <w:rPr>
          <w:rFonts w:ascii="Wingdings" w:cs="Wingdings" w:eastAsia="Wingdings" w:hAnsi="Wingdings"/>
          <w:sz w:val="18"/>
          <w:szCs w:val="18"/>
          <w:b w:val="1"/>
          <w:bCs w:val="1"/>
          <w:color w:val="auto"/>
        </w:rPr>
      </w:pPr>
    </w:p>
    <w:p>
      <w:pPr>
        <w:ind w:left="211" w:right="480" w:hanging="211"/>
        <w:spacing w:after="0" w:line="282" w:lineRule="auto"/>
        <w:tabs>
          <w:tab w:leader="none" w:pos="381" w:val="left"/>
        </w:tabs>
        <w:numPr>
          <w:ilvl w:val="0"/>
          <w:numId w:val="12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The transaction requested will be made pursuant to an effective registration statement covering such transaction.</w:t>
      </w:r>
    </w:p>
    <w:p>
      <w:pPr>
        <w:spacing w:after="0" w:line="161" w:lineRule="exact"/>
        <w:rPr>
          <w:rFonts w:ascii="Wingdings" w:cs="Wingdings" w:eastAsia="Wingdings" w:hAnsi="Wingdings"/>
          <w:sz w:val="18"/>
          <w:szCs w:val="18"/>
          <w:b w:val="1"/>
          <w:bCs w:val="1"/>
          <w:color w:val="auto"/>
        </w:rPr>
      </w:pPr>
    </w:p>
    <w:p>
      <w:pPr>
        <w:ind w:left="331" w:hanging="331"/>
        <w:spacing w:after="0"/>
        <w:tabs>
          <w:tab w:leader="none" w:pos="331" w:val="left"/>
        </w:tabs>
        <w:numPr>
          <w:ilvl w:val="0"/>
          <w:numId w:val="12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None of the above.</w:t>
      </w:r>
    </w:p>
    <w:p>
      <w:pPr>
        <w:spacing w:after="0" w:line="200" w:lineRule="exact"/>
        <w:rPr>
          <w:sz w:val="20"/>
          <w:szCs w:val="20"/>
          <w:color w:val="auto"/>
        </w:rPr>
      </w:pPr>
    </w:p>
    <w:p>
      <w:pPr>
        <w:sectPr>
          <w:pgSz w:w="11900" w:h="16838" w:orient="portrait"/>
          <w:cols w:equalWidth="0" w:num="2">
            <w:col w:w="5109" w:space="720"/>
            <w:col w:w="5411"/>
          </w:cols>
          <w:pgMar w:left="320" w:top="1408" w:right="33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190" w:name="page191"/>
    <w:bookmarkEnd w:id="190"/>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067550" cy="20186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1">
                      <a:extLst>
                        <a:ext uri="{28A0092B-C50C-407E-A947-70E740481C1C}"/>
                      </a:extLst>
                    </a:blip>
                    <a:srcRect/>
                    <a:stretch>
                      <a:fillRect/>
                    </a:stretch>
                  </pic:blipFill>
                  <pic:spPr bwMode="auto">
                    <a:xfrm>
                      <a:off x="0" y="0"/>
                      <a:ext cx="7067550" cy="2018665"/>
                    </a:xfrm>
                    <a:prstGeom prst="rect">
                      <a:avLst/>
                    </a:prstGeom>
                    <a:noFill/>
                  </pic:spPr>
                </pic:pic>
              </a:graphicData>
            </a:graphic>
          </wp:anchor>
        </w:drawing>
      </w:r>
    </w:p>
    <w:p>
      <w:pPr>
        <w:spacing w:after="0" w:line="2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 hereby certify that I am not (1) in possession of any material nonpublic information concerning the Company, as defined in the Company’s Insider Trading Policy and (2) purchasing any securities of the Company on margin in contravention of the Company’s Trading Procedures. I understand that, if I trade while possessing such information or in violation of such trading restrictions, I may be subject to severe civil and/or criminal penalties and may be subject to discipline by the Company including termination of my employment.</w:t>
      </w:r>
    </w:p>
    <w:p>
      <w:pPr>
        <w:spacing w:after="0" w:line="200" w:lineRule="exact"/>
        <w:rPr>
          <w:sz w:val="20"/>
          <w:szCs w:val="20"/>
          <w:color w:val="auto"/>
        </w:rPr>
      </w:pPr>
    </w:p>
    <w:p>
      <w:pPr>
        <w:spacing w:after="0" w:line="209" w:lineRule="exact"/>
        <w:rPr>
          <w:sz w:val="20"/>
          <w:szCs w:val="20"/>
          <w:color w:val="auto"/>
        </w:rPr>
      </w:pPr>
    </w:p>
    <w:p>
      <w:pPr>
        <w:ind w:left="380"/>
        <w:spacing w:after="0"/>
        <w:tabs>
          <w:tab w:leader="none" w:pos="6140" w:val="left"/>
        </w:tabs>
        <w:rPr>
          <w:sz w:val="20"/>
          <w:szCs w:val="20"/>
          <w:color w:val="auto"/>
        </w:rPr>
      </w:pPr>
      <w:r>
        <w:rPr>
          <w:rFonts w:ascii="Times New Roman" w:cs="Times New Roman" w:eastAsia="Times New Roman" w:hAnsi="Times New Roman"/>
          <w:sz w:val="18"/>
          <w:szCs w:val="18"/>
          <w:color w:val="auto"/>
        </w:rPr>
        <w:t>Insider’s Signature</w:t>
      </w:r>
      <w:r>
        <w:rPr>
          <w:sz w:val="20"/>
          <w:szCs w:val="20"/>
          <w:color w:val="auto"/>
        </w:rPr>
        <w:tab/>
      </w:r>
      <w:r>
        <w:rPr>
          <w:rFonts w:ascii="Times New Roman" w:cs="Times New Roman" w:eastAsia="Times New Roman" w:hAnsi="Times New Roman"/>
          <w:sz w:val="18"/>
          <w:szCs w:val="18"/>
          <w:color w:val="auto"/>
        </w:rPr>
        <w:t>Date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APPROVAL</w:t>
      </w:r>
    </w:p>
    <w:p>
      <w:pPr>
        <w:spacing w:after="0" w:line="200" w:lineRule="exact"/>
        <w:rPr>
          <w:sz w:val="20"/>
          <w:szCs w:val="20"/>
          <w:color w:val="auto"/>
        </w:rPr>
      </w:pPr>
    </w:p>
    <w:p>
      <w:pPr>
        <w:spacing w:after="0" w:line="259" w:lineRule="exact"/>
        <w:rPr>
          <w:sz w:val="20"/>
          <w:szCs w:val="20"/>
          <w:color w:val="auto"/>
        </w:rPr>
      </w:pPr>
    </w:p>
    <w:p>
      <w:pPr>
        <w:ind w:left="380"/>
        <w:spacing w:after="0"/>
        <w:tabs>
          <w:tab w:leader="none" w:pos="5860" w:val="left"/>
        </w:tabs>
        <w:rPr>
          <w:sz w:val="20"/>
          <w:szCs w:val="20"/>
          <w:color w:val="auto"/>
        </w:rPr>
      </w:pPr>
      <w:r>
        <w:rPr>
          <w:rFonts w:ascii="Times New Roman" w:cs="Times New Roman" w:eastAsia="Times New Roman" w:hAnsi="Times New Roman"/>
          <w:sz w:val="18"/>
          <w:szCs w:val="18"/>
          <w:color w:val="auto"/>
        </w:rPr>
        <w:t>Signature of Compliance Officer (or designee)</w:t>
      </w:r>
      <w:r>
        <w:rPr>
          <w:sz w:val="20"/>
          <w:szCs w:val="20"/>
          <w:color w:val="auto"/>
        </w:rPr>
        <w:tab/>
      </w:r>
      <w:r>
        <w:rPr>
          <w:rFonts w:ascii="Times New Roman" w:cs="Times New Roman" w:eastAsia="Times New Roman" w:hAnsi="Times New Roman"/>
          <w:sz w:val="18"/>
          <w:szCs w:val="18"/>
          <w:color w:val="auto"/>
        </w:rPr>
        <w:t>Date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Multiple lots must be listed on separate forms or broken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27" w:right="579" w:bottom="1440" w:gutter="0" w:footer="0" w:header="0"/>
        </w:sectPr>
      </w:pPr>
    </w:p>
    <w:bookmarkStart w:id="191" w:name="page192"/>
    <w:bookmarkEnd w:id="191"/>
    <w:p>
      <w:pPr>
        <w:jc w:val="center"/>
        <w:ind w:right="-99"/>
        <w:spacing w:after="0"/>
        <w:rPr>
          <w:sz w:val="20"/>
          <w:szCs w:val="20"/>
          <w:color w:val="auto"/>
        </w:rPr>
      </w:pPr>
      <w:r>
        <w:rPr>
          <w:rFonts w:ascii="Times New Roman" w:cs="Times New Roman" w:eastAsia="Times New Roman" w:hAnsi="Times New Roman"/>
          <w:sz w:val="22"/>
          <w:szCs w:val="22"/>
          <w:u w:val="single" w:color="auto"/>
          <w:color w:val="auto"/>
        </w:rPr>
        <w:t>EXHIBIT B</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ACKNOWLEDGEMENT</w:t>
      </w:r>
    </w:p>
    <w:p>
      <w:pPr>
        <w:spacing w:after="0" w:line="210"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I hereby acknowledge that I have read, that I understand, and that I agree to comply with the Insider Trading Policy of Rapport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 further acknowledge and agree that I am responsible for ensuring compliance with the Insider Trading Policy and the Trading Procedures by all of my “Affiliated Persons.”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or any brokerage firm managing the Company’s equity incentive plan(s) against the transfer of any Company securities that the Company considers to be in contravention of the Insider Trading Policy.</w:t>
      </w:r>
    </w:p>
    <w:p>
      <w:pPr>
        <w:spacing w:after="0" w:line="182" w:lineRule="exact"/>
        <w:rPr>
          <w:sz w:val="20"/>
          <w:szCs w:val="20"/>
          <w:color w:val="auto"/>
        </w:rPr>
      </w:pPr>
    </w:p>
    <w:p>
      <w:pPr>
        <w:jc w:val="both"/>
        <w:ind w:right="20" w:firstLine="432"/>
        <w:spacing w:after="0" w:line="244" w:lineRule="auto"/>
        <w:rPr>
          <w:sz w:val="20"/>
          <w:szCs w:val="20"/>
          <w:color w:val="auto"/>
        </w:rPr>
      </w:pPr>
      <w:r>
        <w:rPr>
          <w:rFonts w:ascii="Times New Roman" w:cs="Times New Roman" w:eastAsia="Times New Roman" w:hAnsi="Times New Roman"/>
          <w:sz w:val="22"/>
          <w:szCs w:val="22"/>
          <w:color w:val="auto"/>
        </w:rPr>
        <w:t>This acknowledgement constitutes consent for the Company to impose sanctions for violation of the Insider Trading Policy, including the Trading Procedures, and to issue any stop-transfer orders to the Company’s transfer agent that the Company, in its sole discretion, deems appropriate to ensure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159448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3">
                      <a:extLst>
                        <a:ext uri="{28A0092B-C50C-407E-A947-70E740481C1C}"/>
                      </a:extLst>
                    </a:blip>
                    <a:srcRect/>
                    <a:stretch>
                      <a:fillRect/>
                    </a:stretch>
                  </pic:blipFill>
                  <pic:spPr bwMode="auto">
                    <a:xfrm>
                      <a:off x="0" y="0"/>
                      <a:ext cx="159448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10795</wp:posOffset>
            </wp:positionV>
            <wp:extent cx="24860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4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2540</wp:posOffset>
            </wp:positionV>
            <wp:extent cx="24860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2540</wp:posOffset>
            </wp:positionV>
            <wp:extent cx="24860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192" w:name="page193"/>
    <w:bookmarkEnd w:id="192"/>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Send signed Acknowledgement 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Troy Ignelzi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Chief Financial Officer &amp; Compliance Officer</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Cheryl Gault</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Chief Operating Officer &amp; Compliance Officer</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Rapport Therapeutics, Inc.</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99 High Street, Suite 2100</w:t>
      </w:r>
    </w:p>
    <w:p>
      <w:pPr>
        <w:spacing w:after="0"/>
        <w:rPr>
          <w:sz w:val="20"/>
          <w:szCs w:val="20"/>
          <w:color w:val="auto"/>
        </w:rPr>
      </w:pPr>
      <w:r>
        <w:rPr>
          <w:rFonts w:ascii="Times New Roman" w:cs="Times New Roman" w:eastAsia="Times New Roman" w:hAnsi="Times New Roman"/>
          <w:sz w:val="22"/>
          <w:szCs w:val="22"/>
          <w:b w:val="1"/>
          <w:bCs w:val="1"/>
          <w:color w:val="auto"/>
        </w:rPr>
        <w:t>Boston, MA 02110 USA</w:t>
      </w:r>
    </w:p>
    <w:p>
      <w:pPr>
        <w:spacing w:after="0" w:line="200" w:lineRule="exact"/>
        <w:rPr>
          <w:sz w:val="20"/>
          <w:szCs w:val="20"/>
          <w:color w:val="auto"/>
        </w:rPr>
      </w:pPr>
    </w:p>
    <w:p>
      <w:pPr>
        <w:spacing w:after="0" w:line="23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93" w:name="page194"/>
    <w:bookmarkEnd w:id="193"/>
    <w:p>
      <w:pPr>
        <w:jc w:val="right"/>
        <w:spacing w:after="0"/>
        <w:rPr>
          <w:sz w:val="20"/>
          <w:szCs w:val="20"/>
          <w:color w:val="auto"/>
        </w:rPr>
      </w:pPr>
      <w:r>
        <w:rPr>
          <w:rFonts w:ascii="Georgia" w:cs="Georgia" w:eastAsia="Georgia" w:hAnsi="Georgia"/>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30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(Nos. 333-288444 and 333-288445) and Form S-8 (Nos. 333-280058 and 333-285697) of Rapport Therapeutics, Inc. of our report dated March 10, 2026 relating to the financial statements, which appears in this Form 10-K.</w:t>
      </w:r>
    </w:p>
    <w:p>
      <w:pPr>
        <w:spacing w:after="0" w:line="108"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Boston, Massachusetts</w:t>
      </w:r>
    </w:p>
    <w:p>
      <w:pPr>
        <w:spacing w:after="0"/>
        <w:rPr>
          <w:sz w:val="20"/>
          <w:szCs w:val="20"/>
          <w:color w:val="auto"/>
        </w:rPr>
      </w:pPr>
      <w:r>
        <w:rPr>
          <w:rFonts w:ascii="Georgia" w:cs="Georgia" w:eastAsia="Georgia" w:hAnsi="Georgia"/>
          <w:sz w:val="18"/>
          <w:szCs w:val="18"/>
          <w:color w:val="auto"/>
        </w:rPr>
        <w:t>March 10, 2026</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Abraham N. Ceesay, certify that:</w:t>
      </w:r>
    </w:p>
    <w:p>
      <w:pPr>
        <w:spacing w:after="0" w:line="225" w:lineRule="exact"/>
        <w:rPr>
          <w:sz w:val="20"/>
          <w:szCs w:val="20"/>
          <w:color w:val="auto"/>
        </w:rPr>
      </w:pPr>
    </w:p>
    <w:p>
      <w:pPr>
        <w:ind w:left="520" w:hanging="512"/>
        <w:spacing w:after="0"/>
        <w:tabs>
          <w:tab w:leader="none" w:pos="5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Rapport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00" w:right="460" w:hanging="383"/>
        <w:spacing w:after="0" w:line="266" w:lineRule="auto"/>
        <w:tabs>
          <w:tab w:leader="none" w:pos="9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00" w:right="620" w:hanging="383"/>
        <w:spacing w:after="0" w:line="312" w:lineRule="auto"/>
        <w:tabs>
          <w:tab w:leader="none" w:pos="900"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20" w:hanging="383"/>
        <w:spacing w:after="0" w:line="266" w:lineRule="auto"/>
        <w:tabs>
          <w:tab w:leader="none" w:pos="9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61" w:lineRule="auto"/>
        <w:tabs>
          <w:tab w:leader="none" w:pos="10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tabs>
          <w:tab w:leader="none" w:pos="5620" w:val="left"/>
          <w:tab w:leader="none" w:pos="7740" w:val="left"/>
        </w:tabs>
        <w:rPr>
          <w:sz w:val="20"/>
          <w:szCs w:val="20"/>
          <w:color w:val="auto"/>
        </w:rPr>
      </w:pPr>
      <w:r>
        <w:rPr>
          <w:rFonts w:ascii="Times New Roman" w:cs="Times New Roman" w:eastAsia="Times New Roman" w:hAnsi="Times New Roman"/>
          <w:sz w:val="18"/>
          <w:szCs w:val="18"/>
          <w:color w:val="auto"/>
        </w:rPr>
        <w:t>Date: March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Abraham N. Ceesay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334327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Abraham N. Ceesay, MBA</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5" w:name="page196"/>
    <w:bookmarkEnd w:id="195"/>
    <w:p>
      <w:pPr>
        <w:ind w:left="92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1317625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196" w:name="page197"/>
    <w:bookmarkEnd w:id="196"/>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Troy Ignelzi, certify that:</w:t>
      </w:r>
    </w:p>
    <w:p>
      <w:pPr>
        <w:spacing w:after="0" w:line="225" w:lineRule="exact"/>
        <w:rPr>
          <w:sz w:val="20"/>
          <w:szCs w:val="20"/>
          <w:color w:val="auto"/>
        </w:rPr>
      </w:pPr>
    </w:p>
    <w:p>
      <w:pPr>
        <w:ind w:left="520" w:hanging="512"/>
        <w:spacing w:after="0"/>
        <w:tabs>
          <w:tab w:leader="none" w:pos="5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Rapport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left="520" w:hanging="512"/>
        <w:spacing w:after="0" w:line="266" w:lineRule="auto"/>
        <w:tabs>
          <w:tab w:leader="none" w:pos="5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66" w:lineRule="auto"/>
        <w:tabs>
          <w:tab w:leader="none" w:pos="5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20" w:right="120" w:hanging="512"/>
        <w:spacing w:after="0" w:line="266" w:lineRule="auto"/>
        <w:tabs>
          <w:tab w:leader="none" w:pos="5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520" w:right="240" w:hanging="512"/>
        <w:spacing w:after="0" w:line="282" w:lineRule="auto"/>
        <w:tabs>
          <w:tab w:leader="none" w:pos="5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2026</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Troy Ignelzi</w:t>
            </w:r>
          </w:p>
        </w:tc>
      </w:tr>
      <w:tr>
        <w:trPr>
          <w:trHeight w:val="201"/>
        </w:trPr>
        <w:tc>
          <w:tcPr>
            <w:tcW w:w="3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2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Troy Ignelzi</w:t>
            </w:r>
          </w:p>
        </w:tc>
      </w:tr>
      <w:tr>
        <w:trPr>
          <w:trHeight w:val="230"/>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 and Principal Accounting Officer)</w:t>
            </w:r>
          </w:p>
        </w:tc>
      </w:tr>
      <w:tr>
        <w:trPr>
          <w:trHeight w:val="1843"/>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7"/>
          <w:szCs w:val="17"/>
          <w:color w:val="auto"/>
        </w:rPr>
        <w:t>In connection with the Annual Report of Rapport Therapeutics, Inc. (the “Company”) on Form 10-K for the period ending December 31, 2025 as filed with the Securities and Exchange Commission on the date hereof (the “Report”), the undersigned officers of the Company hereby certify, pursuant to 18 U.S.C.</w:t>
      </w:r>
    </w:p>
    <w:p>
      <w:pPr>
        <w:spacing w:after="0" w:line="1" w:lineRule="exact"/>
        <w:rPr>
          <w:sz w:val="20"/>
          <w:szCs w:val="20"/>
          <w:color w:val="auto"/>
        </w:rPr>
      </w:pPr>
    </w:p>
    <w:p>
      <w:pPr>
        <w:ind w:left="140" w:hanging="132"/>
        <w:spacing w:after="0"/>
        <w:tabs>
          <w:tab w:leader="none" w:pos="1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w:t>
      </w:r>
    </w:p>
    <w:p>
      <w:pPr>
        <w:spacing w:after="0" w:line="20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5" w:lineRule="exact"/>
        <w:rPr>
          <w:sz w:val="20"/>
          <w:szCs w:val="20"/>
          <w:color w:val="auto"/>
        </w:rPr>
      </w:pPr>
    </w:p>
    <w:p>
      <w:pPr>
        <w:spacing w:after="0"/>
        <w:tabs>
          <w:tab w:leader="none" w:pos="5680" w:val="left"/>
          <w:tab w:leader="none" w:pos="7780" w:val="left"/>
        </w:tabs>
        <w:rPr>
          <w:sz w:val="20"/>
          <w:szCs w:val="20"/>
          <w:color w:val="auto"/>
        </w:rPr>
      </w:pPr>
      <w:r>
        <w:rPr>
          <w:rFonts w:ascii="Times New Roman" w:cs="Times New Roman" w:eastAsia="Times New Roman" w:hAnsi="Times New Roman"/>
          <w:sz w:val="18"/>
          <w:szCs w:val="18"/>
          <w:color w:val="auto"/>
        </w:rPr>
        <w:t>Date: March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Abraham N. Ceesay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Abraham N. Ceesay, MBA</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spacing w:after="0"/>
        <w:tabs>
          <w:tab w:leader="none" w:pos="5680" w:val="left"/>
          <w:tab w:leader="none" w:pos="8060" w:val="left"/>
        </w:tabs>
        <w:rPr>
          <w:sz w:val="20"/>
          <w:szCs w:val="20"/>
          <w:color w:val="auto"/>
        </w:rPr>
      </w:pPr>
      <w:r>
        <w:rPr>
          <w:rFonts w:ascii="Times New Roman" w:cs="Times New Roman" w:eastAsia="Times New Roman" w:hAnsi="Times New Roman"/>
          <w:sz w:val="18"/>
          <w:szCs w:val="18"/>
          <w:color w:val="auto"/>
        </w:rPr>
        <w:t>Date: March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Troy Ignelzi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Troy Ignelzi</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9" w:name="page200"/>
    <w:bookmarkEnd w:id="1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1)"/>
      <w:numFmt w:val="lowerLetter"/>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1)"/>
      <w:numFmt w:val="lowerRoman"/>
      <w:start w:val="2"/>
    </w:lvl>
  </w:abstractNum>
  <w:abstractNum w:abstractNumId="17">
    <w:nsid w:val="7BD3EE7B"/>
    <w:multiLevelType w:val="hybridMultilevel"/>
    <w:lvl w:ilvl="0">
      <w:lvlJc w:val="left"/>
      <w:lvlText w:val="(%1)"/>
      <w:numFmt w:val="lowerRoman"/>
      <w:start w:val="2"/>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
      <w:numFmt w:val="bullet"/>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
      <w:numFmt w:val="bullet"/>
      <w:start w:val="1"/>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
      <w:numFmt w:val="bullet"/>
      <w:start w:val="1"/>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1)"/>
      <w:numFmt w:val="lowerRoman"/>
      <w:start w:val="3"/>
    </w:lvl>
  </w:abstractNum>
  <w:abstractNum w:abstractNumId="57">
    <w:nsid w:val="7F01579B"/>
    <w:multiLevelType w:val="hybridMultilevel"/>
    <w:lvl w:ilvl="0">
      <w:lvlJc w:val="left"/>
      <w:lvlText w:val="•"/>
      <w:numFmt w:val="bullet"/>
      <w:start w:val="1"/>
    </w:lvl>
  </w:abstractNum>
  <w:abstractNum w:abstractNumId="58">
    <w:nsid w:val="49DA307D"/>
    <w:multiLevelType w:val="hybridMultilevel"/>
    <w:lvl w:ilvl="0">
      <w:lvlJc w:val="left"/>
      <w:lvlText w:val="•"/>
      <w:numFmt w:val="bullet"/>
      <w:start w:val="1"/>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1)"/>
      <w:numFmt w:val="lowerLetter"/>
      <w:start w:val="1"/>
    </w:lvl>
  </w:abstractNum>
  <w:abstractNum w:abstractNumId="61">
    <w:nsid w:val="50801EE1"/>
    <w:multiLevelType w:val="hybridMultilevel"/>
    <w:lvl w:ilvl="0">
      <w:lvlJc w:val="left"/>
      <w:lvlText w:val="•"/>
      <w:numFmt w:val="bullet"/>
      <w:start w:val="1"/>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
      <w:numFmt w:val="bullet"/>
      <w:start w:val="1"/>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1)"/>
      <w:numFmt w:val="lowerRoman"/>
      <w:start w:val="3"/>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1)"/>
      <w:numFmt w:val="lowerLetter"/>
      <w:start w:val="1"/>
    </w:lvl>
  </w:abstractNum>
  <w:abstractNum w:abstractNumId="70">
    <w:nsid w:val="73A1821B"/>
    <w:multiLevelType w:val="hybridMultilevel"/>
    <w:lvl w:ilvl="0">
      <w:lvlJc w:val="left"/>
      <w:lvlText w:val="+"/>
      <w:numFmt w:val="bullet"/>
      <w:start w:val="1"/>
    </w:lvl>
  </w:abstractNum>
  <w:abstractNum w:abstractNumId="71">
    <w:nsid w:val="7DE67713"/>
    <w:multiLevelType w:val="hybridMultilevel"/>
    <w:lvl w:ilvl="0">
      <w:lvlJc w:val="left"/>
      <w:lvlText w:val="(%1)"/>
      <w:numFmt w:val="lowerRoman"/>
      <w:start w:val="1"/>
    </w:lvl>
  </w:abstractNum>
  <w:abstractNum w:abstractNumId="72">
    <w:nsid w:val="555C55B5"/>
    <w:multiLevelType w:val="hybridMultilevel"/>
    <w:lvl w:ilvl="0">
      <w:lvlJc w:val="left"/>
      <w:lvlText w:val="%1."/>
      <w:numFmt w:val="decimal"/>
      <w:start w:val="1"/>
    </w:lvl>
  </w:abstractNum>
  <w:abstractNum w:abstractNumId="73">
    <w:nsid w:val="3FA62ACA"/>
    <w:multiLevelType w:val="hybridMultilevel"/>
    <w:lvl w:ilvl="0">
      <w:lvlJc w:val="left"/>
      <w:lvlText w:val="à"/>
      <w:numFmt w:val="bullet"/>
      <w:start w:val="1"/>
    </w:lvl>
  </w:abstractNum>
  <w:abstractNum w:abstractNumId="74">
    <w:nsid w:val="14FCE74E"/>
    <w:multiLevelType w:val="hybridMultilevel"/>
    <w:lvl w:ilvl="0">
      <w:lvlJc w:val="left"/>
      <w:lvlText w:val="%1."/>
      <w:numFmt w:val="decimal"/>
      <w:start w:val="2"/>
    </w:lvl>
  </w:abstractNum>
  <w:abstractNum w:abstractNumId="75">
    <w:nsid w:val="6A3DD3E8"/>
    <w:multiLevelType w:val="hybridMultilevel"/>
    <w:lvl w:ilvl="0">
      <w:lvlJc w:val="left"/>
      <w:lvlText w:val="%1."/>
      <w:numFmt w:val="decimal"/>
      <w:start w:val="2"/>
    </w:lvl>
  </w:abstractNum>
  <w:abstractNum w:abstractNumId="76">
    <w:nsid w:val="71C91298"/>
    <w:multiLevelType w:val="hybridMultilevel"/>
    <w:lvl w:ilvl="0">
      <w:lvlJc w:val="left"/>
      <w:lvlText w:val="•"/>
      <w:numFmt w:val="bullet"/>
      <w:start w:val="1"/>
    </w:lvl>
  </w:abstractNum>
  <w:abstractNum w:abstractNumId="77">
    <w:nsid w:val="9DAF632"/>
    <w:multiLevelType w:val="hybridMultilevel"/>
    <w:lvl w:ilvl="0">
      <w:lvlJc w:val="left"/>
      <w:lvlText w:val="•"/>
      <w:numFmt w:val="bullet"/>
      <w:start w:val="1"/>
    </w:lvl>
  </w:abstractNum>
  <w:abstractNum w:abstractNumId="78">
    <w:nsid w:val="53299938"/>
    <w:multiLevelType w:val="hybridMultilevel"/>
    <w:lvl w:ilvl="0">
      <w:lvlJc w:val="left"/>
      <w:lvlText w:val="•"/>
      <w:numFmt w:val="bullet"/>
      <w:start w:val="1"/>
    </w:lvl>
  </w:abstractNum>
  <w:abstractNum w:abstractNumId="79">
    <w:nsid w:val="1FBFE8E0"/>
    <w:multiLevelType w:val="hybridMultilevel"/>
    <w:lvl w:ilvl="0">
      <w:lvlJc w:val="left"/>
      <w:lvlText w:val="•"/>
      <w:numFmt w:val="bullet"/>
      <w:start w:val="1"/>
    </w:lvl>
  </w:abstractNum>
  <w:abstractNum w:abstractNumId="80">
    <w:nsid w:val="5092CA79"/>
    <w:multiLevelType w:val="hybridMultilevel"/>
    <w:lvl w:ilvl="0">
      <w:lvlJc w:val="left"/>
      <w:lvlText w:val="à"/>
      <w:numFmt w:val="bullet"/>
      <w:start w:val="1"/>
    </w:lvl>
  </w:abstractNum>
  <w:abstractNum w:abstractNumId="81">
    <w:nsid w:val="1D545C4D"/>
    <w:multiLevelType w:val="hybridMultilevel"/>
    <w:lvl w:ilvl="0">
      <w:lvlJc w:val="left"/>
      <w:lvlText w:val="•"/>
      <w:numFmt w:val="bullet"/>
      <w:start w:val="1"/>
    </w:lvl>
  </w:abstractNum>
  <w:abstractNum w:abstractNumId="82">
    <w:nsid w:val="59ADEA3D"/>
    <w:multiLevelType w:val="hybridMultilevel"/>
    <w:lvl w:ilvl="0">
      <w:lvlJc w:val="left"/>
      <w:lvlText w:val="à"/>
      <w:numFmt w:val="bullet"/>
      <w:start w:val="1"/>
    </w:lvl>
  </w:abstractNum>
  <w:abstractNum w:abstractNumId="83">
    <w:nsid w:val="288F1A34"/>
    <w:multiLevelType w:val="hybridMultilevel"/>
    <w:lvl w:ilvl="0">
      <w:lvlJc w:val="left"/>
      <w:lvlText w:val="•"/>
      <w:numFmt w:val="bullet"/>
      <w:start w:val="1"/>
    </w:lvl>
  </w:abstractNum>
  <w:abstractNum w:abstractNumId="84">
    <w:nsid w:val="2A155DBC"/>
    <w:multiLevelType w:val="hybridMultilevel"/>
    <w:lvl w:ilvl="0">
      <w:lvlJc w:val="left"/>
      <w:lvlText w:val="%1."/>
      <w:numFmt w:val="decimal"/>
      <w:start w:val="3"/>
    </w:lvl>
  </w:abstractNum>
  <w:abstractNum w:abstractNumId="85">
    <w:nsid w:val="1D9F6E5F"/>
    <w:multiLevelType w:val="hybridMultilevel"/>
    <w:lvl w:ilvl="0">
      <w:lvlJc w:val="left"/>
      <w:lvlText w:val="%1."/>
      <w:numFmt w:val="decimal"/>
      <w:start w:val="4"/>
    </w:lvl>
  </w:abstractNum>
  <w:abstractNum w:abstractNumId="86">
    <w:nsid w:val="97E1B4E"/>
    <w:multiLevelType w:val="hybridMultilevel"/>
    <w:lvl w:ilvl="0">
      <w:lvlJc w:val="left"/>
      <w:lvlText w:val="%1."/>
      <w:numFmt w:val="decimal"/>
      <w:start w:val="4"/>
    </w:lvl>
  </w:abstractNum>
  <w:abstractNum w:abstractNumId="87">
    <w:nsid w:val="51088277"/>
    <w:multiLevelType w:val="hybridMultilevel"/>
    <w:lvl w:ilvl="0">
      <w:lvlJc w:val="left"/>
      <w:lvlText w:val="à"/>
      <w:numFmt w:val="bullet"/>
      <w:start w:val="1"/>
    </w:lvl>
  </w:abstractNum>
  <w:abstractNum w:abstractNumId="88">
    <w:nsid w:val="1CA0C5FA"/>
    <w:multiLevelType w:val="hybridMultilevel"/>
    <w:lvl w:ilvl="0">
      <w:lvlJc w:val="left"/>
      <w:lvlText w:val="%1."/>
      <w:numFmt w:val="decimal"/>
      <w:start w:val="5"/>
    </w:lvl>
  </w:abstractNum>
  <w:abstractNum w:abstractNumId="89">
    <w:nsid w:val="53584BCB"/>
    <w:multiLevelType w:val="hybridMultilevel"/>
    <w:lvl w:ilvl="0">
      <w:lvlJc w:val="left"/>
      <w:lvlText w:val="-"/>
      <w:numFmt w:val="bullet"/>
      <w:start w:val="1"/>
    </w:lvl>
  </w:abstractNum>
  <w:abstractNum w:abstractNumId="90">
    <w:nsid w:val="415E286C"/>
    <w:multiLevelType w:val="hybridMultilevel"/>
    <w:lvl w:ilvl="0">
      <w:lvlJc w:val="left"/>
      <w:lvlText w:val="-"/>
      <w:numFmt w:val="bullet"/>
      <w:start w:val="1"/>
    </w:lvl>
  </w:abstractNum>
  <w:abstractNum w:abstractNumId="91">
    <w:nsid w:val="7C58FD05"/>
    <w:multiLevelType w:val="hybridMultilevel"/>
    <w:lvl w:ilvl="0">
      <w:lvlJc w:val="left"/>
      <w:lvlText w:val="%1."/>
      <w:numFmt w:val="decimal"/>
      <w:start w:val="5"/>
    </w:lvl>
  </w:abstractNum>
  <w:abstractNum w:abstractNumId="92">
    <w:nsid w:val="23D86AAC"/>
    <w:multiLevelType w:val="hybridMultilevel"/>
    <w:lvl w:ilvl="0">
      <w:lvlJc w:val="left"/>
      <w:lvlText w:val="-"/>
      <w:numFmt w:val="bullet"/>
      <w:start w:val="1"/>
    </w:lvl>
  </w:abstractNum>
  <w:abstractNum w:abstractNumId="93">
    <w:nsid w:val="45E6D486"/>
    <w:multiLevelType w:val="hybridMultilevel"/>
    <w:lvl w:ilvl="0">
      <w:lvlJc w:val="left"/>
      <w:lvlText w:val="%1."/>
      <w:numFmt w:val="decimal"/>
      <w:start w:val="6"/>
    </w:lvl>
  </w:abstractNum>
  <w:abstractNum w:abstractNumId="94">
    <w:nsid w:val="5C10FE21"/>
    <w:multiLevelType w:val="hybridMultilevel"/>
    <w:lvl w:ilvl="0">
      <w:lvlJc w:val="left"/>
      <w:lvlText w:val="%1."/>
      <w:numFmt w:val="decimal"/>
      <w:start w:val="6"/>
    </w:lvl>
  </w:abstractNum>
  <w:abstractNum w:abstractNumId="95">
    <w:nsid w:val="E7FFA2B"/>
    <w:multiLevelType w:val="hybridMultilevel"/>
    <w:lvl w:ilvl="0">
      <w:lvlJc w:val="left"/>
      <w:lvlText w:val="%1."/>
      <w:numFmt w:val="decimal"/>
      <w:start w:val="7"/>
    </w:lvl>
  </w:abstractNum>
  <w:abstractNum w:abstractNumId="96">
    <w:nsid w:val="3C5991AA"/>
    <w:multiLevelType w:val="hybridMultilevel"/>
    <w:lvl w:ilvl="0">
      <w:lvlJc w:val="left"/>
      <w:lvlText w:val="%1."/>
      <w:numFmt w:val="decimal"/>
      <w:start w:val="8"/>
    </w:lvl>
  </w:abstractNum>
  <w:abstractNum w:abstractNumId="97">
    <w:nsid w:val="4BD8591A"/>
    <w:multiLevelType w:val="hybridMultilevel"/>
    <w:lvl w:ilvl="0">
      <w:lvlJc w:val="left"/>
      <w:lvlText w:val="%1."/>
      <w:numFmt w:val="decimal"/>
      <w:start w:val="7"/>
    </w:lvl>
  </w:abstractNum>
  <w:abstractNum w:abstractNumId="98">
    <w:nsid w:val="78DF6A55"/>
    <w:multiLevelType w:val="hybridMultilevel"/>
    <w:lvl w:ilvl="0">
      <w:lvlJc w:val="left"/>
      <w:lvlText w:val="%1."/>
      <w:numFmt w:val="decimal"/>
      <w:start w:val="8"/>
    </w:lvl>
  </w:abstractNum>
  <w:abstractNum w:abstractNumId="99">
    <w:nsid w:val="39B7AAA2"/>
    <w:multiLevelType w:val="hybridMultilevel"/>
    <w:lvl w:ilvl="0">
      <w:lvlJc w:val="left"/>
      <w:lvlText w:val="%1."/>
      <w:numFmt w:val="upperLetter"/>
      <w:start w:val="1"/>
    </w:lvl>
  </w:abstractNum>
  <w:abstractNum w:abstractNumId="100">
    <w:nsid w:val="2B0D8DBE"/>
    <w:multiLevelType w:val="hybridMultilevel"/>
    <w:lvl w:ilvl="0">
      <w:lvlJc w:val="left"/>
      <w:lvlText w:val="•"/>
      <w:numFmt w:val="bullet"/>
      <w:start w:val="1"/>
    </w:lvl>
  </w:abstractNum>
  <w:abstractNum w:abstractNumId="101">
    <w:nsid w:val="6C80EC70"/>
    <w:multiLevelType w:val="hybridMultilevel"/>
    <w:lvl w:ilvl="0">
      <w:lvlJc w:val="left"/>
      <w:lvlText w:val="•"/>
      <w:numFmt w:val="bullet"/>
      <w:start w:val="1"/>
    </w:lvl>
  </w:abstractNum>
  <w:abstractNum w:abstractNumId="102">
    <w:nsid w:val="379E21B5"/>
    <w:multiLevelType w:val="hybridMultilevel"/>
    <w:lvl w:ilvl="0">
      <w:lvlJc w:val="left"/>
      <w:lvlText w:val="%1."/>
      <w:numFmt w:val="upperLetter"/>
      <w:start w:val="2"/>
    </w:lvl>
  </w:abstractNum>
  <w:abstractNum w:abstractNumId="103">
    <w:nsid w:val="69E373"/>
    <w:multiLevelType w:val="hybridMultilevel"/>
    <w:lvl w:ilvl="0">
      <w:lvlJc w:val="left"/>
      <w:lvlText w:val="•"/>
      <w:numFmt w:val="bullet"/>
      <w:start w:val="1"/>
    </w:lvl>
  </w:abstractNum>
  <w:abstractNum w:abstractNumId="104">
    <w:nsid w:val="2C27173B"/>
    <w:multiLevelType w:val="hybridMultilevel"/>
    <w:lvl w:ilvl="0">
      <w:lvlJc w:val="left"/>
      <w:lvlText w:val="•"/>
      <w:numFmt w:val="bullet"/>
      <w:start w:val="1"/>
    </w:lvl>
  </w:abstractNum>
  <w:abstractNum w:abstractNumId="105">
    <w:nsid w:val="4C9B0904"/>
    <w:multiLevelType w:val="hybridMultilevel"/>
    <w:lvl w:ilvl="0">
      <w:lvlJc w:val="left"/>
      <w:lvlText w:val="%1."/>
      <w:numFmt w:val="upperLetter"/>
      <w:start w:val="3"/>
    </w:lvl>
  </w:abstractNum>
  <w:abstractNum w:abstractNumId="106">
    <w:nsid w:val="6AA7B75C"/>
    <w:multiLevelType w:val="hybridMultilevel"/>
    <w:lvl w:ilvl="0">
      <w:lvlJc w:val="left"/>
      <w:lvlText w:val="•"/>
      <w:numFmt w:val="bullet"/>
      <w:start w:val="1"/>
    </w:lvl>
  </w:abstractNum>
  <w:abstractNum w:abstractNumId="107">
    <w:nsid w:val="1DF029D3"/>
    <w:multiLevelType w:val="hybridMultilevel"/>
    <w:lvl w:ilvl="0">
      <w:lvlJc w:val="left"/>
      <w:lvlText w:val="%1."/>
      <w:numFmt w:val="upperLetter"/>
      <w:start w:val="4"/>
    </w:lvl>
  </w:abstractNum>
  <w:abstractNum w:abstractNumId="108">
    <w:nsid w:val="5675FF36"/>
    <w:multiLevelType w:val="hybridMultilevel"/>
    <w:lvl w:ilvl="0">
      <w:lvlJc w:val="left"/>
      <w:lvlText w:val="•"/>
      <w:numFmt w:val="bullet"/>
      <w:start w:val="1"/>
    </w:lvl>
  </w:abstractNum>
  <w:abstractNum w:abstractNumId="109">
    <w:nsid w:val="3DD15094"/>
    <w:multiLevelType w:val="hybridMultilevel"/>
    <w:lvl w:ilvl="0">
      <w:lvlJc w:val="left"/>
      <w:lvlText w:val="%1."/>
      <w:numFmt w:val="upperLetter"/>
      <w:start w:val="5"/>
    </w:lvl>
  </w:abstractNum>
  <w:abstractNum w:abstractNumId="110">
    <w:nsid w:val="3DB012B3"/>
    <w:multiLevelType w:val="hybridMultilevel"/>
    <w:lvl w:ilvl="0">
      <w:lvlJc w:val="left"/>
      <w:lvlText w:val="%1."/>
      <w:numFmt w:val="upperLetter"/>
      <w:start w:val="1"/>
    </w:lvl>
  </w:abstractNum>
  <w:abstractNum w:abstractNumId="111">
    <w:nsid w:val="2708C9AF"/>
    <w:multiLevelType w:val="hybridMultilevel"/>
    <w:lvl w:ilvl="0">
      <w:lvlJc w:val="left"/>
      <w:lvlText w:val="%1."/>
      <w:numFmt w:val="decimal"/>
      <w:start w:val="1"/>
    </w:lvl>
  </w:abstractNum>
  <w:abstractNum w:abstractNumId="112">
    <w:nsid w:val="5B25ACE2"/>
    <w:multiLevelType w:val="hybridMultilevel"/>
    <w:lvl w:ilvl="0">
      <w:lvlJc w:val="left"/>
      <w:lvlText w:val="%1."/>
      <w:numFmt w:val="decimal"/>
      <w:start w:val="2"/>
    </w:lvl>
  </w:abstractNum>
  <w:abstractNum w:abstractNumId="113">
    <w:nsid w:val="175DFCF0"/>
    <w:multiLevelType w:val="hybridMultilevel"/>
    <w:lvl w:ilvl="0">
      <w:lvlJc w:val="left"/>
      <w:lvlText w:val="%1."/>
      <w:numFmt w:val="decimal"/>
      <w:start w:val="3"/>
    </w:lvl>
  </w:abstractNum>
  <w:abstractNum w:abstractNumId="114">
    <w:nsid w:val="4F97E3E4"/>
    <w:multiLevelType w:val="hybridMultilevel"/>
    <w:lvl w:ilvl="0">
      <w:lvlJc w:val="left"/>
      <w:lvlText w:val="%1."/>
      <w:numFmt w:val="upperLetter"/>
      <w:start w:val="2"/>
    </w:lvl>
  </w:abstractNum>
  <w:abstractNum w:abstractNumId="115">
    <w:nsid w:val="53B0A9E"/>
    <w:multiLevelType w:val="hybridMultilevel"/>
    <w:lvl w:ilvl="0">
      <w:lvlJc w:val="left"/>
      <w:lvlText w:val="%1."/>
      <w:numFmt w:val="decimal"/>
      <w:start w:val="1"/>
    </w:lvl>
    <w:lvl w:ilvl="1">
      <w:lvlJc w:val="left"/>
      <w:lvlText w:val="•"/>
      <w:numFmt w:val="bullet"/>
      <w:start w:val="1"/>
    </w:lvl>
  </w:abstractNum>
  <w:abstractNum w:abstractNumId="116">
    <w:nsid w:val="34FD6B4F"/>
    <w:multiLevelType w:val="hybridMultilevel"/>
    <w:lvl w:ilvl="0">
      <w:lvlJc w:val="left"/>
      <w:lvlText w:val="•"/>
      <w:numFmt w:val="bullet"/>
      <w:start w:val="1"/>
    </w:lvl>
  </w:abstractNum>
  <w:abstractNum w:abstractNumId="117">
    <w:nsid w:val="5915FF32"/>
    <w:multiLevelType w:val="hybridMultilevel"/>
    <w:lvl w:ilvl="0">
      <w:lvlJc w:val="left"/>
      <w:lvlText w:val="%1."/>
      <w:numFmt w:val="decimal"/>
      <w:start w:val="2"/>
    </w:lvl>
  </w:abstractNum>
  <w:abstractNum w:abstractNumId="118">
    <w:nsid w:val="56438D15"/>
    <w:multiLevelType w:val="hybridMultilevel"/>
    <w:lvl w:ilvl="0">
      <w:lvlJc w:val="left"/>
      <w:lvlText w:val="%1."/>
      <w:numFmt w:val="decimal"/>
      <w:start w:val="4"/>
    </w:lvl>
  </w:abstractNum>
  <w:abstractNum w:abstractNumId="119">
    <w:nsid w:val="519E3149"/>
    <w:multiLevelType w:val="hybridMultilevel"/>
    <w:lvl w:ilvl="0">
      <w:lvlJc w:val="left"/>
      <w:lvlText w:val="%1."/>
      <w:numFmt w:val="decimal"/>
      <w:start w:val="5"/>
    </w:lvl>
  </w:abstractNum>
  <w:abstractNum w:abstractNumId="120">
    <w:nsid w:val="2C6E4AFD"/>
    <w:multiLevelType w:val="hybridMultilevel"/>
    <w:lvl w:ilvl="0">
      <w:lvlJc w:val="left"/>
      <w:lvlText w:val="%1."/>
      <w:numFmt w:val="decimal"/>
      <w:start w:val="6"/>
    </w:lvl>
  </w:abstractNum>
  <w:abstractNum w:abstractNumId="121">
    <w:nsid w:val="17A1B582"/>
    <w:multiLevelType w:val="hybridMultilevel"/>
    <w:lvl w:ilvl="0">
      <w:lvlJc w:val="left"/>
      <w:lvlText w:val="%1."/>
      <w:numFmt w:val="upperLetter"/>
      <w:start w:val="3"/>
    </w:lvl>
    <w:lvl w:ilvl="1">
      <w:lvlJc w:val="left"/>
      <w:lvlText w:val="%2."/>
      <w:numFmt w:val="decimal"/>
      <w:start w:val="1"/>
    </w:lvl>
  </w:abstractNum>
  <w:abstractNum w:abstractNumId="122">
    <w:nsid w:val="4DF72E4E"/>
    <w:multiLevelType w:val="hybridMultilevel"/>
    <w:lvl w:ilvl="0">
      <w:lvlJc w:val="left"/>
      <w:lvlText w:val="%1."/>
      <w:numFmt w:val="decimal"/>
      <w:start w:val="2"/>
    </w:lvl>
  </w:abstractNum>
  <w:abstractNum w:abstractNumId="123">
    <w:nsid w:val="5046B5A9"/>
    <w:multiLevelType w:val="hybridMultilevel"/>
    <w:lvl w:ilvl="0">
      <w:lvlJc w:val="left"/>
      <w:lvlText w:val="%1."/>
      <w:numFmt w:val="upperLetter"/>
      <w:start w:val="4"/>
    </w:lvl>
  </w:abstractNum>
  <w:abstractNum w:abstractNumId="124">
    <w:nsid w:val="5D888A08"/>
    <w:multiLevelType w:val="hybridMultilevel"/>
    <w:lvl w:ilvl="0">
      <w:lvlJc w:val="left"/>
      <w:lvlText w:val=""/>
      <w:numFmt w:val="bullet"/>
      <w:start w:val="1"/>
    </w:lvl>
  </w:abstractNum>
  <w:abstractNum w:abstractNumId="125">
    <w:nsid w:val="2A082C70"/>
    <w:multiLevelType w:val="hybridMultilevel"/>
    <w:lvl w:ilvl="0">
      <w:lvlJc w:val="left"/>
      <w:lvlText w:val=""/>
      <w:numFmt w:val="bullet"/>
      <w:start w:val="1"/>
    </w:lvl>
  </w:abstractNum>
  <w:abstractNum w:abstractNumId="126">
    <w:nsid w:val="5EC6AFD4"/>
    <w:multiLevelType w:val="hybridMultilevel"/>
    <w:lvl w:ilvl="0">
      <w:lvlJc w:val="left"/>
      <w:lvlText w:val=""/>
      <w:numFmt w:val="bullet"/>
      <w:start w:val="1"/>
    </w:lvl>
  </w:abstractNum>
  <w:abstractNum w:abstractNumId="127">
    <w:nsid w:val="19E21BB2"/>
    <w:multiLevelType w:val="hybridMultilevel"/>
    <w:lvl w:ilvl="0">
      <w:lvlJc w:val="left"/>
      <w:lvlText w:val="%1."/>
      <w:numFmt w:val="decimal"/>
      <w:start w:val="1"/>
    </w:lvl>
    <w:lvl w:ilvl="1">
      <w:lvlJc w:val="left"/>
      <w:lvlText w:val="(%2)"/>
      <w:numFmt w:val="lowerLetter"/>
      <w:start w:val="1"/>
    </w:lvl>
  </w:abstractNum>
  <w:abstractNum w:abstractNumId="128">
    <w:nsid w:val="75E0858A"/>
    <w:multiLevelType w:val="hybridMultilevel"/>
    <w:lvl w:ilvl="0">
      <w:lvlJc w:val="left"/>
      <w:lvlText w:val="%1."/>
      <w:numFmt w:val="decimal"/>
      <w:start w:val="1"/>
    </w:lvl>
  </w:abstractNum>
  <w:abstractNum w:abstractNumId="129">
    <w:nsid w:val="57A61A29"/>
    <w:multiLevelType w:val="hybridMultilevel"/>
    <w:lvl w:ilvl="0">
      <w:lvlJc w:val="left"/>
      <w:lvlText w:val="(%1)"/>
      <w:numFmt w:val="lowerLetter"/>
      <w:start w:val="1"/>
    </w:lvl>
  </w:abstractNum>
  <w:abstractNum w:abstractNumId="130">
    <w:nsid w:val="5399C654"/>
    <w:multiLevelType w:val="hybridMultilevel"/>
    <w:lvl w:ilvl="0">
      <w:lvlJc w:val="left"/>
      <w:lvlText w:val="%1."/>
      <w:numFmt w:val="decimal"/>
      <w:start w:val="5"/>
    </w:lvl>
    <w:lvl w:ilvl="1">
      <w:lvlJc w:val="left"/>
      <w:lvlText w:val="(%2)"/>
      <w:numFmt w:val="lowerLetter"/>
      <w:start w:val="1"/>
    </w:lvl>
  </w:abstractNum>
  <w:abstractNum w:abstractNumId="131">
    <w:nsid w:val="20EE134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33" Type="http://schemas.openxmlformats.org/officeDocument/2006/relationships/image" Target="media/image310.png"/><Relationship Id="rId334" Type="http://schemas.openxmlformats.org/officeDocument/2006/relationships/image" Target="media/image311.png"/><Relationship Id="rId342" Type="http://schemas.openxmlformats.org/officeDocument/2006/relationships/image" Target="media/image312.png"/><Relationship Id="rId343" Type="http://schemas.openxmlformats.org/officeDocument/2006/relationships/image" Target="media/image313.png"/><Relationship Id="rId344" Type="http://schemas.openxmlformats.org/officeDocument/2006/relationships/image" Target="media/image314.png"/><Relationship Id="rId345" Type="http://schemas.openxmlformats.org/officeDocument/2006/relationships/image" Target="media/image315.png"/><Relationship Id="rId346" Type="http://schemas.openxmlformats.org/officeDocument/2006/relationships/image" Target="media/image316.png"/><Relationship Id="rId347" Type="http://schemas.openxmlformats.org/officeDocument/2006/relationships/image" Target="media/image317.png"/><Relationship Id="rId348" Type="http://schemas.openxmlformats.org/officeDocument/2006/relationships/image" Target="media/image318.png"/><Relationship Id="rId349" Type="http://schemas.openxmlformats.org/officeDocument/2006/relationships/image" Target="media/image319.png"/><Relationship Id="rId350" Type="http://schemas.openxmlformats.org/officeDocument/2006/relationships/image" Target="media/image320.png"/><Relationship Id="rId351" Type="http://schemas.openxmlformats.org/officeDocument/2006/relationships/image" Target="media/image321.png"/><Relationship Id="rId352" Type="http://schemas.openxmlformats.org/officeDocument/2006/relationships/image" Target="media/image322.png"/><Relationship Id="rId353" Type="http://schemas.openxmlformats.org/officeDocument/2006/relationships/image" Target="media/image323.png"/><Relationship Id="rId354" Type="http://schemas.openxmlformats.org/officeDocument/2006/relationships/image" Target="media/image324.png"/><Relationship Id="rId355" Type="http://schemas.openxmlformats.org/officeDocument/2006/relationships/image" Target="media/image325.png"/><Relationship Id="rId356" Type="http://schemas.openxmlformats.org/officeDocument/2006/relationships/image" Target="media/image326.png"/><Relationship Id="rId357" Type="http://schemas.openxmlformats.org/officeDocument/2006/relationships/image" Target="media/image327.png"/><Relationship Id="rId358" Type="http://schemas.openxmlformats.org/officeDocument/2006/relationships/image" Target="media/image328.png"/><Relationship Id="rId359" Type="http://schemas.openxmlformats.org/officeDocument/2006/relationships/image" Target="media/image329.jpeg"/><Relationship Id="rId360" Type="http://schemas.openxmlformats.org/officeDocument/2006/relationships/image" Target="media/image330.png"/><Relationship Id="rId361" Type="http://schemas.openxmlformats.org/officeDocument/2006/relationships/image" Target="media/image331.jpeg"/><Relationship Id="rId362" Type="http://schemas.openxmlformats.org/officeDocument/2006/relationships/image" Target="media/image332.png"/><Relationship Id="rId363" Type="http://schemas.openxmlformats.org/officeDocument/2006/relationships/image" Target="media/image333.jpeg"/><Relationship Id="rId364" Type="http://schemas.openxmlformats.org/officeDocument/2006/relationships/image" Target="media/image334.png"/><Relationship Id="rId365" Type="http://schemas.openxmlformats.org/officeDocument/2006/relationships/image" Target="media/image335.png"/><Relationship Id="rId366" Type="http://schemas.openxmlformats.org/officeDocument/2006/relationships/image" Target="media/image336.png"/><Relationship Id="rId367" Type="http://schemas.openxmlformats.org/officeDocument/2006/relationships/image" Target="media/image337.jpeg"/><Relationship Id="rId368" Type="http://schemas.openxmlformats.org/officeDocument/2006/relationships/image" Target="media/image338.png"/><Relationship Id="rId369" Type="http://schemas.openxmlformats.org/officeDocument/2006/relationships/image" Target="media/image339.png"/><Relationship Id="rId370" Type="http://schemas.openxmlformats.org/officeDocument/2006/relationships/image" Target="media/image340.jpeg"/><Relationship Id="rId371" Type="http://schemas.openxmlformats.org/officeDocument/2006/relationships/image" Target="media/image341.png"/><Relationship Id="rId372" Type="http://schemas.openxmlformats.org/officeDocument/2006/relationships/image" Target="media/image342.jpeg"/><Relationship Id="rId373" Type="http://schemas.openxmlformats.org/officeDocument/2006/relationships/image" Target="media/image343.png"/><Relationship Id="rId374" Type="http://schemas.openxmlformats.org/officeDocument/2006/relationships/image" Target="media/image344.png"/><Relationship Id="rId375" Type="http://schemas.openxmlformats.org/officeDocument/2006/relationships/image" Target="media/image345.jpeg"/><Relationship Id="rId376" Type="http://schemas.openxmlformats.org/officeDocument/2006/relationships/image" Target="media/image346.png"/><Relationship Id="rId377" Type="http://schemas.openxmlformats.org/officeDocument/2006/relationships/image" Target="media/image347.png"/><Relationship Id="rId378" Type="http://schemas.openxmlformats.org/officeDocument/2006/relationships/image" Target="media/image348.jpeg"/><Relationship Id="rId379" Type="http://schemas.openxmlformats.org/officeDocument/2006/relationships/image" Target="media/image349.png"/><Relationship Id="rId380" Type="http://schemas.openxmlformats.org/officeDocument/2006/relationships/image" Target="media/image350.png"/><Relationship Id="rId381" Type="http://schemas.openxmlformats.org/officeDocument/2006/relationships/image" Target="media/image351.jpeg"/><Relationship Id="rId382" Type="http://schemas.openxmlformats.org/officeDocument/2006/relationships/image" Target="media/image352.png"/><Relationship Id="rId383" Type="http://schemas.openxmlformats.org/officeDocument/2006/relationships/image" Target="media/image353.png"/><Relationship Id="rId384" Type="http://schemas.openxmlformats.org/officeDocument/2006/relationships/image" Target="media/image354.jpeg"/><Relationship Id="rId385" Type="http://schemas.openxmlformats.org/officeDocument/2006/relationships/image" Target="media/image355.png"/><Relationship Id="rId386" Type="http://schemas.openxmlformats.org/officeDocument/2006/relationships/image" Target="media/image356.png"/><Relationship Id="rId387" Type="http://schemas.openxmlformats.org/officeDocument/2006/relationships/image" Target="media/image357.jpeg"/><Relationship Id="rId388" Type="http://schemas.openxmlformats.org/officeDocument/2006/relationships/image" Target="media/image358.png"/><Relationship Id="rId389" Type="http://schemas.openxmlformats.org/officeDocument/2006/relationships/image" Target="media/image359.png"/><Relationship Id="rId390" Type="http://schemas.openxmlformats.org/officeDocument/2006/relationships/image" Target="media/image360.jpeg"/><Relationship Id="rId391" Type="http://schemas.openxmlformats.org/officeDocument/2006/relationships/image" Target="media/image361.png"/><Relationship Id="rId392" Type="http://schemas.openxmlformats.org/officeDocument/2006/relationships/image" Target="media/image362.png"/><Relationship Id="rId393" Type="http://schemas.openxmlformats.org/officeDocument/2006/relationships/image" Target="media/image363.jpeg"/><Relationship Id="rId394" Type="http://schemas.openxmlformats.org/officeDocument/2006/relationships/image" Target="media/image364.png"/><Relationship Id="rId395" Type="http://schemas.openxmlformats.org/officeDocument/2006/relationships/image" Target="media/image365.png"/><Relationship Id="rId396" Type="http://schemas.openxmlformats.org/officeDocument/2006/relationships/image" Target="media/image366.jpeg"/><Relationship Id="rId397" Type="http://schemas.openxmlformats.org/officeDocument/2006/relationships/image" Target="media/image367.png"/><Relationship Id="rId398" Type="http://schemas.openxmlformats.org/officeDocument/2006/relationships/image" Target="media/image368.png"/><Relationship Id="rId399" Type="http://schemas.openxmlformats.org/officeDocument/2006/relationships/image" Target="media/image369.jpeg"/><Relationship Id="rId400" Type="http://schemas.openxmlformats.org/officeDocument/2006/relationships/image" Target="media/image370.png"/><Relationship Id="rId401" Type="http://schemas.openxmlformats.org/officeDocument/2006/relationships/image" Target="media/image371.png"/><Relationship Id="rId402" Type="http://schemas.openxmlformats.org/officeDocument/2006/relationships/image" Target="media/image372.jpeg"/><Relationship Id="rId403" Type="http://schemas.openxmlformats.org/officeDocument/2006/relationships/image" Target="media/image373.png"/><Relationship Id="rId404" Type="http://schemas.openxmlformats.org/officeDocument/2006/relationships/image" Target="media/image374.png"/><Relationship Id="rId405" Type="http://schemas.openxmlformats.org/officeDocument/2006/relationships/image" Target="media/image375.jpeg"/><Relationship Id="rId406" Type="http://schemas.openxmlformats.org/officeDocument/2006/relationships/image" Target="media/image376.png"/><Relationship Id="rId407" Type="http://schemas.openxmlformats.org/officeDocument/2006/relationships/image" Target="media/image377.png"/><Relationship Id="rId408" Type="http://schemas.openxmlformats.org/officeDocument/2006/relationships/image" Target="media/image378.jpeg"/><Relationship Id="rId409" Type="http://schemas.openxmlformats.org/officeDocument/2006/relationships/image" Target="media/image379.png"/><Relationship Id="rId410" Type="http://schemas.openxmlformats.org/officeDocument/2006/relationships/image" Target="media/image380.png"/><Relationship Id="rId411" Type="http://schemas.openxmlformats.org/officeDocument/2006/relationships/image" Target="media/image381.png"/><Relationship Id="rId412" Type="http://schemas.openxmlformats.org/officeDocument/2006/relationships/image" Target="media/image382.png"/><Relationship Id="rId413" Type="http://schemas.openxmlformats.org/officeDocument/2006/relationships/image" Target="media/image383.png"/><Relationship Id="rId414" Type="http://schemas.openxmlformats.org/officeDocument/2006/relationships/image" Target="media/image384.png"/><Relationship Id="rId415" Type="http://schemas.openxmlformats.org/officeDocument/2006/relationships/image" Target="media/image385.png"/><Relationship Id="rId416" Type="http://schemas.openxmlformats.org/officeDocument/2006/relationships/image" Target="media/image386.png"/><Relationship Id="rId417" Type="http://schemas.openxmlformats.org/officeDocument/2006/relationships/image" Target="media/image387.png"/><Relationship Id="rId418" Type="http://schemas.openxmlformats.org/officeDocument/2006/relationships/image" Target="media/image388.png"/><Relationship Id="rId419" Type="http://schemas.openxmlformats.org/officeDocument/2006/relationships/image" Target="media/image389.png"/><Relationship Id="rId420" Type="http://schemas.openxmlformats.org/officeDocument/2006/relationships/image" Target="media/image390.png"/><Relationship Id="rId421" Type="http://schemas.openxmlformats.org/officeDocument/2006/relationships/image" Target="media/image391.png"/><Relationship Id="rId422" Type="http://schemas.openxmlformats.org/officeDocument/2006/relationships/image" Target="media/image392.png"/><Relationship Id="rId423" Type="http://schemas.openxmlformats.org/officeDocument/2006/relationships/image" Target="media/image393.png"/><Relationship Id="rId424" Type="http://schemas.openxmlformats.org/officeDocument/2006/relationships/image" Target="media/image394.png"/><Relationship Id="rId425" Type="http://schemas.openxmlformats.org/officeDocument/2006/relationships/image" Target="media/image395.png"/><Relationship Id="rId426" Type="http://schemas.openxmlformats.org/officeDocument/2006/relationships/image" Target="media/image396.png"/><Relationship Id="rId427" Type="http://schemas.openxmlformats.org/officeDocument/2006/relationships/image" Target="media/image397.png"/><Relationship Id="rId428" Type="http://schemas.openxmlformats.org/officeDocument/2006/relationships/image" Target="media/image398.png"/><Relationship Id="rId429" Type="http://schemas.openxmlformats.org/officeDocument/2006/relationships/image" Target="media/image399.png"/><Relationship Id="rId430" Type="http://schemas.openxmlformats.org/officeDocument/2006/relationships/image" Target="media/image400.png"/><Relationship Id="rId431" Type="http://schemas.openxmlformats.org/officeDocument/2006/relationships/image" Target="media/image401.png"/><Relationship Id="rId432" Type="http://schemas.openxmlformats.org/officeDocument/2006/relationships/image" Target="media/image402.png"/><Relationship Id="rId433" Type="http://schemas.openxmlformats.org/officeDocument/2006/relationships/image" Target="media/image403.png"/><Relationship Id="rId434" Type="http://schemas.openxmlformats.org/officeDocument/2006/relationships/image" Target="media/image404.png"/><Relationship Id="rId435" Type="http://schemas.openxmlformats.org/officeDocument/2006/relationships/image" Target="media/image405.png"/><Relationship Id="rId436" Type="http://schemas.openxmlformats.org/officeDocument/2006/relationships/image" Target="media/image406.png"/><Relationship Id="rId437" Type="http://schemas.openxmlformats.org/officeDocument/2006/relationships/image" Target="media/image407.png"/><Relationship Id="rId438" Type="http://schemas.openxmlformats.org/officeDocument/2006/relationships/image" Target="media/image408.png"/><Relationship Id="rId439" Type="http://schemas.openxmlformats.org/officeDocument/2006/relationships/image" Target="media/image409.png"/><Relationship Id="rId440" Type="http://schemas.openxmlformats.org/officeDocument/2006/relationships/image" Target="media/image410.png"/><Relationship Id="rId441" Type="http://schemas.openxmlformats.org/officeDocument/2006/relationships/image" Target="media/image411.png"/><Relationship Id="rId442" Type="http://schemas.openxmlformats.org/officeDocument/2006/relationships/image" Target="media/image412.png"/><Relationship Id="rId443" Type="http://schemas.openxmlformats.org/officeDocument/2006/relationships/image" Target="media/image413.png"/><Relationship Id="rId444" Type="http://schemas.openxmlformats.org/officeDocument/2006/relationships/image" Target="media/image414.png"/><Relationship Id="rId445" Type="http://schemas.openxmlformats.org/officeDocument/2006/relationships/image" Target="media/image415.png"/><Relationship Id="rId446" Type="http://schemas.openxmlformats.org/officeDocument/2006/relationships/image" Target="media/image416.png"/><Relationship Id="rId447" Type="http://schemas.openxmlformats.org/officeDocument/2006/relationships/image" Target="media/image417.png"/><Relationship Id="rId448" Type="http://schemas.openxmlformats.org/officeDocument/2006/relationships/image" Target="media/image418.png"/><Relationship Id="rId317" Type="http://schemas.openxmlformats.org/officeDocument/2006/relationships/hyperlink" Target="https://www.sec.gov/Archives/edgar/data/2012593/000119312524158327/d60139dex31.htm" TargetMode="External"/><Relationship Id="rId318" Type="http://schemas.openxmlformats.org/officeDocument/2006/relationships/hyperlink" Target="https://www.sec.gov/Archives/edgar/data/2012593/000119312524158327/d60139dex32.htm" TargetMode="External"/><Relationship Id="rId319" Type="http://schemas.openxmlformats.org/officeDocument/2006/relationships/hyperlink" Target="https://www.sec.gov/Archives/edgar/data/2012593/000119312524141704/d803738dex41.htm" TargetMode="External"/><Relationship Id="rId320" Type="http://schemas.openxmlformats.org/officeDocument/2006/relationships/hyperlink" Target="https://www.sec.gov/Archives/edgar/data/2012593/000119312524141704/d803738dex42.htm" TargetMode="External"/><Relationship Id="rId321" Type="http://schemas.openxmlformats.org/officeDocument/2006/relationships/hyperlink" Target="https://www.sec.gov/Archives/edgar/data/2012593/000095017025036828/rapp-ex4_3.htm" TargetMode="External"/><Relationship Id="rId322" Type="http://schemas.openxmlformats.org/officeDocument/2006/relationships/hyperlink" Target="https://www.sec.gov/Archives/edgar/data/2012593/000119312524158327/d60139dex101.htm" TargetMode="External"/><Relationship Id="rId323" Type="http://schemas.openxmlformats.org/officeDocument/2006/relationships/hyperlink" Target="https://www.sec.gov/Archives/edgar/data/2012593/000119312524152294/d803738dex102.htm" TargetMode="External"/><Relationship Id="rId324" Type="http://schemas.openxmlformats.org/officeDocument/2006/relationships/hyperlink" Target="https://www.sec.gov/Archives/edgar/data/2012593/000119312524152294/d803738dex103.htm" TargetMode="External"/><Relationship Id="rId325" Type="http://schemas.openxmlformats.org/officeDocument/2006/relationships/hyperlink" Target="https://www.sec.gov/Archives/edgar/data/2012593/000119312524152294/d803738dex104.htm" TargetMode="External"/><Relationship Id="rId326" Type="http://schemas.openxmlformats.org/officeDocument/2006/relationships/hyperlink" Target="https://www.sec.gov/Archives/edgar/data/2012593/000119312524152294/d803738dex105.htm" TargetMode="External"/><Relationship Id="rId327" Type="http://schemas.openxmlformats.org/officeDocument/2006/relationships/hyperlink" Target="https://www.sec.gov/Archives/edgar/data/2012593/000095017024093334/rapp-ex10_7.htm" TargetMode="External"/><Relationship Id="rId328" Type="http://schemas.openxmlformats.org/officeDocument/2006/relationships/hyperlink" Target="https://www.sec.gov/Archives/edgar/data/2012593/000095017024093334/rapp-ex10_8.htm" TargetMode="External"/><Relationship Id="rId329" Type="http://schemas.openxmlformats.org/officeDocument/2006/relationships/hyperlink" Target="https://www.sec.gov/Archives/edgar/data/2012593/000119312524141704/d803738dex1010.htm" TargetMode="External"/><Relationship Id="rId330" Type="http://schemas.openxmlformats.org/officeDocument/2006/relationships/hyperlink" Target="https://www.sec.gov/Archives/edgar/data/2012593/000119312524141704/d803738dex1011.htm" TargetMode="External"/><Relationship Id="rId331" Type="http://schemas.openxmlformats.org/officeDocument/2006/relationships/hyperlink" Target="https://www.sec.gov/Archives/edgar/data/2012593/000119312524141704/d803738dex1012.htm" TargetMode="External"/><Relationship Id="rId332" Type="http://schemas.openxmlformats.org/officeDocument/2006/relationships/hyperlink" Target="https://www.sec.gov/Archives/edgar/data/2012593/000119312524141704/d803738dex1013.htm" TargetMode="External"/><Relationship Id="rId335" Type="http://schemas.openxmlformats.org/officeDocument/2006/relationships/hyperlink" Target="https://www.sec.gov/Archives/edgar/data/2012593/000119312524141704/d803738dex1015.htm" TargetMode="External"/><Relationship Id="rId336" Type="http://schemas.openxmlformats.org/officeDocument/2006/relationships/hyperlink" Target="https://www.sec.gov/Archives/edgar/data/2012593/000095017025066393/rapp-ex10_1.htm" TargetMode="External"/><Relationship Id="rId337" Type="http://schemas.openxmlformats.org/officeDocument/2006/relationships/hyperlink" Target="https://www.sec.gov/Archives/edgar/data/2012593/000095017025104565/rapp-ex10_1.htm" TargetMode="External"/><Relationship Id="rId338" Type="http://schemas.openxmlformats.org/officeDocument/2006/relationships/hyperlink" Target="https://www.sec.gov/Archives/edgar/data/2012593/000119312525153415/d89513dex12.htm" TargetMode="External"/><Relationship Id="rId339" Type="http://schemas.openxmlformats.org/officeDocument/2006/relationships/hyperlink" Target="https://www.sec.gov/Archives/edgar/data/2012593/000119312525268096/rapp-ex10_1.htm" TargetMode="External"/><Relationship Id="rId340" Type="http://schemas.openxmlformats.org/officeDocument/2006/relationships/hyperlink" Target="https://www.sec.gov/Archives/edgar/data/2012593/000119312524141704/d803738dex211.htm" TargetMode="External"/><Relationship Id="rId341" Type="http://schemas.openxmlformats.org/officeDocument/2006/relationships/hyperlink" Target="https://www.sec.gov/Archives/edgar/data/2012593/000095017025036828/rapp-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2026-03-10T06:32:12Z</dcterms:created>
  <dcterms:modified xsi:type="dcterms:W3CDTF">2026-03-10T06:32:12Z</dcterms:modified>
</cp:coreProperties>
</file>