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03738ds1.htm"/>
        <w:bookmarkStart w:id="1" w:name="ksd803738ds1"/>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May 17, 2024.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S-1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9"/>
        <w:gridCol w:w="102"/>
        <w:gridCol w:w="3299"/>
        <w:gridCol w:w="205"/>
        <w:gridCol w:w="3300"/>
      </w:tblGrid>
      <w:tr>
        <w:trPr/>
        <w:tc>
          <w:tcPr>
            <w:tcW w:w="329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329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center"/>
              <w:rPr>
                <w:b/>
              </w:rPr>
            </w:pPr>
            <w:r>
              <w:rPr>
                <w:b/>
              </w:rPr>
              <w:t>2834</w:t>
            </w:r>
          </w:p>
        </w:tc>
        <w:tc>
          <w:tcPr>
            <w:tcW w:w="205"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center"/>
              <w:rPr>
                <w:b/>
              </w:rPr>
            </w:pPr>
            <w:r>
              <w:rPr>
                <w:b/>
              </w:rPr>
              <w:t>88-0724208</w:t>
            </w:r>
          </w:p>
        </w:tc>
      </w:tr>
      <w:tr>
        <w:trPr/>
        <w:tc>
          <w:tcPr>
            <w:tcW w:w="329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205"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Rapport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1325 Boylston Street, Suite 401 </w:t>
      </w:r>
    </w:p>
    <w:p>
      <w:pPr>
        <w:pStyle w:val="TextBody"/>
        <w:bidi w:val="0"/>
        <w:spacing w:before="0" w:after="0"/>
        <w:jc w:val="center"/>
        <w:rPr>
          <w:rFonts w:ascii="Times New Roman" w:hAnsi="Times New Roman"/>
          <w:b/>
          <w:sz w:val="18"/>
        </w:rPr>
      </w:pPr>
      <w:r>
        <w:rPr>
          <w:rFonts w:ascii="Times New Roman" w:hAnsi="Times New Roman"/>
          <w:b/>
          <w:sz w:val="18"/>
        </w:rPr>
        <w:t xml:space="preserve">Boston, MA 02215 </w:t>
      </w:r>
    </w:p>
    <w:p>
      <w:pPr>
        <w:pStyle w:val="TextBody"/>
        <w:bidi w:val="0"/>
        <w:spacing w:before="0" w:after="0"/>
        <w:jc w:val="center"/>
        <w:rPr>
          <w:rFonts w:ascii="Times New Roman" w:hAnsi="Times New Roman"/>
          <w:b/>
          <w:sz w:val="18"/>
        </w:rPr>
      </w:pPr>
      <w:r>
        <w:rPr>
          <w:rFonts w:ascii="Times New Roman" w:hAnsi="Times New Roman"/>
          <w:b/>
          <w:sz w:val="18"/>
        </w:rPr>
        <w:t xml:space="preserve">(857) 321-8020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Abraham N. Ceesay, M.B.A.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1325 Boylston Street, Suite 401 </w:t>
      </w:r>
    </w:p>
    <w:p>
      <w:pPr>
        <w:pStyle w:val="TextBody"/>
        <w:bidi w:val="0"/>
        <w:spacing w:before="0" w:after="0"/>
        <w:jc w:val="center"/>
        <w:rPr>
          <w:rFonts w:ascii="Times New Roman" w:hAnsi="Times New Roman"/>
          <w:b/>
          <w:sz w:val="18"/>
        </w:rPr>
      </w:pPr>
      <w:r>
        <w:rPr>
          <w:rFonts w:ascii="Times New Roman" w:hAnsi="Times New Roman"/>
          <w:b/>
          <w:sz w:val="18"/>
        </w:rPr>
        <w:t xml:space="preserve">Boston, MA 02215 </w:t>
      </w:r>
    </w:p>
    <w:p>
      <w:pPr>
        <w:pStyle w:val="TextBody"/>
        <w:bidi w:val="0"/>
        <w:spacing w:before="0" w:after="0"/>
        <w:jc w:val="center"/>
        <w:rPr>
          <w:rFonts w:ascii="Times New Roman" w:hAnsi="Times New Roman"/>
          <w:b/>
          <w:sz w:val="18"/>
        </w:rPr>
      </w:pPr>
      <w:r>
        <w:rPr>
          <w:rFonts w:ascii="Times New Roman" w:hAnsi="Times New Roman"/>
          <w:b/>
          <w:sz w:val="18"/>
        </w:rPr>
        <w:t xml:space="preserve">(857) 321-8020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18"/>
              </w:rPr>
            </w:pPr>
            <w:r>
              <w:rPr>
                <w:rFonts w:ascii="Times New Roman" w:hAnsi="Times New Roman"/>
                <w:b/>
                <w:sz w:val="18"/>
              </w:rPr>
              <w:t>Kingsley L. Taft</w:t>
            </w:r>
          </w:p>
          <w:p>
            <w:pPr>
              <w:pStyle w:val="TableContents"/>
              <w:bidi w:val="0"/>
              <w:spacing w:before="0" w:after="0"/>
              <w:jc w:val="center"/>
              <w:rPr>
                <w:rFonts w:ascii="Times New Roman" w:hAnsi="Times New Roman"/>
                <w:b/>
                <w:sz w:val="18"/>
              </w:rPr>
            </w:pPr>
            <w:r>
              <w:rPr>
                <w:rFonts w:ascii="Times New Roman" w:hAnsi="Times New Roman"/>
                <w:b/>
                <w:sz w:val="18"/>
              </w:rPr>
              <w:t>Stephanie A. Richards</w:t>
            </w:r>
          </w:p>
          <w:p>
            <w:pPr>
              <w:pStyle w:val="TableContents"/>
              <w:bidi w:val="0"/>
              <w:spacing w:before="0" w:after="0"/>
              <w:jc w:val="center"/>
              <w:rPr>
                <w:rFonts w:ascii="Times New Roman" w:hAnsi="Times New Roman"/>
                <w:b/>
                <w:sz w:val="18"/>
              </w:rPr>
            </w:pPr>
            <w:r>
              <w:rPr>
                <w:rFonts w:ascii="Times New Roman" w:hAnsi="Times New Roman"/>
                <w:b/>
                <w:sz w:val="18"/>
              </w:rPr>
              <w:t>Justin S. Platt</w:t>
            </w:r>
          </w:p>
          <w:p>
            <w:pPr>
              <w:pStyle w:val="TableContents"/>
              <w:bidi w:val="0"/>
              <w:spacing w:before="0" w:after="0"/>
              <w:jc w:val="center"/>
              <w:rPr>
                <w:rFonts w:ascii="Times New Roman" w:hAnsi="Times New Roman"/>
                <w:b/>
                <w:sz w:val="18"/>
              </w:rPr>
            </w:pPr>
            <w:r>
              <w:rPr>
                <w:rFonts w:ascii="Times New Roman" w:hAnsi="Times New Roman"/>
                <w:b/>
                <w:sz w:val="18"/>
              </w:rPr>
              <w:t>Goodwin Procter LLP</w:t>
            </w:r>
          </w:p>
          <w:p>
            <w:pPr>
              <w:pStyle w:val="TableContents"/>
              <w:bidi w:val="0"/>
              <w:spacing w:before="0" w:after="0"/>
              <w:jc w:val="center"/>
              <w:rPr>
                <w:rFonts w:ascii="Times New Roman" w:hAnsi="Times New Roman"/>
                <w:b/>
                <w:sz w:val="18"/>
              </w:rPr>
            </w:pPr>
            <w:r>
              <w:rPr>
                <w:rFonts w:ascii="Times New Roman" w:hAnsi="Times New Roman"/>
                <w:b/>
                <w:sz w:val="18"/>
              </w:rPr>
              <w:t>100 Northern Avenue</w:t>
            </w:r>
          </w:p>
          <w:p>
            <w:pPr>
              <w:pStyle w:val="TableContents"/>
              <w:bidi w:val="0"/>
              <w:spacing w:before="0" w:after="0"/>
              <w:jc w:val="center"/>
              <w:rPr>
                <w:rFonts w:ascii="Times New Roman" w:hAnsi="Times New Roman"/>
                <w:b/>
                <w:sz w:val="18"/>
              </w:rPr>
            </w:pPr>
            <w:r>
              <w:rPr>
                <w:rFonts w:ascii="Times New Roman" w:hAnsi="Times New Roman"/>
                <w:b/>
                <w:sz w:val="18"/>
              </w:rPr>
              <w:t>Boston, MA 02210</w:t>
            </w:r>
          </w:p>
          <w:p>
            <w:pPr>
              <w:pStyle w:val="TableContents"/>
              <w:bidi w:val="0"/>
              <w:spacing w:before="0" w:after="20"/>
              <w:jc w:val="center"/>
              <w:rPr>
                <w:rFonts w:ascii="Times New Roman" w:hAnsi="Times New Roman"/>
                <w:b/>
                <w:sz w:val="18"/>
              </w:rPr>
            </w:pPr>
            <w:r>
              <w:rPr>
                <w:rFonts w:ascii="Times New Roman" w:hAnsi="Times New Roman"/>
                <w:b/>
                <w:sz w:val="18"/>
              </w:rPr>
              <w:t>(617) 570-1000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8"/>
              </w:rPr>
            </w:pPr>
            <w:r>
              <w:rPr>
                <w:rFonts w:ascii="Times New Roman" w:hAnsi="Times New Roman"/>
                <w:b/>
                <w:sz w:val="18"/>
              </w:rPr>
              <w:t>Troy Ignelzi</w:t>
            </w:r>
          </w:p>
          <w:p>
            <w:pPr>
              <w:pStyle w:val="TableContents"/>
              <w:bidi w:val="0"/>
              <w:spacing w:before="0" w:after="0"/>
              <w:jc w:val="center"/>
              <w:rPr>
                <w:rFonts w:ascii="Times New Roman" w:hAnsi="Times New Roman"/>
                <w:b/>
                <w:sz w:val="18"/>
              </w:rPr>
            </w:pPr>
            <w:r>
              <w:rPr>
                <w:rFonts w:ascii="Times New Roman" w:hAnsi="Times New Roman"/>
                <w:b/>
                <w:sz w:val="18"/>
              </w:rPr>
              <w:t>Chief Financial Officer</w:t>
            </w:r>
          </w:p>
          <w:p>
            <w:pPr>
              <w:pStyle w:val="TableContents"/>
              <w:bidi w:val="0"/>
              <w:spacing w:before="0" w:after="0"/>
              <w:jc w:val="center"/>
              <w:rPr>
                <w:rFonts w:ascii="Times New Roman" w:hAnsi="Times New Roman"/>
                <w:b/>
                <w:sz w:val="18"/>
              </w:rPr>
            </w:pPr>
            <w:r>
              <w:rPr>
                <w:rFonts w:ascii="Times New Roman" w:hAnsi="Times New Roman"/>
                <w:b/>
                <w:sz w:val="18"/>
              </w:rPr>
              <w:t>1325 Boylston Street,</w:t>
              <w:br/>
              <w:t>Suite 401</w:t>
            </w:r>
          </w:p>
          <w:p>
            <w:pPr>
              <w:pStyle w:val="TableContents"/>
              <w:bidi w:val="0"/>
              <w:spacing w:before="0" w:after="0"/>
              <w:jc w:val="center"/>
              <w:rPr>
                <w:rFonts w:ascii="Times New Roman" w:hAnsi="Times New Roman"/>
                <w:b/>
                <w:sz w:val="18"/>
              </w:rPr>
            </w:pPr>
            <w:r>
              <w:rPr>
                <w:rFonts w:ascii="Times New Roman" w:hAnsi="Times New Roman"/>
                <w:b/>
                <w:sz w:val="18"/>
              </w:rPr>
              <w:t>Boston, MA 02215</w:t>
            </w:r>
          </w:p>
          <w:p>
            <w:pPr>
              <w:pStyle w:val="TableContents"/>
              <w:bidi w:val="0"/>
              <w:spacing w:before="0" w:after="20"/>
              <w:jc w:val="center"/>
              <w:rPr>
                <w:rFonts w:ascii="Times New Roman" w:hAnsi="Times New Roman"/>
                <w:b/>
                <w:sz w:val="18"/>
              </w:rPr>
            </w:pPr>
            <w:r>
              <w:rPr>
                <w:rFonts w:ascii="Times New Roman" w:hAnsi="Times New Roman"/>
                <w:b/>
                <w:sz w:val="18"/>
              </w:rPr>
              <w:t>(857) 321-8020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8"/>
              </w:rPr>
            </w:pPr>
            <w:r>
              <w:rPr>
                <w:rFonts w:ascii="Times New Roman" w:hAnsi="Times New Roman"/>
                <w:b/>
                <w:sz w:val="18"/>
              </w:rPr>
              <w:t>Richard Segal</w:t>
            </w:r>
          </w:p>
          <w:p>
            <w:pPr>
              <w:pStyle w:val="TableContents"/>
              <w:bidi w:val="0"/>
              <w:spacing w:before="0" w:after="0"/>
              <w:jc w:val="center"/>
              <w:rPr>
                <w:rFonts w:ascii="Times New Roman" w:hAnsi="Times New Roman"/>
                <w:b/>
                <w:sz w:val="18"/>
              </w:rPr>
            </w:pPr>
            <w:r>
              <w:rPr>
                <w:rFonts w:ascii="Times New Roman" w:hAnsi="Times New Roman"/>
                <w:b/>
                <w:sz w:val="18"/>
              </w:rPr>
              <w:t>Divakar Gupta</w:t>
            </w:r>
          </w:p>
          <w:p>
            <w:pPr>
              <w:pStyle w:val="TableContents"/>
              <w:bidi w:val="0"/>
              <w:spacing w:before="0" w:after="0"/>
              <w:jc w:val="center"/>
              <w:rPr>
                <w:rFonts w:ascii="Times New Roman" w:hAnsi="Times New Roman"/>
                <w:b/>
                <w:sz w:val="18"/>
              </w:rPr>
            </w:pPr>
            <w:r>
              <w:rPr>
                <w:rFonts w:ascii="Times New Roman" w:hAnsi="Times New Roman"/>
                <w:b/>
                <w:sz w:val="18"/>
              </w:rPr>
              <w:t>Darah Protas</w:t>
            </w:r>
          </w:p>
          <w:p>
            <w:pPr>
              <w:pStyle w:val="TableContents"/>
              <w:bidi w:val="0"/>
              <w:spacing w:before="0" w:after="0"/>
              <w:jc w:val="center"/>
              <w:rPr>
                <w:rFonts w:ascii="Times New Roman" w:hAnsi="Times New Roman"/>
                <w:b/>
                <w:sz w:val="18"/>
              </w:rPr>
            </w:pPr>
            <w:r>
              <w:rPr>
                <w:rFonts w:ascii="Times New Roman" w:hAnsi="Times New Roman"/>
                <w:b/>
                <w:sz w:val="18"/>
              </w:rPr>
              <w:t>Ryan Sansom</w:t>
            </w:r>
          </w:p>
          <w:p>
            <w:pPr>
              <w:pStyle w:val="TableContents"/>
              <w:bidi w:val="0"/>
              <w:spacing w:before="0" w:after="0"/>
              <w:jc w:val="center"/>
              <w:rPr>
                <w:rFonts w:ascii="Times New Roman" w:hAnsi="Times New Roman"/>
                <w:b/>
                <w:sz w:val="18"/>
              </w:rPr>
            </w:pPr>
            <w:r>
              <w:rPr>
                <w:rFonts w:ascii="Times New Roman" w:hAnsi="Times New Roman"/>
                <w:b/>
                <w:sz w:val="18"/>
              </w:rPr>
              <w:t>Cooley LLP</w:t>
            </w:r>
          </w:p>
          <w:p>
            <w:pPr>
              <w:pStyle w:val="TableContents"/>
              <w:bidi w:val="0"/>
              <w:spacing w:before="0" w:after="0"/>
              <w:jc w:val="center"/>
              <w:rPr>
                <w:rFonts w:ascii="Times New Roman" w:hAnsi="Times New Roman"/>
                <w:b/>
                <w:sz w:val="18"/>
              </w:rPr>
            </w:pPr>
            <w:r>
              <w:rPr>
                <w:rFonts w:ascii="Times New Roman" w:hAnsi="Times New Roman"/>
                <w:b/>
                <w:sz w:val="18"/>
              </w:rPr>
              <w:t>55 Hudson Yards</w:t>
            </w:r>
          </w:p>
          <w:p>
            <w:pPr>
              <w:pStyle w:val="TableContents"/>
              <w:bidi w:val="0"/>
              <w:spacing w:before="0" w:after="0"/>
              <w:jc w:val="center"/>
              <w:rPr>
                <w:rFonts w:ascii="Times New Roman" w:hAnsi="Times New Roman"/>
                <w:b/>
                <w:sz w:val="18"/>
              </w:rPr>
            </w:pPr>
            <w:r>
              <w:rPr>
                <w:rFonts w:ascii="Times New Roman" w:hAnsi="Times New Roman"/>
                <w:b/>
                <w:sz w:val="18"/>
              </w:rPr>
              <w:t>New York, NY 10001</w:t>
            </w:r>
          </w:p>
          <w:p>
            <w:pPr>
              <w:pStyle w:val="TableContents"/>
              <w:bidi w:val="0"/>
              <w:spacing w:before="0" w:after="20"/>
              <w:jc w:val="center"/>
              <w:rPr>
                <w:rFonts w:ascii="Times New Roman" w:hAnsi="Times New Roman"/>
                <w:b/>
                <w:sz w:val="18"/>
              </w:rPr>
            </w:pPr>
            <w:r>
              <w:rPr>
                <w:rFonts w:ascii="Times New Roman" w:hAnsi="Times New Roman"/>
                <w:b/>
                <w:sz w:val="18"/>
              </w:rPr>
              <w:t>(212) 479-6000</w:t>
            </w:r>
          </w:p>
        </w:tc>
      </w:tr>
    </w:tbl>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As soon as practicable after this registration statement becomes effective.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12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12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color w:val="DE1A1E"/>
          <w:sz w:val="20"/>
        </w:rPr>
      </w:pPr>
      <w:r>
        <w:rPr>
          <w:rFonts w:ascii="ARIAL" w:hAnsi="ARIAL"/>
          <w:b/>
          <w:color w:val="DE1A1E"/>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DE1A1E"/>
          <w:sz w:val="20"/>
        </w:rPr>
      </w:pPr>
      <w:r>
        <w:rPr>
          <w:rFonts w:ascii="Times New Roman" w:hAnsi="Times New Roman"/>
          <w:b/>
          <w:color w:val="DE1A1E"/>
          <w:sz w:val="20"/>
        </w:rPr>
        <w:t xml:space="preserve">Subject to Completion, Dated May 17, 2024 </w:t>
      </w:r>
    </w:p>
    <w:p>
      <w:pPr>
        <w:pStyle w:val="TextBody"/>
        <w:bidi w:val="0"/>
        <w:spacing w:before="120" w:after="0"/>
        <w:jc w:val="center"/>
        <w:rPr/>
      </w:pPr>
      <w:r>
        <w:rPr/>
        <w:t xml:space="preserve">    </w:t>
      </w:r>
      <w:r>
        <w:rPr>
          <w:rFonts w:ascii="Times New Roman" w:hAnsi="Times New Roman"/>
          <w:b/>
          <w:sz w:val="28"/>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39545" cy="4140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9545" cy="4140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0"/>
        </w:rPr>
      </w:pPr>
      <w:r>
        <w:rPr>
          <w:rFonts w:ascii="Times New Roman" w:hAnsi="Times New Roman"/>
          <w:b/>
          <w:sz w:val="40"/>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is an initial public offering of shares of common stock of Rapport Therapeutics, Inc. We are offering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common stock. It is currently estimated that the initial public offering price per share will be between $    and $   . We have applied to list our common stock on the Nasdaq Global Market under the symbol RAPP. We believe that upon the completion of this offering, we will meet the standards for listing on Nasdaq, and the completion of this offering is contingent upon such listing.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smaller reporting company as defined under the U.S. federal securities laws and, as such, we have elected to comply with certain reduced public company reporting requirements in this prospectus and future filings. </w:t>
      </w:r>
    </w:p>
    <w:p>
      <w:pPr>
        <w:pStyle w:val="TextBody"/>
        <w:bidi w:val="0"/>
        <w:spacing w:before="240" w:after="0"/>
        <w:jc w:val="left"/>
        <w:rPr/>
      </w:pPr>
      <w:r>
        <w:rPr>
          <w:rFonts w:ascii="Times New Roman" w:hAnsi="Times New Roman"/>
          <w:b/>
          <w:sz w:val="20"/>
        </w:rPr>
        <w:t>See the section titled </w:t>
      </w:r>
      <w:hyperlink w:anchor="tx803738_2">
        <w:r>
          <w:rPr>
            <w:rStyle w:val="InternetLink"/>
            <w:rFonts w:ascii="Times New Roman" w:hAnsi="Times New Roman"/>
            <w:b/>
            <w:i/>
            <w:sz w:val="20"/>
          </w:rPr>
          <w:t>Risk Factors</w:t>
        </w:r>
      </w:hyperlink>
      <w:r>
        <w:rPr>
          <w:rFonts w:ascii="Times New Roman" w:hAnsi="Times New Roman"/>
          <w:b/>
          <w:sz w:val="20"/>
        </w:rPr>
        <w:t xml:space="preserve"> beginning on page 15 to read about factors you should consider before deciding to invest in shares of our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995"/>
        <w:gridCol w:w="355"/>
        <w:gridCol w:w="155"/>
        <w:gridCol w:w="913"/>
        <w:gridCol w:w="60"/>
        <w:gridCol w:w="355"/>
        <w:gridCol w:w="147"/>
        <w:gridCol w:w="1344"/>
        <w:gridCol w:w="64"/>
      </w:tblGrid>
      <w:tr>
        <w:trPr/>
        <w:tc>
          <w:tcPr>
            <w:tcW w:w="599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9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3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4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4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Rapport Therapeutics, Inc.</w:t>
            </w:r>
          </w:p>
        </w:tc>
        <w:tc>
          <w:tcPr>
            <w:tcW w:w="3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4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Underwriting</w:t>
            </w:r>
            <w:r>
              <w:rPr>
                <w:rFonts w:ascii="Times New Roman" w:hAnsi="Times New Roman"/>
                <w:sz w:val="20"/>
              </w:rPr>
              <w:t xml:space="preserve"> for additional information regarding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underwriters sell more than      shares of common stock, the underwriters have the option to purchase up to an additional      shares of common stock from us, at the initial public offering price,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shares against payment on or about     ,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75"/>
        <w:gridCol w:w="102"/>
        <w:gridCol w:w="816"/>
        <w:gridCol w:w="102"/>
        <w:gridCol w:w="1122"/>
        <w:gridCol w:w="102"/>
        <w:gridCol w:w="918"/>
        <w:gridCol w:w="102"/>
        <w:gridCol w:w="1429"/>
        <w:gridCol w:w="102"/>
        <w:gridCol w:w="918"/>
        <w:gridCol w:w="102"/>
        <w:gridCol w:w="715"/>
      </w:tblGrid>
      <w:tr>
        <w:trPr/>
        <w:tc>
          <w:tcPr>
            <w:tcW w:w="36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675" w:type="dxa"/>
            <w:tcBorders/>
          </w:tcPr>
          <w:p>
            <w:pPr>
              <w:pStyle w:val="TableContents"/>
              <w:bidi w:val="0"/>
              <w:spacing w:before="0" w:after="283"/>
              <w:jc w:val="left"/>
              <w:rPr>
                <w:b/>
                <w:sz w:val="28"/>
              </w:rPr>
            </w:pPr>
            <w:r>
              <w:rPr>
                <w:b/>
                <w:sz w:val="28"/>
              </w:rPr>
              <w:t>Goldman Sachs &amp; Co. LLC</w:t>
            </w:r>
          </w:p>
        </w:tc>
        <w:tc>
          <w:tcPr>
            <w:tcW w:w="102"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center"/>
              <w:rPr>
                <w:b/>
                <w:sz w:val="28"/>
              </w:rPr>
            </w:pPr>
            <w:r>
              <w:rPr>
                <w:b/>
                <w:sz w:val="28"/>
              </w:rPr>
              <w:t>Jefferies</w:t>
            </w:r>
          </w:p>
        </w:tc>
        <w:tc>
          <w:tcPr>
            <w:tcW w:w="10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b/>
                <w:sz w:val="28"/>
              </w:rPr>
            </w:pPr>
            <w:r>
              <w:rPr>
                <w:b/>
                <w:sz w:val="28"/>
              </w:rPr>
              <w:t>TD Cowen</w:t>
            </w:r>
          </w:p>
        </w:tc>
        <w:tc>
          <w:tcPr>
            <w:tcW w:w="10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b/>
                <w:sz w:val="28"/>
              </w:rPr>
            </w:pPr>
            <w:r>
              <w:rPr>
                <w:b/>
                <w:sz w:val="28"/>
              </w:rPr>
              <w:t>Stifel</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
              <w:r>
                <w:rPr>
                  <w:rStyle w:val="InternetLink"/>
                  <w:rFonts w:ascii="Times New Roman" w:hAnsi="Times New Roman"/>
                  <w:sz w:val="20"/>
                </w:rPr>
                <w:t>PROSPECTUS SUMMARY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2">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3">
              <w:r>
                <w:rPr>
                  <w:rStyle w:val="InternetLink"/>
                  <w:rFonts w:ascii="Times New Roman" w:hAnsi="Times New Roman"/>
                  <w:sz w:val="20"/>
                </w:rPr>
                <w:t>SPECIAL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4">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5">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6">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7">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8">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9">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0">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1">
              <w:r>
                <w:rPr>
                  <w:rStyle w:val="InternetLink"/>
                  <w:rFonts w:ascii="Times New Roman" w:hAnsi="Times New Roman"/>
                  <w:sz w:val="20"/>
                </w:rPr>
                <w:t>EXECUTIVE COMPENSATION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1a">
              <w:r>
                <w:rPr>
                  <w:rStyle w:val="InternetLink"/>
                  <w:rFonts w:ascii="Times New Roman" w:hAnsi="Times New Roman"/>
                  <w:sz w:val="20"/>
                </w:rPr>
                <w:t xml:space="preserve">DIRECTOR COMPENSATION </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2">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3">
              <w:r>
                <w:rPr>
                  <w:rStyle w:val="InternetLink"/>
                  <w:rFonts w:ascii="Times New Roman" w:hAnsi="Times New Roman"/>
                  <w:sz w:val="20"/>
                </w:rPr>
                <w:t>PRINCIPAL STOCKHOLDERS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4">
              <w:r>
                <w:rPr>
                  <w:rStyle w:val="InternetLink"/>
                  <w:rFonts w:ascii="Times New Roman" w:hAnsi="Times New Roman"/>
                  <w:sz w:val="20"/>
                </w:rPr>
                <w:t>DESCRIPTION OF CAPITAL STOCK</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5">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204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6">
              <w:r>
                <w:rPr>
                  <w:rStyle w:val="InternetLink"/>
                  <w:rFonts w:ascii="Times New Roman" w:hAnsi="Times New Roman"/>
                  <w:sz w:val="20"/>
                </w:rPr>
                <w:t>MATERIAL U.S. FEDERAL INCOME TAX CONSEQUENCES FOR NON-U.S. 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206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7">
              <w:r>
                <w:rPr>
                  <w:rStyle w:val="InternetLink"/>
                  <w:rFonts w:ascii="Times New Roman" w:hAnsi="Times New Roman"/>
                  <w:sz w:val="20"/>
                </w:rPr>
                <w:t>UNDERWRITING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8">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19">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20">
              <w:r>
                <w:rPr>
                  <w:rStyle w:val="InternetLink"/>
                  <w:rFonts w:ascii="Times New Roman" w:hAnsi="Times New Roman"/>
                  <w:sz w:val="20"/>
                </w:rPr>
                <w:t>WHERE YOU CAN FIND ADDITIONAL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x803738_20a">
              <w:r>
                <w:rPr>
                  <w:rStyle w:val="InternetLink"/>
                  <w:rFonts w:ascii="Times New Roman" w:hAnsi="Times New Roman"/>
                  <w:sz w:val="20"/>
                </w:rPr>
                <w:t xml:space="preserve">INDEX TO THE CONSOLIDATED FINANCIAL STATEMENTS </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Through and including    , 2024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own, have applied for or have rights to use one or more registered and common law trademarks, service marks and/or trade names in connection with our business in the United States, which may be used throughout this prospectus. This prospectus also includes trademarks, tradenames, and service marks of third-parties which are the property of their respective owners. Our use or display of third-parties trademarks, service marks, tradenames or products in this prospectus and our other public filings is not intended to, and does not imply a relationship with, or endorsement or sponsorship by us. Solely for convenience, the trademarks, service 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logos and trade names referred to in this prospectus and our other public filings may appear without the ®, TM or SM symbols, but the omission of such references is not intended to indicate, in any way, that we will not assert, to the fullest extent under applicable law, our rights or the rights of the applicable owner of or licensor to these trademarks, service marks and trade names. </w:t>
      </w:r>
    </w:p>
    <w:p>
      <w:pPr>
        <w:pStyle w:val="TextBody"/>
        <w:bidi w:val="0"/>
        <w:spacing w:before="360" w:after="0"/>
        <w:jc w:val="left"/>
        <w:rPr>
          <w:rFonts w:ascii="Times New Roman" w:hAnsi="Times New Roman"/>
          <w:b/>
          <w:sz w:val="20"/>
        </w:rPr>
      </w:pPr>
      <w:r>
        <w:rPr>
          <w:rFonts w:ascii="Times New Roman" w:hAnsi="Times New Roman"/>
          <w:b/>
          <w:sz w:val="20"/>
        </w:rPr>
        <w:t xml:space="preserve">Market, Industry and Other Data </w:t>
      </w:r>
    </w:p>
    <w:p>
      <w:pPr>
        <w:pStyle w:val="TextBody"/>
        <w:bidi w:val="0"/>
        <w:spacing w:before="120" w:after="0"/>
        <w:jc w:val="left"/>
        <w:rPr>
          <w:rFonts w:ascii="Times New Roman" w:hAnsi="Times New Roman"/>
          <w:sz w:val="20"/>
        </w:rPr>
      </w:pPr>
      <w:r>
        <w:rPr>
          <w:rFonts w:ascii="Times New Roman" w:hAnsi="Times New Roman"/>
          <w:sz w:val="20"/>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Times New Roman" w:hAnsi="Times New Roman"/>
          <w:i/>
          <w:sz w:val="20"/>
        </w:rPr>
        <w:t>Risk Factors</w:t>
      </w:r>
      <w:r>
        <w:rPr>
          <w:rFonts w:ascii="Times New Roman" w:hAnsi="Times New Roman"/>
          <w:sz w:val="20"/>
        </w:rPr>
        <w:t xml:space="preserve"> and elsewhere in this prospectus. Some data are also based on our good faith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803738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w:t>
      </w:r>
      <w:r>
        <w:rPr>
          <w:rFonts w:ascii="Times New Roman" w:hAnsi="Times New Roman"/>
          <w:sz w:val="20"/>
          <w:bdr w:val="single" w:sz="8" w:space="1" w:color="000000"/>
        </w:rPr>
        <w:t>Risk Factors</w:t>
      </w:r>
      <w:r>
        <w:rPr>
          <w:rFonts w:ascii="Times New Roman" w:hAnsi="Times New Roman"/>
          <w:i/>
          <w:sz w:val="20"/>
          <w:bdr w:val="single" w:sz="8" w:space="1" w:color="000000"/>
        </w:rPr>
        <w:t>, </w:t>
      </w:r>
      <w:r>
        <w:rPr>
          <w:rFonts w:ascii="Times New Roman" w:hAnsi="Times New Roman"/>
          <w:sz w:val="20"/>
          <w:bdr w:val="single" w:sz="8" w:space="1" w:color="000000"/>
        </w:rPr>
        <w:t>Special Note Regarding Forward-Looking Statements</w:t>
      </w:r>
      <w:r>
        <w:rPr>
          <w:rFonts w:ascii="Times New Roman" w:hAnsi="Times New Roman"/>
          <w:i/>
          <w:sz w:val="20"/>
          <w:bdr w:val="single" w:sz="8" w:space="1" w:color="000000"/>
        </w:rPr>
        <w:t>, </w:t>
      </w:r>
      <w:r>
        <w:rPr>
          <w:rFonts w:ascii="Times New Roman" w:hAnsi="Times New Roman"/>
          <w:sz w:val="20"/>
          <w:bdr w:val="single" w:sz="8" w:space="1" w:color="000000"/>
        </w:rPr>
        <w:t>Managements Discussion and Analysis of Financial Condition and Results of Operations</w:t>
      </w:r>
      <w:r>
        <w:rPr>
          <w:rFonts w:ascii="Times New Roman" w:hAnsi="Times New Roman"/>
          <w:i/>
          <w:sz w:val="20"/>
          <w:bdr w:val="single" w:sz="8" w:space="1" w:color="000000"/>
        </w:rPr>
        <w:t xml:space="preserve"> and our consolidated financial statements and the related notes included elsewhere in this prospectus, before making an investment decision. Unless otherwise indicated, all references in this prospectus to Rapport, the company, we, our, us or similar terms refer to Rapport Therapeutics, Inc. and its wholly owned subsidiary, or either or both of them as the context may require.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clinical-stage biopharmaceutical company focused on discovery and development of transformational small molecule medicines for patients suffering from central nervous system (CNS) disorders. Neuronal receptors are complex assemblies of proteins, comprising receptor principal subunits and their receptor associated proteins (RAPs), the latter of which play crucial roles in regulating receptor expression and function. Our founders have made pioneering discoveries related to RAP function to form the basis of our RAP technology platform. We believe that our deep expertise in RAP biology provides an opportunity for us to interrogate previously inaccessible targets and develop CNS drugs that are specific for receptor variants and neuroanatomical regions associated with certain diseases. RAP-219, our most advanced product candidate, is an AMPA receptor (AMPAR) negative allosteric modulator (NAM). RAP-219 is designed to achieve neuroanatomical specificity through its selective targeting of a RAP known as TARP</w:t>
      </w:r>
      <w:r>
        <w:rPr>
          <w:rFonts w:ascii="SYMBOL" w:hAnsi="SYMBOL"/>
          <w:sz w:val="20"/>
          <w:bdr w:val="single" w:sz="8" w:space="1" w:color="000000"/>
        </w:rPr>
        <w:t>g</w:t>
      </w:r>
      <w:r>
        <w:rPr>
          <w:rFonts w:ascii="Times New Roman" w:hAnsi="Times New Roman"/>
          <w:sz w:val="20"/>
          <w:bdr w:val="single" w:sz="8" w:space="1" w:color="000000"/>
        </w:rPr>
        <w:t>8, which is associated with the neuronal AMPAR, a clinically validated target for epilepsy. Whereas AMPARs are distributed widely in the CNS, TARP</w:t>
      </w:r>
      <w:r>
        <w:rPr>
          <w:rFonts w:ascii="SYMBOL" w:hAnsi="SYMBOL"/>
          <w:sz w:val="20"/>
          <w:bdr w:val="single" w:sz="8" w:space="1" w:color="000000"/>
        </w:rPr>
        <w:t>g</w:t>
      </w:r>
      <w:r>
        <w:rPr>
          <w:rFonts w:ascii="Times New Roman" w:hAnsi="Times New Roman"/>
          <w:sz w:val="20"/>
          <w:bdr w:val="single" w:sz="8" w:space="1" w:color="000000"/>
        </w:rPr>
        <w:t>8 is expressed only in discrete regions, including the hippocampus, a key site involved in focal epilepsy. We completed our Phase 1 trials in healthy adults to assess the safety and tolerability of RAP-219, and we intend to initiate a Phase 2a proof-of-concept trial in adult patients with drug-resistant focal epilepsy in the second or third quarter of (mid) 2024, with topline results expected in mid 2025. We believe RAP-219 also has therapeutic potential in peripheral neuropathic pain and bipolar disorder, and we intend to initiate Phase 2a trials in these indications in the second half of 2024 and in 2025, respectively. We have also identified another TARP</w:t>
      </w:r>
      <w:r>
        <w:rPr>
          <w:rFonts w:ascii="SYMBOL" w:hAnsi="SYMBOL"/>
          <w:sz w:val="20"/>
          <w:bdr w:val="single" w:sz="8" w:space="1" w:color="000000"/>
        </w:rPr>
        <w:t>g</w:t>
      </w:r>
      <w:r>
        <w:rPr>
          <w:rFonts w:ascii="Times New Roman" w:hAnsi="Times New Roman"/>
          <w:sz w:val="20"/>
          <w:bdr w:val="single" w:sz="8" w:space="1" w:color="000000"/>
        </w:rPr>
        <w:t xml:space="preserve">8 targeted molecule with differentiated chemical and pharmacokinetic properties, RAP-199, for which we expect to initiate a Phase 1 trial in the first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Beyond TARP</w:t>
      </w:r>
      <w:r>
        <w:rPr>
          <w:rFonts w:ascii="SYMBOL" w:hAnsi="SYMBOL"/>
          <w:sz w:val="20"/>
          <w:bdr w:val="single" w:sz="8" w:space="1" w:color="000000"/>
        </w:rPr>
        <w:t>g</w:t>
      </w:r>
      <w:r>
        <w:rPr>
          <w:rFonts w:ascii="Times New Roman" w:hAnsi="Times New Roman"/>
          <w:sz w:val="20"/>
          <w:bdr w:val="single" w:sz="8" w:space="1" w:color="000000"/>
        </w:rPr>
        <w:t xml:space="preserve">8, we have two advanced discovery-stage nicotinic acetylcholine receptor (nAChR) programs stemming from our RAP technology platform. Our first discovery-stage nAChR program comprises modulators of </w:t>
      </w:r>
      <w:r>
        <w:rPr>
          <w:rFonts w:ascii="SYMBOL" w:hAnsi="SYMBOL"/>
          <w:sz w:val="20"/>
          <w:bdr w:val="single" w:sz="8" w:space="1" w:color="000000"/>
        </w:rPr>
        <w:t>a</w:t>
      </w:r>
      <w:r>
        <w:rPr>
          <w:rFonts w:ascii="Times New Roman" w:hAnsi="Times New Roman"/>
          <w:sz w:val="20"/>
          <w:bdr w:val="single" w:sz="8" w:space="1" w:color="000000"/>
        </w:rPr>
        <w:t xml:space="preserve">6 nAChRs that we are developing for the treatment of chronic pain. Our second discovery-stage nAChR program comprises modulators of </w:t>
      </w:r>
      <w:r>
        <w:rPr>
          <w:rFonts w:ascii="SYMBOL" w:hAnsi="SYMBOL"/>
          <w:sz w:val="20"/>
          <w:bdr w:val="single" w:sz="8" w:space="1" w:color="000000"/>
        </w:rPr>
        <w:t>a</w:t>
      </w:r>
      <w:r>
        <w:rPr>
          <w:rFonts w:ascii="Times New Roman" w:hAnsi="Times New Roman"/>
          <w:sz w:val="20"/>
          <w:bdr w:val="single" w:sz="8" w:space="1" w:color="000000"/>
        </w:rPr>
        <w:t>9</w:t>
      </w:r>
      <w:r>
        <w:rPr>
          <w:rFonts w:ascii="SYMBOL" w:hAnsi="SYMBOL"/>
          <w:sz w:val="20"/>
          <w:bdr w:val="single" w:sz="8" w:space="1" w:color="000000"/>
        </w:rPr>
        <w:t>a</w:t>
      </w:r>
      <w:r>
        <w:rPr>
          <w:rFonts w:ascii="Times New Roman" w:hAnsi="Times New Roman"/>
          <w:sz w:val="20"/>
          <w:bdr w:val="single" w:sz="8" w:space="1" w:color="000000"/>
        </w:rPr>
        <w:t xml:space="preserve">10 nAChRs that we are developing for the treatment of hearing disorders. We continue to leverage our RAP technology platform to discover additional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Rapport was formed in February 2022, with founding support from Third Rock Ventures and Johnson &amp; Johnson Innovation-JJDC. Our scientific founder and Chief Scientific Officer, David Bredt, M.D., Ph.D., pioneered the discovery of RAPs and their targeting by small molecules while serving as Global Head of Neuroscience Discovery at Janssen Pharmaceutica NV (Janssen) and prior to that as Vice President of Neuroscience at Eli Lilly and Company and as a Professor of Physiology at the University of California, San Francisco. Dr. Bredt was subsequently joined at Rapport by additional scientists who previously worked on the RAP platform at Janssen.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August 2022, we entered into a license agreement with Janssen (the Janssen License) for the research, development and commercialization of certain TARP</w:t>
      </w:r>
      <w:r>
        <w:rPr>
          <w:rFonts w:ascii="SYMBOL" w:hAnsi="SYMBOL"/>
          <w:sz w:val="20"/>
          <w:bdr w:val="single" w:sz="8" w:space="1" w:color="000000"/>
        </w:rPr>
        <w:t>g</w:t>
      </w:r>
      <w:r>
        <w:rPr>
          <w:rFonts w:ascii="Times New Roman" w:hAnsi="Times New Roman"/>
          <w:sz w:val="20"/>
          <w:bdr w:val="single" w:sz="8" w:space="1" w:color="000000"/>
        </w:rPr>
        <w:t xml:space="preserve">8 products, including RAP-219 and RAP-199, and nAChR products created by Dr. Bredt and his colleagues at Janssen. All discovery and development efforts related to our pipeline programs are herein referred to as ours, although some of these preclinical efforts were completed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Janssen prior to the Janssen License. In many cases, these efforts were made by certain of the same personnel who have since joined Rapport.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current portfolio of programs from our RAP technology platform is summarized in the pipeline chart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850" cy="252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850" cy="25209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Introduction to RAP-219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RAP-219 is an investigational small molecule that is designed to inhibit TARP</w:t>
      </w:r>
      <w:r>
        <w:rPr>
          <w:rFonts w:ascii="SYMBOL" w:hAnsi="SYMBOL"/>
          <w:sz w:val="20"/>
          <w:bdr w:val="single" w:sz="8" w:space="1" w:color="000000"/>
        </w:rPr>
        <w:t>g</w:t>
      </w:r>
      <w:r>
        <w:rPr>
          <w:rFonts w:ascii="Times New Roman" w:hAnsi="Times New Roman"/>
          <w:sz w:val="20"/>
          <w:bdr w:val="single" w:sz="8" w:space="1" w:color="000000"/>
        </w:rPr>
        <w:t xml:space="preserve">8-containing AMPARs with picomolar (pM) affinity, which implies tight binding. Given RAP-219s mechanism of action, neuroanatomical specificity and target potency observed to date in preclinical studies, we believe it has the potential to be a differentiated therapy for focal epilepsy and other CNS disorders, including peripheral neuropathic pain and bipolar disorder.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Epilepsy is estimated to affect 50 million people worldwide, including approximately 3.0 million adults in the United States. In 2022, the total branded market for epilepsy was approximately $2.8 billion, and this is expected to grow to approximately $3.6 billion by 2028. There are an estimated 1.8 million people in the United States who suffer from focal epilepsy, accounting for approximately 60 percent of patients with epilepsy. Focal epilepsy is characterized by seizures caused by intermittent abnormal electrical activity originating in specific areas of the brain.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Epilepsy has profound negative impacts on a patients quality of life, including limitations on social engagement, physical activity and independence. Despite there being more than 20 antiseizure medications (ASMs) approved by the U.S. Food and Drug Administration (FDA), 30 to 40 percent of patients with epilepsy continue to experience recurring seizures despite taking two or more ASMs, termed drug-resistant epilepsy. In addition to providing sub-optimal efficacy, ASMs are commonly associated with risks of intolerable and debilitating adverse events (AEs). These AEs often lead to dosing adjustments and patient nonadherence, both of which can limit efficacy. We believe tolerability, adherence and clinical benefit can be improved with RAP-219, an investigational therapy that is designed to precisely modulate only diseased brain regions.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AMPAR inhibition is a clinically validated approach for the treatment of epilepsy, with perampanel (marketed as FYCOMPA) approved by the FDA in 2012 for the treatment of both focal and generalized epilepsy. TARP</w:t>
      </w:r>
      <w:r>
        <w:rPr>
          <w:rFonts w:ascii="SYMBOL" w:hAnsi="SYMBOL"/>
          <w:sz w:val="20"/>
          <w:bdr w:val="single" w:sz="8" w:space="1" w:color="000000"/>
        </w:rPr>
        <w:t>g</w:t>
      </w:r>
      <w:r>
        <w:rPr>
          <w:rFonts w:ascii="Times New Roman" w:hAnsi="Times New Roman"/>
          <w:sz w:val="20"/>
          <w:bdr w:val="single" w:sz="8" w:space="1" w:color="000000"/>
        </w:rPr>
        <w:t xml:space="preserve">8, an AMPA RAP, is expressed in specific brain regions, being most enriched in the hippocampus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other forebrain structures, which are key sites associated with focal onset seizures. As brain regions with TAPR</w:t>
      </w:r>
      <w:r>
        <w:rPr>
          <w:rFonts w:ascii="SYMBOL" w:hAnsi="SYMBOL"/>
          <w:sz w:val="20"/>
          <w:bdr w:val="single" w:sz="8" w:space="1" w:color="000000"/>
        </w:rPr>
        <w:t>g</w:t>
      </w:r>
      <w:r>
        <w:rPr>
          <w:rFonts w:ascii="Times New Roman" w:hAnsi="Times New Roman"/>
          <w:sz w:val="20"/>
          <w:bdr w:val="single" w:sz="8" w:space="1" w:color="000000"/>
        </w:rPr>
        <w:t>8 expression closely overlay with the brain sites most often involved with the pathophysiology of focal epilepsy, we believe that RAP-219, which has been shown in preclinical studies to bind to TARP</w:t>
      </w:r>
      <w:r>
        <w:rPr>
          <w:rFonts w:ascii="SYMBOL" w:hAnsi="SYMBOL"/>
          <w:sz w:val="20"/>
          <w:bdr w:val="single" w:sz="8" w:space="1" w:color="000000"/>
        </w:rPr>
        <w:t>g</w:t>
      </w:r>
      <w:r>
        <w:rPr>
          <w:rFonts w:ascii="Times New Roman" w:hAnsi="Times New Roman"/>
          <w:sz w:val="20"/>
          <w:bdr w:val="single" w:sz="8" w:space="1" w:color="000000"/>
        </w:rPr>
        <w:t>8, has potential to provide a differentiated profile. Furthermore, preclinical studies have demonstrated that TARP</w:t>
      </w:r>
      <w:r>
        <w:rPr>
          <w:rFonts w:ascii="SYMBOL" w:hAnsi="SYMBOL"/>
          <w:sz w:val="20"/>
          <w:bdr w:val="single" w:sz="8" w:space="1" w:color="000000"/>
        </w:rPr>
        <w:t>g</w:t>
      </w:r>
      <w:r>
        <w:rPr>
          <w:rFonts w:ascii="Times New Roman" w:hAnsi="Times New Roman"/>
          <w:sz w:val="20"/>
          <w:bdr w:val="single" w:sz="8" w:space="1" w:color="000000"/>
        </w:rPr>
        <w:t xml:space="preserve">8 expression is enriched in the hippocampus, amygdala, cerebral cortex and striatum and has minimal or no expression in certain other areas that are critical for normal brain functions, including the cerebellum and brainstem. In contrast to the precision mechanism of RAP-219, the majority of ASMs, including perampanel, bind their target receptors throughout the brain, and we believe this lack of anatomical specificity may contribute to their side effect profiles. We believe that RAP-219, as compared to currently available ASMs, has the potential to have a greater therapeutic index, meaning a wider range of doses at which it is likely to be effective without causing unacceptable AEs. If RAP-219 is approved, this could have important clinical utility for the management of focal epilepsy.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completed two Phase 1 trials evaluating RAP-219 in healthy adult volunteers to assess its safety, tolerability and pharmacokinetics. We observed RAP-219 to be generally well tolerated in these trials. The plasma concentrations of RAP-219 measured during those trials suggested that once-daily oral administration with a simple dosing schedule could achieve our targeted therapeutic exposures (3 ng/mL to 7 ng/mL). For our Phase 2a proof-of-concept trial, we plan to enroll adult patients with drug-resistant focal epilepsy who have an implanted responsive neurostimulation (RNS) system, an FDA approved device for refractory focal onset epilepsy. The RNS system includes an electrode that continually monitors intracranial brain waves and detects the magnitude, duration and frequency of electrographic activity, which are recorded as intracranial electroencephalography (iEEG) data. We plan to use these iEEG data as the biomarker-based primary endpoint in our proof-of-concept trial. We believe these data could be translatable to a clinical seizure endpoint in future registrational trials. We intend to initiate this Phase 2a proof-of-concept trial in focal epilepsy in mid 2024, with topline results expected in mid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treating seizures, we believe RAP-219 has the potential to provide therapeutic benefit in additional CNS indications such as peripheral neuropathic pain and bipolar disorder. We intend to initiate Phase 2a trials of RAP-219 in peripheral neuropathic pain and bipolar disorder in the second half of 2024 and in 2025, respectively.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Introduction to Our Discovery-Stage Nicotinic Acetylcholine Receptor Programs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RAP-219, we have two discovery-stage programs stemming from our RAP technology platform. Our </w:t>
      </w:r>
      <w:r>
        <w:rPr>
          <w:rFonts w:ascii="SYMBOL" w:hAnsi="SYMBOL"/>
          <w:sz w:val="20"/>
          <w:bdr w:val="single" w:sz="8" w:space="1" w:color="000000"/>
        </w:rPr>
        <w:t>a</w:t>
      </w:r>
      <w:r>
        <w:rPr>
          <w:rFonts w:ascii="Times New Roman" w:hAnsi="Times New Roman"/>
          <w:sz w:val="20"/>
          <w:bdr w:val="single" w:sz="8" w:space="1" w:color="000000"/>
        </w:rPr>
        <w:t xml:space="preserve">6 nAChR and </w:t>
      </w:r>
      <w:r>
        <w:rPr>
          <w:rFonts w:ascii="SYMBOL" w:hAnsi="SYMBOL"/>
          <w:sz w:val="20"/>
          <w:bdr w:val="single" w:sz="8" w:space="1" w:color="000000"/>
        </w:rPr>
        <w:t>a</w:t>
      </w:r>
      <w:r>
        <w:rPr>
          <w:rFonts w:ascii="Times New Roman" w:hAnsi="Times New Roman"/>
          <w:sz w:val="20"/>
          <w:bdr w:val="single" w:sz="8" w:space="1" w:color="000000"/>
        </w:rPr>
        <w:t>9</w:t>
      </w:r>
      <w:r>
        <w:rPr>
          <w:rFonts w:ascii="SYMBOL" w:hAnsi="SYMBOL"/>
          <w:sz w:val="20"/>
          <w:bdr w:val="single" w:sz="8" w:space="1" w:color="000000"/>
        </w:rPr>
        <w:t>a</w:t>
      </w:r>
      <w:r>
        <w:rPr>
          <w:rFonts w:ascii="Times New Roman" w:hAnsi="Times New Roman"/>
          <w:sz w:val="20"/>
          <w:bdr w:val="single" w:sz="8" w:space="1" w:color="000000"/>
        </w:rPr>
        <w:t xml:space="preserve">10 nAChR programs were both enabled by our discovery of RAPs that drive the assembly of functional versions of these receptors in cell lines. Based on third-party genetic data, we believe the </w:t>
      </w:r>
      <w:r>
        <w:rPr>
          <w:rFonts w:ascii="SYMBOL" w:hAnsi="SYMBOL"/>
          <w:sz w:val="20"/>
          <w:bdr w:val="single" w:sz="8" w:space="1" w:color="000000"/>
        </w:rPr>
        <w:t>a</w:t>
      </w:r>
      <w:r>
        <w:rPr>
          <w:rFonts w:ascii="Times New Roman" w:hAnsi="Times New Roman"/>
          <w:sz w:val="20"/>
          <w:bdr w:val="single" w:sz="8" w:space="1" w:color="000000"/>
        </w:rPr>
        <w:t xml:space="preserve">6 and </w:t>
      </w:r>
      <w:r>
        <w:rPr>
          <w:rFonts w:ascii="SYMBOL" w:hAnsi="SYMBOL"/>
          <w:sz w:val="20"/>
          <w:bdr w:val="single" w:sz="8" w:space="1" w:color="000000"/>
        </w:rPr>
        <w:t>a</w:t>
      </w:r>
      <w:r>
        <w:rPr>
          <w:rFonts w:ascii="Times New Roman" w:hAnsi="Times New Roman"/>
          <w:sz w:val="20"/>
          <w:bdr w:val="single" w:sz="8" w:space="1" w:color="000000"/>
        </w:rPr>
        <w:t>9</w:t>
      </w:r>
      <w:r>
        <w:rPr>
          <w:rFonts w:ascii="SYMBOL" w:hAnsi="SYMBOL"/>
          <w:sz w:val="20"/>
          <w:bdr w:val="single" w:sz="8" w:space="1" w:color="000000"/>
        </w:rPr>
        <w:t>a</w:t>
      </w:r>
      <w:r>
        <w:rPr>
          <w:rFonts w:ascii="Times New Roman" w:hAnsi="Times New Roman"/>
          <w:sz w:val="20"/>
          <w:bdr w:val="single" w:sz="8" w:space="1" w:color="000000"/>
        </w:rPr>
        <w:t xml:space="preserve">10 nAChR subtypes could be attractive drug targets in the treatment of chronic pain and hearing disorders, respectively. However, it was not until our identification of these RAPs that it became possible to create cell lines for </w:t>
      </w:r>
      <w:r>
        <w:rPr>
          <w:rFonts w:ascii="Times New Roman" w:hAnsi="Times New Roman"/>
          <w:i/>
          <w:sz w:val="20"/>
          <w:bdr w:val="single" w:sz="8" w:space="1" w:color="000000"/>
        </w:rPr>
        <w:t>in vitro</w:t>
      </w:r>
      <w:r>
        <w:rPr>
          <w:rFonts w:ascii="Times New Roman" w:hAnsi="Times New Roman"/>
          <w:sz w:val="20"/>
          <w:bdr w:val="single" w:sz="8" w:space="1" w:color="000000"/>
        </w:rPr>
        <w:t xml:space="preserve"> compound screening and optimization against these important targets.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optimizing molecules in our nAChR programs, in anticipation of selecting candidates to advance into the clinic.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RAP Technology Platform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founders are pioneers of RAP biology who have made key discoveries related to RAP function. Their findings form the basis of our RAP technology platform, which can potentially provide a differentiated approach to generate precision small molecule product candidates and to overcome many limitations of conventional neurology drug discovery. Using two distinct strategies, we are leveraging our expertise in RAP biology to develop a portfolio of precision neuroscience product candidates that we believe will transform the treatment of many CNS disorders. One strategy uses a RAP as a direct target, which can be more precise than drugging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receptor itself. RAP-219 exemplifies this, as it has been shown in preclinical studies to bind to an AMPA RAP, TARP</w:t>
      </w:r>
      <w:r>
        <w:rPr>
          <w:rFonts w:ascii="SYMBOL" w:hAnsi="SYMBOL"/>
          <w:sz w:val="20"/>
          <w:bdr w:val="single" w:sz="8" w:space="1" w:color="000000"/>
        </w:rPr>
        <w:t>g</w:t>
      </w:r>
      <w:r>
        <w:rPr>
          <w:rFonts w:ascii="Times New Roman" w:hAnsi="Times New Roman"/>
          <w:sz w:val="20"/>
          <w:bdr w:val="single" w:sz="8" w:space="1" w:color="000000"/>
        </w:rPr>
        <w:t xml:space="preserve">8, which is enriched in brain regions that initiate or perpetuate seizures in focal epilepsy. A second strategy uses RAPs to unlock receptors for potentially first-in-class drug discovery programs. Many receptors cannot function without their RAPs, and such receptors have therefore been inaccessible to study </w:t>
      </w:r>
      <w:r>
        <w:rPr>
          <w:rFonts w:ascii="Times New Roman" w:hAnsi="Times New Roman"/>
          <w:i/>
          <w:sz w:val="20"/>
          <w:bdr w:val="single" w:sz="8" w:space="1" w:color="000000"/>
        </w:rPr>
        <w:t>in vitro</w:t>
      </w:r>
      <w:r>
        <w:rPr>
          <w:rFonts w:ascii="Times New Roman" w:hAnsi="Times New Roman"/>
          <w:sz w:val="20"/>
          <w:bdr w:val="single" w:sz="8" w:space="1" w:color="000000"/>
        </w:rPr>
        <w:t xml:space="preserve">. This second strategy enabled our discovery stage nAChR programs, which focus on </w:t>
      </w:r>
      <w:r>
        <w:rPr>
          <w:rFonts w:ascii="SYMBOL" w:hAnsi="SYMBOL"/>
          <w:sz w:val="20"/>
          <w:bdr w:val="single" w:sz="8" w:space="1" w:color="000000"/>
        </w:rPr>
        <w:t>a</w:t>
      </w:r>
      <w:r>
        <w:rPr>
          <w:rFonts w:ascii="Times New Roman" w:hAnsi="Times New Roman"/>
          <w:sz w:val="20"/>
          <w:bdr w:val="single" w:sz="8" w:space="1" w:color="000000"/>
        </w:rPr>
        <w:t xml:space="preserve">6 and </w:t>
      </w:r>
      <w:r>
        <w:rPr>
          <w:rFonts w:ascii="SYMBOL" w:hAnsi="SYMBOL"/>
          <w:sz w:val="20"/>
          <w:bdr w:val="single" w:sz="8" w:space="1" w:color="000000"/>
        </w:rPr>
        <w:t>a</w:t>
      </w:r>
      <w:r>
        <w:rPr>
          <w:rFonts w:ascii="Times New Roman" w:hAnsi="Times New Roman"/>
          <w:sz w:val="20"/>
          <w:bdr w:val="single" w:sz="8" w:space="1" w:color="000000"/>
        </w:rPr>
        <w:t>9</w:t>
      </w:r>
      <w:r>
        <w:rPr>
          <w:rFonts w:ascii="SYMBOL" w:hAnsi="SYMBOL"/>
          <w:sz w:val="20"/>
          <w:bdr w:val="single" w:sz="8" w:space="1" w:color="000000"/>
        </w:rPr>
        <w:t>a</w:t>
      </w:r>
      <w:r>
        <w:rPr>
          <w:rFonts w:ascii="Times New Roman" w:hAnsi="Times New Roman"/>
          <w:sz w:val="20"/>
          <w:bdr w:val="single" w:sz="8" w:space="1" w:color="000000"/>
        </w:rPr>
        <w:t xml:space="preserve">10. We continue to leverage our RAP technology platform to discover additional product candidates.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Leveraging our RAP technology platform, we strive to become a leader in precision neuroscience through the discovery and development of transformational small molecule medicines for patients suffering from CNS disorders. As key elements of our strategy, we intend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RAP-219 clinical development for the treatment of focal epilepsy;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the potential of RAP-219 in additional neurological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Extend the life cycle of RAP-219 and expand the TARP</w:t>
            </w:r>
            <w:r>
              <w:rPr>
                <w:rFonts w:ascii="SYMBOL" w:hAnsi="SYMBOL"/>
                <w:sz w:val="20"/>
              </w:rPr>
              <w:t>g</w:t>
            </w:r>
            <w:r>
              <w:rPr>
                <w:rFonts w:ascii="Times New Roman" w:hAnsi="Times New Roman"/>
                <w:sz w:val="20"/>
              </w:rPr>
              <w:t xml:space="preserve">8 franchise;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development of our RAP-enabled nAChR programs;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Fortify our leadership position in RAP-enabled drug discovery to expand our pipeline of transformative precision neuroscience therapies for patients;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 strategic partnerships opportunistically.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Team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 seasoned leadership team with deep expertise in building novel therapeutic platforms, bringing therapeutics to market and supporting the growth of public biopharmaceutical companies. Abraham N. Ceesay, M.B.A., our Chief Executive Officer and a member of our board of directors, has extensive biopharmaceutical leadership experience, most recently as President of Cerevel Therapeutics Holdings, Inc. and prior to that as Chief Executive Officer of Tiburio Therapeutics, Inc. Bradley S. Galer, M.D., our Chief Medical Officer, has over twenty years of experience leading and building global drug development and medical affairs teams in epilepsy and pain, including as Executive Vice President and Chief Medical Officer at Zogenix, Inc. Dr. Galer was involved in the clinical development of fenfluramine (Fintepla), lidocaine patch (Lidoderm), gabapentin (Neurontin) and pregabalin (Lyrica) and previously acted as an academic key opinion leader in neuropathic pain. Troy Ignelzi, our Chief Financial Officer, has served in a similar role for several biopharmaceutical companies, most recently as Chief Financial Officer at Karuna Therapeutics, Inc. (Karuna). Cheryl Gault, our Chief Operating Officer, has over twenty years of biopharmaceutical experience, most recently serving as Chief Operating Officer at Cyclerion Therapeutics, Inc. Swamy Yeleswaram, Ph.D., our Chief Development Officer was a founding scientist at Incyte Corporation, most recently serving as Group Vice President of Drug Metabolism, Pharmacokinetics and Clinical Pharmacology. Kathy Wilkinson, our Chief People Officer, has previously served in similar roles at public companies, including 2seventy bio, Inc. and bluebird bio, Inc. Karina Chmielewski, our Chief Information Officer, previously served as Vice President, Platform Operations at Third Rock Ventures.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is composed of accomplished leaders in the life sciences industry, including board chair Steven M. Paul, M.D., former President and Chief Executive Officer of Karuna. We have also assembled a scientific advisory board, composed of leading experts in the fields of neuroscience, pain and pharmaceutical chemistry. Our scientific advisory board includes co-chairs David Julius, Ph.D., Chair of Physiology at the University of California San Francisco and 2021 Nobel Prize laureate in physiology or medicine, and Sir David MacMillan, Ph.D., Professor of Chemistry at Princeton University and 2021 Nobel Prize laureate in chemistry.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highly dependent on the success of our product candidates, particularly RAP-219 for focal epilepsy. If we are unable to successfully complete clinical development, obtain regulatory approval for or commercialize one or more of our product candidates, or if we experience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successful development of pharmaceutical products involves a lengthy and expensive process and is highly uncertain.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European Medicines Agency (EMA), and other comparable regulatory authorities are lengthy, time-consuming and inherently unpredictable, and if we are ultimately unable to obtain regulatory approval for our product candidates,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on a third party having accurately generated, collected, interpreted and reported data from certain preclinical studies and clinical trials that were previously conducted for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clinical trials fail to replicate positive results from earlier preclinical studies or clinical trials conducted by us or third parties, we may be unable to successfully develop, obtain regulatory approval for or commercialize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achieve our projected development and commercialization goals in the timeframes we announce and expect, the development and commercialization of our product candidates may be delayed, and our business and results of operations may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may cause undesirable side effects or have other properties that could delay or prevent their regulatory approval, limit the commercial profile of an approved label, or result in significant negative consequences following regulatory approval, if obtained.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concentrated our research and development efforts on the treatment of disorders of the brain and nervous system, a field that faces certain challenges in drug 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in-licensed intellectual property. If we fail to comply with our obligations under our intellectual property licenses with third parties, we could lose license rights that are important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or our licensors are unable to obtain and maintain patent protection for our product candidates, or if the scope of the patent protection obtained is not sufficiently broad, our competitors could develop and commercialize products similar or identical to our product candidates and our ability to successfully commercialize our product candidates may be adversely affected.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summary risk factors described above should be read together with the text of the full risk factors in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and the other information set forth in this prospectus, including our consolidated financial statements and the related notes, as well as in other documents that we file with the Securities and Exchange Commission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February 2022 under the name Precision Neuroscience NewCo, Inc., and changed our name to Rapport Therapeutics, Inc. in October 2022. Our principal executive offices are located at 1325 Boylston Street, Suite 401, Boston, MA 02215, and our telephone number is (857) 321-8020. We have one subsidiary, Rapport Therapeutics Securities Corporation, formed in December 2022 under the laws of the Commonwealth of Massachusetts. Our website address is </w:t>
      </w:r>
      <w:r>
        <w:rPr>
          <w:rFonts w:ascii="Times New Roman" w:hAnsi="Times New Roman"/>
          <w:i/>
          <w:sz w:val="20"/>
          <w:bdr w:val="single" w:sz="8" w:space="1" w:color="000000"/>
        </w:rPr>
        <w:t>www.rapportrx.com</w:t>
      </w:r>
      <w:r>
        <w:rPr>
          <w:rFonts w:ascii="Times New Roman" w:hAnsi="Times New Roman"/>
          <w:sz w:val="20"/>
          <w:bdr w:val="single" w:sz="8" w:space="1" w:color="000000"/>
        </w:rPr>
        <w:t xml:space="preserve">. The information contained in or accessible from our website is not incorporated into this prospectus, and you should not consider it part of this prospectus. We have included our website address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as amended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being permitted to present only two years of audited financial statements, in addition to any required unaudited interim financial statements, with correspondingly reduced </w:t>
            </w:r>
            <w:r>
              <w:rPr>
                <w:rFonts w:ascii="Times New Roman" w:hAnsi="Times New Roman"/>
                <w:i/>
                <w:sz w:val="20"/>
              </w:rPr>
              <w:t>Managements Discussion and Analysis of Financial Condition and Results of Operations</w:t>
            </w:r>
            <w:r>
              <w:rPr>
                <w:rFonts w:ascii="Times New Roman" w:hAnsi="Times New Roman"/>
                <w:sz w:val="20"/>
              </w:rPr>
              <w:t xml:space="preserve"> disclosure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advisory votes on executive compensation or to obtain stockholder approval of any golden parachute arrangements not previously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the auditor attestation requirement in the assessment of our internal control over financial reporting pursuant to Section 404 of the Sarbanes-Oxley Act of 2002 (Sarbanes-Oxley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have in the past chosen and may in the future choose to early adopt any new or revised accounting standards whenever such early adoptions is permitted for private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of common stock offered by us </w:t>
            </w:r>
          </w:p>
        </w:tc>
        <w:tc>
          <w:tcPr>
            <w:tcW w:w="6330"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7" w:type="dxa"/>
            <w:tcBorders/>
          </w:tcPr>
          <w:p>
            <w:pPr>
              <w:pStyle w:val="TableContents"/>
              <w:bidi w:val="0"/>
              <w:spacing w:before="0" w:after="283"/>
              <w:jc w:val="left"/>
              <w:rPr/>
            </w:pPr>
            <w:r>
              <w:rPr/>
              <w:t xml:space="preserve">     </w:t>
            </w:r>
            <w:r>
              <w:rPr/>
              <w:t xml:space="preserve">shares (or    shares if the underwriters exercise their option to purchase additional shares of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the sale of our common stock in this offering will be approximately $    million (or approximately $    million if the underwriters exercise their option to purchase additional shares of common stock in full), based on the assumed initial public offering price of $    per share, which is the midpoint of the price range set forth on the cover page of this prospectus, after deducting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We currently intend to use the net proceeds we receive from this offering, together with our existing cash, cash equivalents and short-term investments (i) to advance the Phase 2a development of our lead TARP</w:t>
            </w:r>
            <w:r>
              <w:rPr>
                <w:rFonts w:ascii="SYMBOL" w:hAnsi="SYMBOL"/>
              </w:rPr>
              <w:t>g</w:t>
            </w:r>
            <w:r>
              <w:rPr/>
              <w:t>8 AMPAR program, RAP-219, including the completion of our proof-of-concept trials in focal epilepsy, peripheral neuropathic pain and bipolar disorder; (ii) to conduct our second MAD trial and PET trial, for the advancement of a long-acting injectable formulation of RAP-219, and to advance our second TARP</w:t>
            </w:r>
            <w:r>
              <w:rPr>
                <w:rFonts w:ascii="SYMBOL" w:hAnsi="SYMBOL"/>
              </w:rPr>
              <w:t>g</w:t>
            </w:r>
            <w:r>
              <w:rPr/>
              <w:t>8 AMPAR program, RAP-199, through Phase 1 of development; and (iii) the remainder for other research and development activities, including the development of our nAChR discovery programs, costs associated with operating as a public company, and general corporate purposes. See the section titled </w:t>
            </w:r>
            <w:r>
              <w:rPr>
                <w:i/>
              </w:rPr>
              <w:t>Use of Proceeds</w:t>
            </w:r>
            <w:r>
              <w:rPr/>
              <w:t xml:space="preserve">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See the section titled </w:t>
            </w:r>
            <w:r>
              <w:rPr>
                <w:i/>
              </w:rPr>
              <w:t>Risk Factors</w:t>
            </w:r>
            <w:r>
              <w:rPr/>
              <w:t xml:space="preserve"> for a discussion of factors you should carefully consider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Proposed Nasdaq Global Market trading symbol </w:t>
            </w:r>
          </w:p>
        </w:tc>
        <w:tc>
          <w:tcPr>
            <w:tcW w:w="6329" w:type="dxa"/>
            <w:tcBorders/>
          </w:tcPr>
          <w:p>
            <w:pPr>
              <w:pStyle w:val="TableContents"/>
              <w:bidi w:val="0"/>
              <w:spacing w:before="0" w:after="283"/>
              <w:jc w:val="left"/>
              <w:rPr/>
            </w:pPr>
            <w:r>
              <w:rPr/>
              <w:t xml:space="preserve">RAPP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after this offering is based on 225,335,786 shares of common stock (which includes 17,388,750 shares of unvested restricted common stock) outstanding as of March 31, 2024, after giving effect to the automatic conversion of all outstanding shares of our convertible preferred stock into an aggregate of 189,613,384 shares of common stock immediately prior to the completion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22,932,506 shares of common stock issuable upon exercise of outstanding stock options as of March 31, 2024 under our 2022 Stock Option and Grant Plan, as amended (2022 Plan), with a weighted average exercise price of $0.61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790,000 shares of common stock issuable upon exercise of outstanding stock options granted after March 31, 2024 pursuant to our 2022 Plan, with a weighted average exercise price of $1.35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1,016,323 shares of common stock reserved for future issuance as of March 31, 2024 under the 2022 Plan, which will cease to be available for issuance at the time that our 2024 Stock Option and Incentive Plan (2024 Plan) becomes effective;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common stock reserved for future issuance under our 2024 Employee Stock Purchase Plan (ESPP), which will become effective on the date immediately prior to the effectiveness of the registration statement of which this prospectus forms a part, as well as any automatic increases in the number of shares of common stock reserved for future issuance under the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that will become available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2022 Plan that expire or are repurchased, forfeited, cancelled, or withheld.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the information in this prospectus reflects or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1-for-    reverse split of our common stock, which will become effective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automatic conversion of all outstanding shares of our convertible preferred stock into an aggregate of    shares of common stock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stock options described above after March 31,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an additional    shares of common stock in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and effectiveness of our third amended and restated certificate of incorporation immediately prior to the completion of this offering and the effectiveness of our amended and restated bylaws upon the effectiveness of the registration statement of which this prospectus forms a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The following tables set forth our summary consolidated statements of operations data for the period from February 10, 2022 (inception) to December 31, 2022, the year ended December 31, 2023, and the three months ended March 31, 2023 and 2024 and our summary consolidated balance sheet data as of March 31, 2024. We have derived the consolidated statement of operations data for the period from February 10, 2022 (inception) to December 31, 2022 and the year ended December 31, 2023 from our audited consolidated financial statements included elsewhere in this prospectus. The consolidated statement of operations data for the three months ended March 31, 2023 and 2024 and the consolidated balance sheet data as of March 31, 2024 have been derived from our unaudited interim condensed consolidated financial statements included elsewhere in this prospectus, which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may be expected for any period in the future and our results for the three months ended March 31, 2024 are not necessarily indicative of the results that may be expected for the year ending December 31, 2024. You should read the following summary financial data together with </w:t>
      </w:r>
      <w:r>
        <w:rPr>
          <w:rFonts w:ascii="Times New Roman" w:hAnsi="Times New Roman"/>
          <w:sz w:val="20"/>
          <w:bdr w:val="single" w:sz="8" w:space="1" w:color="000000"/>
        </w:rPr>
        <w:t>Managements Discussion and Analysis of Financial Condition and Results of Operations</w:t>
      </w:r>
      <w:r>
        <w:rPr>
          <w:rFonts w:ascii="Times New Roman" w:hAnsi="Times New Roman"/>
          <w:i/>
          <w:sz w:val="20"/>
          <w:bdr w:val="single" w:sz="8" w:space="1" w:color="000000"/>
        </w:rPr>
        <w:t xml:space="preserve">,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880"/>
        <w:gridCol w:w="231"/>
        <w:gridCol w:w="238"/>
        <w:gridCol w:w="1674"/>
        <w:gridCol w:w="155"/>
        <w:gridCol w:w="231"/>
        <w:gridCol w:w="152"/>
        <w:gridCol w:w="1225"/>
        <w:gridCol w:w="155"/>
        <w:gridCol w:w="231"/>
        <w:gridCol w:w="140"/>
        <w:gridCol w:w="1103"/>
        <w:gridCol w:w="155"/>
        <w:gridCol w:w="231"/>
        <w:gridCol w:w="140"/>
        <w:gridCol w:w="1103"/>
        <w:gridCol w:w="161"/>
      </w:tblGrid>
      <w:tr>
        <w:trPr/>
        <w:tc>
          <w:tcPr>
            <w:tcW w:w="288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w:t>
              <w:br/>
              <w:t>from February 10,</w:t>
              <w:br/>
              <w:t>2022 (inception)</w:t>
              <w:br/>
              <w:t>to December 31,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61"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933" w:type="dxa"/>
            <w:gridSpan w:val="14"/>
            <w:tcBorders/>
            <w:vAlign w:val="bottom"/>
          </w:tcPr>
          <w:p>
            <w:pPr>
              <w:pStyle w:val="TableContents"/>
              <w:bidi w:val="0"/>
              <w:spacing w:before="0" w:after="283"/>
              <w:jc w:val="center"/>
              <w:rPr>
                <w:b/>
              </w:rPr>
            </w:pPr>
            <w:r>
              <w:rPr>
                <w:b/>
              </w:rPr>
              <w:t>(in thousands, except share and per share data)</w:t>
            </w:r>
          </w:p>
        </w:tc>
        <w:tc>
          <w:tcPr>
            <w:tcW w:w="161" w:type="dxa"/>
            <w:tcBorders/>
            <w:vAlign w:val="bottom"/>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 of Operations Data</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6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acquired in-process research and development</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74"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(1)</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4,115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27,999</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3,899</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12,504</w:t>
            </w:r>
          </w:p>
        </w:tc>
        <w:tc>
          <w:tcPr>
            <w:tcW w:w="161" w:type="dxa"/>
            <w:tcBorders/>
            <w:vAlign w:val="bottom"/>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(2)</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1,252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8,180</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1,292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4,590</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10,367</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36,179</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5,191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17,094</w:t>
            </w:r>
          </w:p>
        </w:tc>
        <w:tc>
          <w:tcPr>
            <w:tcW w:w="161"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(10,367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(36,179</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(5,191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(17,094</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2,527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1,815</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8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(1,124</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(1,030</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(7,390</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1,403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(955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(5,575</w:t>
            </w:r>
          </w:p>
        </w:tc>
        <w:tc>
          <w:tcPr>
            <w:tcW w:w="161"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before income taxes</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(34,776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(6,146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(22,669</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74"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(34,786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(6,147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(22,669</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(3)</w:t>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674"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(0.53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(1.29</w:t>
            </w:r>
          </w:p>
        </w:tc>
        <w:tc>
          <w:tcPr>
            <w:tcW w:w="161"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 (3)</w:t>
            </w:r>
          </w:p>
        </w:tc>
        <w:tc>
          <w:tcPr>
            <w:tcW w:w="23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6,656,667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12,896,713</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11,672,557</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17,531,227</w:t>
            </w:r>
          </w:p>
        </w:tc>
        <w:tc>
          <w:tcPr>
            <w:tcW w:w="161" w:type="dxa"/>
            <w:tcBorders/>
            <w:shd w:fill="CCEEFF" w:val="clear"/>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811"/>
        <w:gridCol w:w="258"/>
        <w:gridCol w:w="955"/>
        <w:gridCol w:w="955"/>
        <w:gridCol w:w="60"/>
        <w:gridCol w:w="258"/>
        <w:gridCol w:w="140"/>
        <w:gridCol w:w="1225"/>
        <w:gridCol w:w="155"/>
        <w:gridCol w:w="258"/>
        <w:gridCol w:w="60"/>
        <w:gridCol w:w="1224"/>
        <w:gridCol w:w="60"/>
        <w:gridCol w:w="258"/>
        <w:gridCol w:w="140"/>
        <w:gridCol w:w="1225"/>
        <w:gridCol w:w="163"/>
      </w:tblGrid>
      <w:tr>
        <w:trPr/>
        <w:tc>
          <w:tcPr>
            <w:tcW w:w="2811"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1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w:t>
              <w:br/>
              <w:t>from February 10,</w:t>
              <w:br/>
              <w:t>2022 (inception)</w:t>
              <w:br/>
              <w:t>to December 31,</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9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6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973" w:type="dxa"/>
            <w:gridSpan w:val="14"/>
            <w:tcBorders/>
            <w:vAlign w:val="bottom"/>
          </w:tcPr>
          <w:p>
            <w:pPr>
              <w:pStyle w:val="TableContents"/>
              <w:bidi w:val="0"/>
              <w:spacing w:before="0" w:after="283"/>
              <w:jc w:val="center"/>
              <w:rPr>
                <w:b/>
              </w:rPr>
            </w:pPr>
            <w:r>
              <w:rPr>
                <w:b/>
              </w:rPr>
              <w:t>(in thousands, except share and per share data)</w:t>
            </w:r>
          </w:p>
        </w:tc>
        <w:tc>
          <w:tcPr>
            <w:tcW w:w="16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attributable to common stockholders, basic and diluted (unaudited) (4)</w:t>
            </w:r>
          </w:p>
        </w:tc>
        <w:tc>
          <w:tcPr>
            <w:tcW w:w="258"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left"/>
              <w:rPr>
                <w:sz w:val="4"/>
                <w:szCs w:val="4"/>
              </w:rPr>
            </w:pPr>
            <w:r>
              <w:rPr>
                <w:sz w:val="4"/>
                <w:szCs w:val="4"/>
              </w:rPr>
            </w:r>
          </w:p>
        </w:tc>
        <w:tc>
          <w:tcPr>
            <w:tcW w:w="9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(0.11</w:t>
            </w:r>
          </w:p>
        </w:tc>
        <w:tc>
          <w:tcPr>
            <w:tcW w:w="16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c>
          <w:tcPr>
            <w:tcW w:w="9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common shares outstanding, basic and diluted (unaudited) (4)</w:t>
            </w:r>
          </w:p>
        </w:tc>
        <w:tc>
          <w:tcPr>
            <w:tcW w:w="25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c>
          <w:tcPr>
            <w:tcW w:w="9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164,352,857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207,144,611</w:t>
            </w:r>
          </w:p>
        </w:tc>
        <w:tc>
          <w:tcPr>
            <w:tcW w:w="16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left"/>
              <w:rPr>
                <w:sz w:val="4"/>
                <w:szCs w:val="4"/>
              </w:rPr>
            </w:pPr>
            <w:r>
              <w:rPr>
                <w:sz w:val="4"/>
                <w:szCs w:val="4"/>
              </w:rPr>
            </w:r>
          </w:p>
        </w:tc>
        <w:tc>
          <w:tcPr>
            <w:tcW w:w="9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Includes related party amounts of $1.6 million, $0.7 million, $0.3 million and less than $0.1 million for the period from February 10, 2022 (inception) to December 31, 2022, for the year ended December 31, 2023, and for the three months ended March 31, 2023 and 2024, respectively (see Note 13</w:t>
            </w:r>
            <w:r>
              <w:rPr>
                <w:rFonts w:ascii="Times New Roman" w:hAnsi="Times New Roman"/>
                <w:i/>
                <w:sz w:val="20"/>
              </w:rPr>
              <w:t>Related Party Transactions</w:t>
            </w:r>
            <w:r>
              <w:rPr>
                <w:rFonts w:ascii="Times New Roman" w:hAnsi="Times New Roman"/>
                <w:sz w:val="20"/>
              </w:rPr>
              <w:t xml:space="preserve"> to our audited consolidated financial statements and Note 10Related Party Transactions to our unaudited interim condensed consolidated financial statements included elsewhere in this prospectus).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Includes related party amount of $0.6 million, $0.9 million, $0.3 million and $0.1 million for the period from February 10, 2022 (inception) to December 31, 2022, for the year ended December 31, 2023 and for the three months ended March 31, 2023 and 2024, respectively (see Note 13</w:t>
            </w:r>
            <w:r>
              <w:rPr>
                <w:rFonts w:ascii="Times New Roman" w:hAnsi="Times New Roman"/>
                <w:i/>
                <w:sz w:val="20"/>
              </w:rPr>
              <w:t>Related Party Transactions</w:t>
            </w:r>
            <w:r>
              <w:rPr>
                <w:rFonts w:ascii="Times New Roman" w:hAnsi="Times New Roman"/>
                <w:sz w:val="20"/>
              </w:rPr>
              <w:t xml:space="preserve"> to our audited consolidated financial statements and Note 10Related Party Transactions to our unaudited interim condensed consolidated financial statements included elsewhere in this prospectus).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See Note 15</w:t>
            </w:r>
            <w:r>
              <w:rPr>
                <w:rFonts w:ascii="Times New Roman" w:hAnsi="Times New Roman"/>
                <w:i/>
                <w:sz w:val="20"/>
              </w:rPr>
              <w:t>Net Loss per Share</w:t>
            </w:r>
            <w:r>
              <w:rPr>
                <w:rFonts w:ascii="Times New Roman" w:hAnsi="Times New Roman"/>
                <w:sz w:val="20"/>
              </w:rPr>
              <w:t> to our audited consolidated financial statements and Note 12</w:t>
            </w:r>
            <w:r>
              <w:rPr>
                <w:rFonts w:ascii="Times New Roman" w:hAnsi="Times New Roman"/>
                <w:i/>
                <w:sz w:val="20"/>
              </w:rPr>
              <w:t>Net Loss per Share</w:t>
            </w:r>
            <w:r>
              <w:rPr>
                <w:rFonts w:ascii="Times New Roman" w:hAnsi="Times New Roman"/>
                <w:sz w:val="20"/>
              </w:rPr>
              <w:t xml:space="preserve"> to our unaudited interim condensed consolidated financial statements included elsewhere in this prospectus for details on the calculation of basic and diluted net loss per share attributable to common stockholders.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 weighted-average common shares outstanding for the period. Pro forma weighted-average common shares outstanding is computed by adjusting the weighted-average common shares outstanding to give pro forma effect to the automatic conversion of all shares of our convertible preferred stock outstanding as of March 31, 2024 into shares of common stock as if such conversion had occurred on January 1, 2023. Pro forma basic and diluted net loss per share attributable to common stockholders does not include the effect of the shares expected to be sold in this offering. </w:t>
            </w:r>
          </w:p>
        </w:tc>
      </w:tr>
    </w:tbl>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911"/>
        <w:gridCol w:w="296"/>
        <w:gridCol w:w="140"/>
        <w:gridCol w:w="809"/>
        <w:gridCol w:w="155"/>
        <w:gridCol w:w="257"/>
        <w:gridCol w:w="143"/>
        <w:gridCol w:w="896"/>
        <w:gridCol w:w="60"/>
        <w:gridCol w:w="296"/>
        <w:gridCol w:w="182"/>
        <w:gridCol w:w="994"/>
        <w:gridCol w:w="66"/>
      </w:tblGrid>
      <w:tr>
        <w:trPr/>
        <w:tc>
          <w:tcPr>
            <w:tcW w:w="5911"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91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93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2024</w:t>
            </w:r>
          </w:p>
        </w:tc>
        <w:tc>
          <w:tcPr>
            <w:tcW w:w="66" w:type="dxa"/>
            <w:tcBorders/>
            <w:vAlign w:val="bottom"/>
          </w:tcPr>
          <w:p>
            <w:pPr>
              <w:pStyle w:val="TableContents"/>
              <w:bidi w:val="0"/>
              <w:spacing w:before="0" w:after="283"/>
              <w:jc w:val="left"/>
              <w:rPr/>
            </w:pPr>
            <w:r>
              <w:rPr/>
              <w:t> </w:t>
            </w:r>
          </w:p>
        </w:tc>
      </w:tr>
      <w:tr>
        <w:trPr/>
        <w:tc>
          <w:tcPr>
            <w:tcW w:w="591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 (1)</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As</w:t>
              <w:br/>
              <w:t>adjusted (2)</w:t>
            </w:r>
          </w:p>
        </w:tc>
        <w:tc>
          <w:tcPr>
            <w:tcW w:w="66" w:type="dxa"/>
            <w:tcBorders/>
            <w:vAlign w:val="bottom"/>
          </w:tcPr>
          <w:p>
            <w:pPr>
              <w:pStyle w:val="TableContents"/>
              <w:bidi w:val="0"/>
              <w:spacing w:before="0" w:after="283"/>
              <w:jc w:val="left"/>
              <w:rPr/>
            </w:pPr>
            <w:r>
              <w:rPr/>
              <w:t> </w:t>
            </w:r>
          </w:p>
        </w:tc>
      </w:tr>
      <w:tr>
        <w:trPr/>
        <w:tc>
          <w:tcPr>
            <w:tcW w:w="591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932" w:type="dxa"/>
            <w:gridSpan w:val="10"/>
            <w:tcBorders/>
            <w:vAlign w:val="bottom"/>
          </w:tcPr>
          <w:p>
            <w:pPr>
              <w:pStyle w:val="TableContents"/>
              <w:bidi w:val="0"/>
              <w:spacing w:before="0" w:after="283"/>
              <w:jc w:val="center"/>
              <w:rPr>
                <w:b/>
              </w:rPr>
            </w:pPr>
            <w:r>
              <w:rPr>
                <w:b/>
              </w:rPr>
              <w:t>(in thousands)</w:t>
            </w:r>
          </w:p>
        </w:tc>
        <w:tc>
          <w:tcPr>
            <w:tcW w:w="66" w:type="dxa"/>
            <w:tcBorders/>
            <w:vAlign w:val="bottom"/>
          </w:tcPr>
          <w:p>
            <w:pPr>
              <w:pStyle w:val="TableContents"/>
              <w:bidi w:val="0"/>
              <w:spacing w:before="0" w:after="283"/>
              <w:jc w:val="left"/>
              <w:rPr/>
            </w:pPr>
            <w:r>
              <w:rPr/>
              <w:t> </w:t>
            </w:r>
          </w:p>
        </w:tc>
      </w:tr>
      <w:tr>
        <w:trPr/>
        <w:tc>
          <w:tcPr>
            <w:tcW w:w="59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911"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short-term investments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193,244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193,244</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5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 (3)</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188,843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188,843</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91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206,289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206,289</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11,183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11,183</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91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234,739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(39,633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195,106</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consolidated balance sheet data give effect to the automatic conversion of all outstanding shares of our convertible preferred stock into an aggregate of 189,613,384 shares of our common stock immediately prior to the completion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as adjusted consolidated balance sheet data give effect to (i) the pro forma adjustments set forth in footnote (1) above and (ii) the issuance and sale of     shares of our common stock in this offering at an assumed initial public offering price of $     per share, which is the midpoint of the price range set forth on the cover page of this prospectus, after deducting underwriting discounts and commissions and estimated offering expenses payable by us. Pro forma as adjusted balance sheet data is illustrative only and will change based on the actual initial public offering price and other terms of this offering determined at pricing. Each $1.00 increase (decrease) in the assumed initial public offering price of $     per share, which is the midpoint of the price range set forth on the cover page of this prospectus, would increase (decrease) the pro forma as adjusted amount of each of cash, cash equivalents and short term investments, working capital, total assets and total stockholders equity by approximately $    , assuming that the number of shares offered by us, as set forth on the cover page of this prospectus, remains the same, and after deducting underwriting discounts and commissions and estimated offering expenses payable by us. Each 1,000,000 increase (decrease) in the number of shares offered by us, as set forth on the cover page of this prospectus, would increase or decrease the pro forma as adjusted amount of each of cash, cash equivalents and short-term investments, working capital, total assets and total stockholders equity by approximately $    million, assuming no change in the assumed initial offering price per share, and after deducting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define working capital as current assets less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803738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included elsewhere in this prospectus and </w:t>
      </w:r>
      <w:r>
        <w:rPr>
          <w:rFonts w:ascii="Times New Roman" w:hAnsi="Times New Roman"/>
          <w:sz w:val="20"/>
        </w:rPr>
        <w:t>Managements Discussion and Analysis of Financial Condition and Results of Operations</w:t>
      </w:r>
      <w:r>
        <w:rPr>
          <w:rFonts w:ascii="Times New Roman" w:hAnsi="Times New Roman"/>
          <w:i/>
          <w:sz w:val="20"/>
        </w:rPr>
        <w:t xml:space="preserve">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prospectus also contains forward-looking statements and estimates that involve risks and uncertainties not presently known to us or that we currently deem immaterial also may impair our business operations. Our actual results could differ materially from those anticipated in our forward-looking statements as a result of specific factors, including the risks and uncertainties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Limited Operating History, Financial Condition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biopharmaceutical company with a limited operating history. We were formed in February 2022 and our operations to date have been limited to organizing and staffing our company, business planning, raising capital, developing our receptor associated protein (RAP) technology platform and technology, identifying potential product candidates, securing intellectual property rights, and planning and undertaking preclinical studies and clinical trials. Substantially all of our product candidates were initially developed by Janssen Pharmaceutica NV (Janssen), which we in-licensed pursuant to the option and license agreement with Janssen (the Janssen License), entered into shortly after our formation.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business depends primarily upon our ability to identify, develop, and commercialize product candidates based on our RAP technology platform. We do not know whether we will be able to develop any product candidates that succeed through preclinical and clinical development or products of commercial value. 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$10.7 million and $34.8 million for the period from February 10, 2022 (inception) to December 31, 2022 and for the year ended December 31, 2023, respectively. Our net losses totaled $6.1 million and $22.7 million for the three months ended March 31, 2023 and 2024, respectively. As of March 31, 2024, we have not yet generated revenues and had an accumulated deficit of $68.1 million. We expect to continue to incur significant losses for the foreseeable future, and we expect these losses to increase as we continue our research and development of, and seek regulatory approvals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our product candidates through clinical development, including as we advance RAP-219 into later-stage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our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additional clinical, quality control, medical, scientific and other technical personnel to support the clinical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an increase in headcount as we expand our research and development organization and market development and pre-commercial planning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 any pre-commercial or commercial activities to establish sales, marketing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our preclinical-stage product candidates into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acquire and develop additional product candidates using our RAP technology platform, including through business development efforts to invest in or in-license other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due under the Janssen License and any future in-license or collaboration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interest or other payments due under any future financing or other arrangements with third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expenses could increase beyond our expectations if we are required by the U.S. Food and Drug Administration (FDA), European Medicines Agency (EMA),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continue the clinical and preclinical development of our product candidates, continue to identify additional targets using our RAP technology platform, commence additional preclinical studies and clinical trials, and continue to identify and develop additional product candidates either through internal development or through acquisitions or in-licensing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we had $193.2 million of cash, cash equivalents and short-term investments, excluding restricted cash. Based upon our current operating plan, we believe that our existing cash, cash equivalents and short-term investments, together with the net proceeds from this offering, will enable us to fund our operating expenses and capital expenditure requirements through      .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costs and results of discovery, preclinical development and clinical trials for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clinical trials required for regulatory approval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any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acquiring or licensing additional product candidates, technologies or assets, including the timing and amount of any milestones, royalties or other payments due in connection with our acquisitions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precision neuroscience approach at identifying target patient populations and utilizing our approach to enrich our patient population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manufacturing, marketing, sales and distribution, for any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to attract, hire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 commercially viable pricing structure and obtain approval for coverage and adequate reimbursement from third-party and government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macroeconomic trends including inflation and rising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potential supply chain interruptions or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invest in business, products and technologies.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upon the completion of this offering, we expect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Raising additional capital may cause dilution to our stockholders, restrict our operations or require us to relinquish rights to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operations with our existing cash, cash equivalents and short-term investments, the net proceeds from this offering, any future equity or debt financings and upfront and milestone and royalty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obligations from our license agreement with Janssen may be a drain on our cash resources, or may cause us to incur debt obligations to satisfy the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Janssen License, Janssen is entitled to substantial contingent payments upon the occurrence of certain events. For example, we will be required to pay Janssen up to $76.0 million in development milestone payments and up to $40.0 million sales milestone payments for products containing RAP-219. See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titled </w:t>
      </w:r>
      <w:r>
        <w:rPr>
          <w:rFonts w:ascii="Times New Roman" w:hAnsi="Times New Roman"/>
          <w:i/>
          <w:sz w:val="20"/>
        </w:rPr>
        <w:t>BusinessLicense and Collaboration Agreements</w:t>
      </w:r>
      <w:r>
        <w:rPr>
          <w:rFonts w:ascii="Times New Roman" w:hAnsi="Times New Roman"/>
          <w:sz w:val="20"/>
        </w:rPr>
        <w:t xml:space="preserve"> elsewhere in this prospectus for additional information regarding the Janssen Agreement. In order to satisfy our obligations to make these payments, if and when they are triggered, we may need to issue equity or convertible debt securities that may cause dilution to our stockholders, or we may use our existing cash and cash equivalents or incur debt obligations to satisfy the payment obligations in cash, which may adversely affect our financial position. In addition, these obligations may impede our ability to raise money in future public offerings of debt or equity securities or to obtain a third-party line of credit.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highly dependent on the success of our product candidates, particularly RAP-219 for focal epilepsy. If we are unable to successfully complete clinical development, obtain regulatory approval for or commercialize one or more of our product candidates, or if we experience delays in doing so, our business will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particularly RAP-219 for focal epilepsy, encounters safety or efficacy problems, development delays or regulatory issues or other problems, our development plans and business would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may not have the financial resources to continue development of our product candidates if we experience any issues that delay or prevent regulatory approval of, or our ability to commercialize, our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demonstrate to the satisfaction of the FDA, EMA, or other comparable regulatory authorities that our product candidates are safe and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insufficiency of our financial and other resources to complete the necessary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our clinical trials, preclinical studies or the clinical trials of others for product candidates similar to ours, leading to a decision or requirement to conduct additional clinical trials or preclinical studies or abandon a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product-related adverse events (AEs) experienced by subjects in our clinical trials, including unexpected toxicity results, or by individuals using drugs or therapeutic biologics similar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submitting an Investigational New Drug (IND) application or other regulatory submission to the FDA, EMA, or other comparable regulatory authorities, or delays or failure in obtaining the necessary approvals from regulators to commence a clinical trial or a suspension or termination, or hold, of a clinical trial once commenced;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imposed by the FDA, EMA, or other comparable regulatory authorities regarding the scope or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poor effectiveness of our product candidates during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better than expected performance of control arms, such as placebo groups, which could lead to negative or inconclusive results from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enrolling subjects in our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drop-out rates of subjects from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inadequate supply or quality of product candidates or other materials necessary for the conduct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anticipated clinical trial or manufacturing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FDA, EMA or comparable regulatory authority inspection and review of our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contractors or investigators to comply with regulatory requirements or the clinical trial protocol or otherwise meet their contractual obligations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changes in regulatory requirements, policies and guidelines, including the imposition of additional regulatory oversight around clinical testing generally or with respect to our therapies in particular;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varying interpretations of data by the FDA, EMA, or other comparable regulatory authorities.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clinical trials conducted in one country may not be accepted by regulatory authorities in other countries, and regulatory approval in one country does not guarantee regulatory approval in any other country. We expect to conduct one or more of our clinical trials with one or more trial sites that are located outside the United States. Although the FDA may accept data from clinical trials conducted outside the United States, acceptance of this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successful development of pharmaceutical products involves a lengthy and expensive process and is highly uncertain. </w:t>
      </w:r>
    </w:p>
    <w:p>
      <w:pPr>
        <w:pStyle w:val="TextBody"/>
        <w:bidi w:val="0"/>
        <w:spacing w:before="240" w:after="0"/>
        <w:jc w:val="left"/>
        <w:rPr>
          <w:rFonts w:ascii="Times New Roman" w:hAnsi="Times New Roman"/>
          <w:sz w:val="20"/>
        </w:rPr>
      </w:pPr>
      <w:r>
        <w:rPr>
          <w:rFonts w:ascii="Times New Roman" w:hAnsi="Times New Roman"/>
          <w:sz w:val="20"/>
        </w:rPr>
        <w:t xml:space="preserve">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results may show the product candidates to be less effective than expected (for example, a clinical trial could fail to meet its primary or key secondary endpoint(s)) or have an unacceptable safety or tolerability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the FDA, EMA, or other comparable regulatory authority an FDA, EMA, or other comparable regulatory request for additional preclinical or clinical data (such as long-term toxicology studies) or unexpected safety or manufacturing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study results may show the product candidate to be less effective than desired or to have harmful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post-marketing approval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proprietary rights of others and their competing products and technologies that may prevent our product candidates from being commercialized. </w:t>
            </w:r>
          </w:p>
        </w:tc>
      </w:tr>
    </w:tbl>
    <w:p>
      <w:pPr>
        <w:pStyle w:val="TextBody"/>
        <w:bidi w:val="0"/>
        <w:spacing w:before="240" w:after="0"/>
        <w:jc w:val="left"/>
        <w:rPr>
          <w:rFonts w:ascii="Times New Roman" w:hAnsi="Times New Roman"/>
          <w:sz w:val="20"/>
        </w:rPr>
      </w:pPr>
      <w:r>
        <w:rPr>
          <w:rFonts w:ascii="Times New Roman" w:hAnsi="Times New Roman"/>
          <w:sz w:val="20"/>
        </w:rPr>
        <w:t>For example, in December 2023, we withdrew the development of another TARP</w:t>
      </w:r>
      <w:r>
        <w:rPr>
          <w:rFonts w:ascii="SYMBOL" w:hAnsi="SYMBOL"/>
          <w:sz w:val="20"/>
        </w:rPr>
        <w:t>g</w:t>
      </w:r>
      <w:r>
        <w:rPr>
          <w:rFonts w:ascii="Times New Roman" w:hAnsi="Times New Roman"/>
          <w:sz w:val="20"/>
        </w:rPr>
        <w:t xml:space="preserve">8 targeted molecule (RAP-482) in-licensed from Janssen that received a full clinical hold from the FDA prior to initiation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Phase 1 trial, in order to prioritize development of our lead product candidate, RAP-219, and our other development candidates and programs. Furthermore, 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Good Clinical Practices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 </w:t>
      </w:r>
    </w:p>
    <w:p>
      <w:pPr>
        <w:pStyle w:val="TextBody"/>
        <w:bidi w:val="0"/>
        <w:spacing w:before="240" w:after="0"/>
        <w:jc w:val="left"/>
        <w:rPr>
          <w:rFonts w:ascii="Times New Roman" w:hAnsi="Times New Roman"/>
          <w:sz w:val="20"/>
        </w:rPr>
      </w:pPr>
      <w:r>
        <w:rPr>
          <w:rFonts w:ascii="Times New Roman" w:hAnsi="Times New Roman"/>
          <w:sz w:val="20"/>
        </w:rPr>
        <w:t xml:space="preserve">Our lead product candidate, RAP-219 for the treatment of focal epilepsy, is currently in Phase 1 clinical development, and our other product candidates and programs are at various stages of preclinical development. We seek to rapidly advance discovery and development of transformational small molecule medicines for patients suffering from central nervous system disorders. </w:t>
      </w:r>
    </w:p>
    <w:p>
      <w:pPr>
        <w:pStyle w:val="TextBody"/>
        <w:bidi w:val="0"/>
        <w:spacing w:before="240" w:after="0"/>
        <w:jc w:val="left"/>
        <w:rPr>
          <w:rFonts w:ascii="Times New Roman" w:hAnsi="Times New Roman"/>
          <w:sz w:val="20"/>
        </w:rPr>
      </w:pPr>
      <w:r>
        <w:rPr>
          <w:rFonts w:ascii="Times New Roman" w:hAnsi="Times New Roman"/>
          <w:sz w:val="20"/>
        </w:rPr>
        <w:t xml:space="preserve">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assimilating or integrating acquired or licensed technologies, products, employees or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issues maintaining uniform standards, procedures, controls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costs associated with acquisitions or strategic alliances, including the assumption of unknown or contingent liabilities and the incurrence of debt or future write-offs of intangible assets or goodwill;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attention from our core business and disruption of ongoing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effects on existing business relationships with suppliers, sales agents, health care facilities, surgeons and other health care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entering new markets in which we have limited or no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losses related to investments in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loss of key employees of acquired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legal and accounting compliance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 care facilities, physicians or other health 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our collaborators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our business, we and the third parties upon which we rely (such as our third party Contract Research Organizations (CROs) and other contractors and consultants)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The legislative and regulatory framework for the processing of personal data worldwide is rapidly evolving and is likely to remain uncertain for the foreseeable future. In the United States, numerous federal, state and local laws and regulations, including federal health information privacy laws, state information security and data breach notification laws, federal and state consumer protection laws (e.g., Section 5 of the Federal Trade Commission Act), and other similar laws (e.g., wiretapping laws) govern the processing of health-related and other personal data.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numerous U.S. statesincluding California, Virginia, Colorado, Connecticut and Utahhave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upon whom we rely.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be subject to new laws governing the privacy of consumer health data. For example, Washingtons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These various privacy and data security laws may impact our business activities, including our identification of research subjects, relationships with business partners and ultimately the marketing and distribution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may govern privacy and data security. For example, the European Unions General Data Protection Regulation (EU GDPR) and the United Kingdoms GDPR (UK GDPR) impose strict requirements for processing personal data. </w:t>
      </w:r>
    </w:p>
    <w:p>
      <w:pPr>
        <w:pStyle w:val="TextBody"/>
        <w:bidi w:val="0"/>
        <w:spacing w:before="240" w:after="0"/>
        <w:jc w:val="left"/>
        <w:rPr>
          <w:rFonts w:ascii="Times New Roman" w:hAnsi="Times New Roman"/>
          <w:sz w:val="20"/>
        </w:rPr>
      </w:pPr>
      <w:r>
        <w:rPr>
          <w:rFonts w:ascii="Times New Roman" w:hAnsi="Times New Roman"/>
          <w:sz w:val="20"/>
        </w:rPr>
        <w:t xml:space="preserve">The EU GDPR and the UK GDPR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t>
      </w:r>
    </w:p>
    <w:p>
      <w:pPr>
        <w:pStyle w:val="TextBody"/>
        <w:bidi w:val="0"/>
        <w:spacing w:before="240" w:after="0"/>
        <w:jc w:val="left"/>
        <w:rPr>
          <w:rFonts w:ascii="Times New Roman" w:hAnsi="Times New Roman"/>
          <w:sz w:val="20"/>
        </w:rPr>
      </w:pPr>
      <w:r>
        <w:rPr>
          <w:rFonts w:ascii="Times New Roman" w:hAnsi="Times New Roman"/>
          <w:sz w:val="20"/>
        </w:rPr>
        <w:t xml:space="preserve">We publish privacy policies, and we may publish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before="240" w:after="0"/>
        <w:jc w:val="left"/>
        <w:rPr>
          <w:rFonts w:ascii="Times New Roman" w:hAnsi="Times New Roman"/>
          <w:sz w:val="20"/>
        </w:rPr>
      </w:pPr>
      <w:r>
        <w:rPr>
          <w:rFonts w:ascii="Times New Roman" w:hAnsi="Times New Roman"/>
          <w:sz w:val="20"/>
        </w:rPr>
        <w:t xml:space="preserve">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information technology systems and infrastructure, or those of our collaborators and service providers, or our data, may be subject to cyber-attacks, security breaches, compromises or other incidents, which could result in additional costs, loss of revenue, significant liabilities, harm to our brand, material disruption of our development programs and operations,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our business, we and the third parties upon which we rely, process sensitive data, and, as a result, we and the third parties upon which we rely face a variety of evolving threats that could cause cyber-attacks, security breaches, compromises, or other incidents. Although we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our system infrastructure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0"/>
        <w:jc w:val="left"/>
        <w:rPr>
          <w:rFonts w:ascii="Times New Roman" w:hAnsi="Times New Roman"/>
          <w:sz w:val="20"/>
        </w:rPr>
      </w:pPr>
      <w:r>
        <w:rPr>
          <w:rFonts w:ascii="Times New Roman" w:hAnsi="Times New Roman"/>
          <w:sz w:val="20"/>
        </w:rPr>
        <w:t xml:space="preserve">The risk of a cyber-attack, security breach, compromise, or other incident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 </w:t>
      </w:r>
    </w:p>
    <w:p>
      <w:pPr>
        <w:pStyle w:val="TextBody"/>
        <w:bidi w:val="0"/>
        <w:spacing w:before="240" w:after="0"/>
        <w:jc w:val="left"/>
        <w:rPr>
          <w:rFonts w:ascii="Times New Roman" w:hAnsi="Times New Roman"/>
          <w:sz w:val="20"/>
        </w:rPr>
      </w:pPr>
      <w:r>
        <w:rPr>
          <w:rFonts w:ascii="Times New Roman" w:hAnsi="Times New Roman"/>
          <w:sz w:val="20"/>
        </w:rPr>
        <w:t xml:space="preserve">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services. </w:t>
      </w:r>
    </w:p>
    <w:p>
      <w:pPr>
        <w:pStyle w:val="TextBody"/>
        <w:bidi w:val="0"/>
        <w:spacing w:before="240" w:after="0"/>
        <w:jc w:val="left"/>
        <w:rPr>
          <w:rFonts w:ascii="Times New Roman" w:hAnsi="Times New Roman"/>
          <w:sz w:val="20"/>
        </w:rPr>
      </w:pPr>
      <w:r>
        <w:rPr>
          <w:rFonts w:ascii="Times New Roman" w:hAnsi="Times New Roman"/>
          <w:sz w:val="20"/>
        </w:rPr>
        <w:t xml:space="preserve">We also face increased risks of a cyber-attack, security breach, compromise, or other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w:t>
      </w:r>
    </w:p>
    <w:p>
      <w:pPr>
        <w:pStyle w:val="TextBody"/>
        <w:bidi w:val="0"/>
        <w:spacing w:before="240" w:after="0"/>
        <w:jc w:val="left"/>
        <w:rPr>
          <w:rFonts w:ascii="Times New Roman" w:hAnsi="Times New Roman"/>
          <w:sz w:val="20"/>
        </w:rPr>
      </w:pPr>
      <w:r>
        <w:rPr>
          <w:rFonts w:ascii="Times New Roman" w:hAnsi="Times New Roman"/>
          <w:sz w:val="20"/>
        </w:rPr>
        <w:t xml:space="preserve">We have in the past experienced threats and security incidents related to our data and systems, and we may in the future experience additional threats, compromises, breaches or incidents. If we, or a third party upon whom we rely, experience a cyber-attack, security breach, compromise, or other incident, or are perceived to have experienced a cyber-attack, security breach, compromise, or other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individual and group claims); indemnification obligations; negative publicity; reputational harm; monetary fund diversions; interruptions in our operations (including availability of data);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Further, applicable privacy and data security obligations may require us to notify relevant stakeholders of a cyber-attack, security breach, compromise, or other incident.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experience a cyber-attack, security breach, compromise, or other incident that causes interruptions in our operations, it could result in a material disruption of our product development programs.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use of new and evolving technologies, such as artificial intelligence (AI) and machine learning (ML), in our operations, and the operations of third parties upon which we rely, may result in spending additional resources and present new risks and challenges that can impact our business including by posing security and other risks to our sensitive data, and as a result we may be exposed to reputational harm, other adverse consequences, and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use of new and evolving technologies, such as AI/ML, in our operations, and the operations of third parties upon which we rely presents new risks and challenges that could negatively impact our business. The use of certain AI/ML technologies can give rise to intellectual property risks, including compromises to proprietary intellectual property and intellectual property infringement. Additionally, several jurisdictions around the globe, including Europe and certain U.S. states, have proposed, enacted, or are considering, laws governing the development and use of AI/ML, such as the European Unions AI Act.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Federal Trade Commission has required other companies to turn over (or disgorge) valuable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insights or trainings generated through the use of AI/ML where they allege the company has violated privacy and consumer protection laws. If we cannot use AI/ML or that use is restricted, our business may be less efficient, or we may be at a competitive disadvantage. </w:t>
      </w:r>
    </w:p>
    <w:p>
      <w:pPr>
        <w:pStyle w:val="TextBody"/>
        <w:bidi w:val="0"/>
        <w:spacing w:before="240" w:after="0"/>
        <w:jc w:val="left"/>
        <w:rPr>
          <w:rFonts w:ascii="Times New Roman" w:hAnsi="Times New Roman"/>
          <w:sz w:val="20"/>
        </w:rPr>
      </w:pPr>
      <w:r>
        <w:rPr>
          <w:rFonts w:ascii="Times New Roman" w:hAnsi="Times New Roman"/>
          <w:sz w:val="20"/>
        </w:rPr>
        <w:t xml:space="preserve">The rapid evolution of AI/ML will require the application of significant resources to design, develop, test and maintain our products and services to help ensure that AI/ML is implemented in accordance with applicable law and regulation and in a socially responsible manner and to minimize any real or perceived unintended harmful impacts. Our vendors may in turn incorporate AI/ML tools into their own offerings, and the providers of these AI/ML tools may not meet existing or rapidly evolving regulatory or industry standards, including with respect to privacy and data security. Further, bad actors around the world use increasingly sophisticated methods, including the use of AI/ML, to engage in illegal activities involving the theft and misuse of sensitive data. Any of these effects could damage our reputation, result in the loss of valuable property and information, cause us to breach applicable laws and regulations, and adversely impact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and Development of Our Current or Future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EMA, and other comparable regulatory authorities are lengthy, time-consuming and inherently unpredictable, and if we are ultimately unable to obtain regulatory approval for our product candidates, our business will be substantially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are not permitted to commercialize, market, promote or sell any product candidate in the United States without obtaining regulatory approval from the FDA. Foreign regulatory authorities, such as the EMA, impose similar requirements. The time required to obtain approval by the FDA, EMA,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obtain these approvals. </w:t>
      </w:r>
    </w:p>
    <w:p>
      <w:pPr>
        <w:pStyle w:val="TextBody"/>
        <w:bidi w:val="0"/>
        <w:spacing w:before="240" w:after="0"/>
        <w:jc w:val="left"/>
        <w:rPr>
          <w:rFonts w:ascii="Times New Roman" w:hAnsi="Times New Roman"/>
          <w:sz w:val="20"/>
        </w:rPr>
      </w:pPr>
      <w:r>
        <w:rPr>
          <w:rFonts w:ascii="Times New Roman" w:hAnsi="Times New Roman"/>
          <w:sz w:val="20"/>
        </w:rPr>
        <w:t xml:space="preserve">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EMA,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current and future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other comparable regulatory authorities may disagree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EMA, or other comparable regulatory authorities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EMA, or other comparable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other comparable regulatory authorities may disagree with our interpretation of data from clinical trials or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an NDA to the FDA or other submission or to obtain regulatory approval in the United States, the European Union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other comparable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EMA, or other comparable regulatory authorities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clinical trial results may result in our failing to obtain regulatory approval to market any product candidate we develop, which would substantially harm our business, results of operations and prospects. The FDA, EMA,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EMA, or other comparable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FDA, EMA or comparable regulatory authorities may disagree with our regulatory plan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EMA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we may seek FDA regulatory flexibility and pursue marketing approval based on data from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adequate and well-controlled clinical investigation. However, the FDA may be unwilling to apply regulatory flexibility and our clinical trial results may not support approval of our product candidates. In addition, our product candidates could fail to receive regulatory approval, or regulatory approval could be delayed,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comparable regulatory authorities may not file or accept our NDA or marketing application for substantive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comparable regulatory authorities may disagree with the dosing regimen,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comparable regulatory authorities may determine there is not substantial evidence of effectiveness to support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EMA, or comparable regulatory authorities that our product candidates are safe and effective for any of their proposed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clinical trials may not meet the level of statistical significance required by the FDA, EMA, or comparable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our product candidates clinical and other benefits outweigh their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comparable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the satisfaction of the FDA, EMA, or comparable regulatory authorities to support the submission of an NDA or other comparable submission in foreign jurisdictions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or comparable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EMA, or comparable regulatory authorities may significantly change in a manner rendering our clinical data insufficient for approval.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We are dependent on a third party having accurately generated, collected, interpreted and reported data from certain preclinical studies and clinical trials that were previously conducted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our product candidates were initially developed by Janssen, which we in-licensed pursuant to the Janssen License shortly after our formation. We entered into this license on the basis of our interpretation of the medical and scientific meaningfulness of Janssens initial data. Therefore, we are dependent on Janssen having designed certain preclinical studies and clinical trials; conducted its research and development in accordance with the applicable protocols, legal and regulatory requirements, and scientific standards; having accurately reported the results of all preclinical studies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 and the earlier-reported results may not support data that we generate in our own preclinical or clinical work with those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rely on preclinical data using earlier generation TARPy8 NAMs and third-party published data with other TARPy8 NAMs for support of RAP-219. While we believe it is an accepted scientific practice to reference preclinical data generated using other molecules of the same class, it is possible that similar studies with RAP-219 would not have generated entirely consistent results and, as such, the studies performed with other molecules of the same class may not be reflective of the therapeutic potential of RAP-219.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clinical trials fail to replicate positive results from earlier preclinical studies or clinical trials conducted by us or third parties, we may be unable to successfully develop, obtain regulatory approval for or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preclinical animal models of epilepsy or pain may not translate to similar results in patients, and results from our upcoming Phase 2a proof-of-concept trial in focal epilepsy may not translate to clinical seizures. Furthermore, our product candidates may not be able to demonstrate similar activity or adverse event profiles as other product candidates that we believe may have similar profiles.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our planned future clinical trials, we may utilize clinical trial designs or dosing regimens that have not been tested in prior clinical trials. For instance, our upcoming Phase 2a proof-of-concept trial in focal epilepsy utilizes a novel study design due to the biomarker-based primary endpoint, intracranial electroencephalography (iEEG) data. Specifically, iEEG data will be recorded by an implanted responsive neurostimulation (RNS) system, which includes an electrode that monitors intracranial brain waves and detects the magnitude, duration and frequency of electrographic activity associated with clinical seizures. We are not aware of any other trials that have used iEEG data as a primary endpoint and have not engaged and do not plan to engage with the FDA on the use of this endpoint in our Phase 2a proof-of-concept trial, as this trial will not be used as a registrational trial. Accordingly, the FDA, EMA, or other comparable regulatory authorities may have questions around the interpretability of this data, and iEEG data may not be translatable to a clinical seizure endpoint in future registrational trials.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effects or AEs.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utilize an open-label clinical trial design. An open-label clinical trial is one where both the patient and investigator know whether the patient is receiving the investigational product candidate or either an existing approved drug or placebo. Our upcoming Phase 2a proof-of-concept study in focal epilepsy will be an open label study.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 </w:t>
      </w:r>
    </w:p>
    <w:p>
      <w:pPr>
        <w:pStyle w:val="TextBody"/>
        <w:bidi w:val="0"/>
        <w:spacing w:before="240" w:after="0"/>
        <w:jc w:val="left"/>
        <w:rPr>
          <w:rFonts w:ascii="Times New Roman" w:hAnsi="Times New Roman"/>
          <w:sz w:val="20"/>
        </w:rPr>
      </w:pPr>
      <w:r>
        <w:rPr>
          <w:rFonts w:ascii="Times New Roman" w:hAnsi="Times New Roman"/>
          <w:sz w:val="20"/>
        </w:rPr>
        <w:t xml:space="preserve">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incur unexpected costs or experience delays in completing, or ultimately be unable to complete, the development and commercialization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institutional review boards (IRBs) or other reviewing bodies may not authorize us or our investigators to commence a clinical trial, or to conduct or continue a clinical trial at a prospective or specific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reach agreement on acceptable terms with prospective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challenges or delays in recruiting principal investigators or study sites to lead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third-party contractors, including those manufacturing our product candidates or conducting clinical trials on our behalf, may fail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to amend clinical trial protocols submitted to regulatory authorities or conduct additional studies to reflect changes in regulatory requirements or guidance, which may be required to resubmit to an IRB and regulatory authorities for re-examination;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approval policies or regulations of the FDA, EMA, or other comparable regulatory authorities to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EMA,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product candidates may cause undesirable side effects or have other properties that could delay or prevent their regulatory approval, limit the commercial profile of an approved label, or result in significant negative consequences following regulatory approval, if obtained. </w:t>
      </w:r>
    </w:p>
    <w:p>
      <w:pPr>
        <w:pStyle w:val="TextBody"/>
        <w:bidi w:val="0"/>
        <w:spacing w:before="240" w:after="0"/>
        <w:jc w:val="left"/>
        <w:rPr>
          <w:rFonts w:ascii="Times New Roman" w:hAnsi="Times New Roman"/>
          <w:sz w:val="20"/>
        </w:rPr>
      </w:pPr>
      <w:r>
        <w:rPr>
          <w:rFonts w:ascii="Times New Roman" w:hAnsi="Times New Roman"/>
          <w:sz w:val="20"/>
        </w:rPr>
        <w:t xml:space="preserve">Undesirable side effects caused by any of our product candidates could cause us or regulatory authorities to interrupt, delay or halt clinical trials and could result in a more restrictive label, the inclusion of a Risk Evaluation and Mitigation Strategy, or the delay or denial of regulatory approval by the FDA, EMA, or other comparable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We may observe safety or tolerability issues beyond those we anticipate with our product candidates in ongoing or future clinical trials. For example, while no Grade 3 or higher AEs have been observed, to date, RAP-219 has only been tested in healthy volunteers and has not yet been tested in patients, so it is possible that such events may occur in our ongoing RAP-219 clinical program or in our clinical programs for other product candidates. Additionally, it is possible that human subjects with focal epilepsy may experience greater side effects in our clinical program for RAP-219 than observed in healthy volunteers. We continue to learn more about our product candidates, and unfavorable pharmacology profiles, including extended half-lives, could lead to adverse outcomes or concerns by the FDA, EMA, or other comparable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 </w:t>
      </w:r>
    </w:p>
    <w:p>
      <w:pPr>
        <w:pStyle w:val="TextBody"/>
        <w:bidi w:val="0"/>
        <w:spacing w:before="240" w:after="0"/>
        <w:jc w:val="left"/>
        <w:rPr>
          <w:rFonts w:ascii="Times New Roman" w:hAnsi="Times New Roman"/>
          <w:sz w:val="20"/>
        </w:rPr>
      </w:pPr>
      <w:r>
        <w:rPr>
          <w:rFonts w:ascii="Times New Roman" w:hAnsi="Times New Roman"/>
          <w:sz w:val="20"/>
        </w:rPr>
        <w:t xml:space="preserve">If unacceptable side effects arise in the development of our product candidates, we, the FDA, EMA,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EMA,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we complete the necessary preclinical studies and clinical trials, the marketing approval process is expensive, time-consuming and uncertain and may prevent us from obtaining approvals for the commercialization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the EMA and other comparable regulatory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obtaining approval or if we fail to obtain approval of any product candidates we may develop, the commercial prospects for those product candidates may be harmed, and our ability to generate revenues will be materially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becomes available and are subject to audit and verification procedures that could result in material changes in the final data.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do not achieve our projected development and commercialization goals in the timeframes we announce and expect, the development and commercialization of our product candidates may be delayed, and our business and results of operations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available capital resources or capital constraints we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progress, costs and results of our clinical trials and research and development activities, including the extent of scheduling conflicts with participating clinicians and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enroll patients who meet clinical trial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receipt of approvals by the FDA, EMA, and other comparable regulatory authorities and the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actions, decisions or rules issued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sufficient, reliable and affordable supplies of materials used to manufacture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efforts of our collaborators with respect to the commercialization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securing of, costs related to, and timing issues associated with, product manufacturing as well as sales and marketing activities.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achieve announced milestones in the timeframes we expect, the development and commercialization of our product candidates may be delayed, and our business and results of operations may be harmed.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concentrated our research and development efforts on the treatment of disorders of the brain and nervous system, a field that faces certain challenges in drug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have focused our research and development efforts on addressing disorders of the brain and nervous system. Efforts by pharmaceutical companies in this field have faced certain challenges in drug development. In particular, many neurological disorders, such as focal epilepsy, neuropathic pain and bipolar disorder, rely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subjective patient-reported outcomes as key endpoints. This makes them more difficult to evaluate than indications with more objective endpoints. For example, in our Phase 2a proof-of-concept trial, we plan to use change in clinical seizure frequency (measured by patient-recorded paper diaries) as a secondary endpoint. Furthermore, these indications are often subject to a placebo effect, which may make it more challenging to isolate the effects of our product candidates. There can be no guarantee that we will successfully overcome these challenges with RAP-219, even with the use of the RNS system from NeuroPace Inc. (NeuroPace) for primary and secondary endpoints in our Phase 2a proof-of-concept trial in focal epilepsy, or our other product candidates or that we will not encounter other challenges in the development of our product candidates. Moreover, given the history of clinical failures in this field, future clinical or regulatory failures by us or others may have result in further negative perception of the likelihood of success in this field, which may significantly and adversely affect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additional risks because we intend to evaluate our product candidates in combination with the standard of care for the indications that we are pursuing.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evaluate our product candidates in combination with other compounds, specifically the standard of care for the indications that we are pursuing. The use of our product candidates in combination with such other compounds may subject us to risks that we would not face if our product candidates were being administered as a monotherapy. The outcome and cost of developing a product candidate to be used with other compounds is difficult to predict and dependent on a number of factors that are outside our control. If we experience efficacy or safety issues in our clinical trials in which our product candidates are being administered with other compounds, we may not receive regulatory approval for our product candidates, which could prevent us from ever generating revenue or achieving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encounter difficulties enrolling patients in our clinical trials, our clinical development activities could be delayed or otherwise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is affected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that enroll in our clinical trials may misrepresent their eligibility or may otherwise not comply with the clinical trial protocol, resulting in the need to drop such patients from the clinical trial, increase the needed enrollment size for the clinical trial or extend the clinical trials duration;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new indications for existing therapies or approval of new therapies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and clinicians and patients perceptions as to the potential advantages and risks of the product candidate being studied in relation to other available therapies, including any new drugs that may be approved for the indications that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patient consents;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our clinical trials will drop out of the trials before completion.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experience challenges in recruiting principal investigators and patients to participate in ongoing and future clinical trials for such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CNS disorders such as bipolar disorder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 </w:t>
      </w:r>
    </w:p>
    <w:p>
      <w:pPr>
        <w:pStyle w:val="TextBody"/>
        <w:bidi w:val="0"/>
        <w:spacing w:before="240" w:after="0"/>
        <w:jc w:val="left"/>
        <w:rPr>
          <w:rFonts w:ascii="Times New Roman" w:hAnsi="Times New Roman"/>
          <w:sz w:val="20"/>
        </w:rPr>
      </w:pPr>
      <w:r>
        <w:rPr>
          <w:rFonts w:ascii="Times New Roman" w:hAnsi="Times New Roman"/>
          <w:sz w:val="20"/>
        </w:rPr>
        <w:t xml:space="preserve">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 </w:t>
      </w:r>
    </w:p>
    <w:p>
      <w:pPr>
        <w:pStyle w:val="TextBody"/>
        <w:bidi w:val="0"/>
        <w:spacing w:before="240" w:after="0"/>
        <w:jc w:val="left"/>
        <w:rPr>
          <w:rFonts w:ascii="Times New Roman" w:hAnsi="Times New Roman"/>
          <w:sz w:val="20"/>
        </w:rPr>
      </w:pPr>
      <w:r>
        <w:rPr>
          <w:rFonts w:ascii="Times New Roman" w:hAnsi="Times New Roman"/>
          <w:sz w:val="20"/>
        </w:rPr>
        <w:t xml:space="preserve">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of the product;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advantages of the product compared to competitive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product is designated under physician treatment guidelines as a first-, second- or third-line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or the ability of any future collaborators, to offer the product for sale at competitive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products convenience and ease of administration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and of physicians to prescribe,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products acceptance into standard of care treatment algorithms by medical societies that could limit payor and physician uptake;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including distribution or use restrictions contained in the products approved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sales, marketing and distribution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standard of care for the targeted indications for the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adequacy of coverage and reimbursement from government payors, managed care plans and other third-party payors.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failure by one or more of our product candidates that obtains regulatory approval to achieve market acceptance or commercial success would adversely affect our business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discover, develop and commercialize other product candidates, we may be unable to grow our business and our ability to achieve our strategic objectives would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Although the development and commercialization of our current product candidates are our initial focus, as part of our longer-term growth strategy, we plan to develop other product candidates. In addition to the product candidates in our clinical-stage pipeline, we have in-licensed additional assets that are in earlier stages of development.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EMA,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intend to devote substantial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research methodology used may not be successful in identifying potential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competitors may develop alternatives that render our product candidates obsolete;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that we develop may nevertheless be covered by third parties patents or other exclusive rights;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accepted as safe and effective by patients, the medical community or third-party payors.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future acquisitions may entail numerous operational and financial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of our business and diversion of managements time and attention to develop acquired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dilutive issuances of securities or depletion of cash to pay for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and integration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in combining the operations and personnel of any acquired businesses with our operations and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of relationships with key suppliers or customers of any acquired businesses due to changes in management and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motivate key employees of any acquired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unsuccessful in identifying and developing additional product candidates, either through internal development or licensing or acquisition from third parties, our potential for growth and achieving our strategic objectives may be impaired.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pipeline includes product candidates for a variety of neuroscience diseases.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focal epilepsy, neuropathic pain and bipolar disorder,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clinical and commercial landscapes for the treatment of neuroscience diseases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0"/>
        <w:jc w:val="left"/>
        <w:rPr>
          <w:rFonts w:ascii="Times New Roman" w:hAnsi="Times New Roman"/>
          <w:sz w:val="20"/>
        </w:rPr>
      </w:pPr>
      <w:r>
        <w:rPr>
          <w:rFonts w:ascii="Times New Roman" w:hAnsi="Times New Roman"/>
          <w:sz w:val="20"/>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w:t>
      </w:r>
      <w:r>
        <w:rPr>
          <w:rFonts w:ascii="Times New Roman" w:hAnsi="Times New Roman"/>
          <w:i/>
          <w:sz w:val="20"/>
        </w:rPr>
        <w:t>BusinessCompetition</w:t>
      </w:r>
      <w:r>
        <w:rPr>
          <w:rFonts w:ascii="Times New Roman" w:hAnsi="Times New Roman"/>
          <w:sz w:val="20"/>
        </w:rPr>
        <w:t xml:space="preserve"> included elsewhere in this prospectus for examples of the competition that our product candidates face. </w:t>
      </w:r>
    </w:p>
    <w:p>
      <w:pPr>
        <w:pStyle w:val="TextBody"/>
        <w:bidi w:val="0"/>
        <w:spacing w:before="240" w:after="0"/>
        <w:jc w:val="left"/>
        <w:rPr>
          <w:rFonts w:ascii="Times New Roman" w:hAnsi="Times New Roman"/>
          <w:sz w:val="20"/>
        </w:rPr>
      </w:pPr>
      <w:r>
        <w:rPr>
          <w:rFonts w:ascii="Times New Roman" w:hAnsi="Times New Roman"/>
          <w:sz w:val="20"/>
        </w:rPr>
        <w:t xml:space="preserve">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competitors may succeed in developing, acquiring or licensing technologies and drug products that are more effective or less costly than our product candidates, which could render our product candidates obsolete and noncompetitive. </w:t>
      </w:r>
    </w:p>
    <w:p>
      <w:pPr>
        <w:pStyle w:val="TextBody"/>
        <w:bidi w:val="0"/>
        <w:spacing w:before="240" w:after="0"/>
        <w:jc w:val="left"/>
        <w:rPr>
          <w:rFonts w:ascii="Times New Roman" w:hAnsi="Times New Roman"/>
          <w:sz w:val="20"/>
        </w:rPr>
      </w:pPr>
      <w:r>
        <w:rPr>
          <w:rFonts w:ascii="Times New Roman" w:hAnsi="Times New Roman"/>
          <w:sz w:val="20"/>
        </w:rPr>
        <w:t xml:space="preserve">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unable to develop our sales, marketing and distribution capability on our own or through collaborations with marketing partners, we will not be successful in commercializing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inhibit our efforts to commercialize our product candidates on our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and retain adequate numbers of effective sales and marketing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our failure to educate an adequate number of physicians on the benefits of any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 </w:t>
      </w:r>
    </w:p>
    <w:p>
      <w:pPr>
        <w:pStyle w:val="TextBody"/>
        <w:bidi w:val="0"/>
        <w:spacing w:before="240" w:after="0"/>
        <w:jc w:val="left"/>
        <w:rPr>
          <w:rFonts w:ascii="Times New Roman" w:hAnsi="Times New Roman"/>
          <w:sz w:val="20"/>
        </w:rPr>
      </w:pPr>
      <w:r>
        <w:rPr>
          <w:rFonts w:ascii="Times New Roman" w:hAnsi="Times New Roman"/>
          <w:sz w:val="20"/>
        </w:rPr>
        <w:t xml:space="preserve">If we do not establish sales and marketing capabilities successfully, either on our own or in collaboration with third parties, we will not be successful in commercializing our product candidates.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expect to expand our organization, and as a result, we may encounter difficulties in managing our growth, which could disrupt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ability to develop product candidates, leverage our RAP technology platform and our future growth depends on attracting, hiring and retaining our key personnel and recruiting additional qualified personnel.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brain diseases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Chief Scientific Officer, neuropharmacologists and neuroscientists, would delay our research and development activities. We currently do not have key person insurance on any of our employees.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clinical operations and research and development programs depend on our ability to attract and retain highly skilled scientists, data scientists, and engineers, particularly in Massachusetts and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Our Dependence on Third Parties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plan to continue to rely on third parties, such as CROs, clinical data management organizations, medical institutions and clinical investigators, to conduct our clinical trials and expect to rely on these third parties to conduct clinical trials of any other product candidate that we develop. Our ability to complete clinical trials in a timely fashion depends on a number of key factors. These factors include protocol design, regulatory and IRB approval,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third parties conducting clinical trials on our behalf are not our employees, and except for remedies available to us under our agreements with such contractors, we cannot control whether or not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rely on other third parties to collect, report and analyze data for our clinical trials. For example, our Phase 2a clinical trial will evaluate RAP-219 in adult patients with drug-resistant focal epilepsy who have been implanted with the RNS system from NeuroPace. NeuroPace will assist us with clinical trial readiness, including identifying patients for enrollment in our trial, as well as services for the collection, reporting and analysis of patient data collected from the implanted RNS systems throughout the Phase 2a clinical trial. If NeuroPace does not successfully carry out its contractual obligations for any reason, meet expected deadlines, conduct our Phase 2a clinical trial in accordance with applicable law, including regulatory and data privacy requirements, or encounters issues with its RNS system, including issues that raise questions of safety, effectiveness or data integrity, or we are otherwise unable to maintain our relationship with NeuroPace, we would have to redesign and conduct a new clinical trial to evaluate RAP-219 in patients with drug-resistant focal epilepsy and our business, financial condition and prospects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use of third parties to manufacture our product candidates, including those located outside of the United States in jurisdictions such as China, may increase the risk that we will not have sufficient quantities of our product candidates, raw materials, active pharmaceutical ingredients (APIs) or drug products when needed or at an acceptable cost. </w:t>
      </w:r>
    </w:p>
    <w:p>
      <w:pPr>
        <w:pStyle w:val="TextBody"/>
        <w:bidi w:val="0"/>
        <w:spacing w:before="240" w:after="0"/>
        <w:jc w:val="left"/>
        <w:rPr>
          <w:rFonts w:ascii="Times New Roman" w:hAnsi="Times New Roman"/>
          <w:sz w:val="20"/>
        </w:rPr>
      </w:pPr>
      <w:r>
        <w:rPr>
          <w:rFonts w:ascii="Times New Roman" w:hAnsi="Times New Roman"/>
          <w:sz w:val="20"/>
        </w:rPr>
        <w:t xml:space="preserve">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 such as China. </w:t>
      </w:r>
    </w:p>
    <w:p>
      <w:pPr>
        <w:pStyle w:val="TextBody"/>
        <w:bidi w:val="0"/>
        <w:spacing w:before="240" w:after="0"/>
        <w:jc w:val="left"/>
        <w:rPr>
          <w:rFonts w:ascii="Times New Roman" w:hAnsi="Times New Roman"/>
          <w:sz w:val="20"/>
        </w:rPr>
      </w:pPr>
      <w:r>
        <w:rPr>
          <w:rFonts w:ascii="Times New Roman" w:hAnsi="Times New Roman"/>
          <w:sz w:val="20"/>
        </w:rPr>
        <w:t xml:space="preserve">We currently rely on and engage third-party manufacturers to provide all of the API and the final drug product formulation of all of our product candidates that are being used in our clinical trials and preclinical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240" w:after="0"/>
        <w:jc w:val="left"/>
        <w:rPr>
          <w:rFonts w:ascii="Times New Roman" w:hAnsi="Times New Roman"/>
          <w:sz w:val="20"/>
        </w:rPr>
      </w:pPr>
      <w:r>
        <w:rPr>
          <w:rFonts w:ascii="Times New Roman" w:hAnsi="Times New Roman"/>
          <w:sz w:val="20"/>
        </w:rPr>
        <w:t xml:space="preserve">Many of the third-party manufacturers we rely on have only recently begun working with us and have limited or no experience manufacturing our API and final drug products. If our manufacturers have difficulty or suffer delays in successfully manufacturing material that meets our specifications, it may limit supply of our product candidates and could delay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Even if we are able to establish and maintain arrangements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third-party manufacturer to comply with applicable regulatory requirements and reliance on third parties for manufacturing process development, regulatory compliance and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delays if our third-party manufacturers give greater priority to the supply of other products over our product candidates or otherwise do not satisfactorily perform according to the terms of the agreement between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supply availability resulting from capacity and scheduling constraints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third-party manufacturer to produce materials with acceptable quality on a larger scale;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breach of manufacturing agreements by third parties because of factors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termination or non-renewal of the manufacturing agreements by the third party, at a time that is costly or inconvenient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misappropriation of our proprietary information, including our trade secrets and know-how.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EMA, and other comparable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need to verify, such as through a manufacturing comparability study, that any new manufacturing process will produce our product candidate according to the specifications previously submitted to the FDA, EMA,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Some of our manufacturers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In particular, certain Chinese biotechnology companies and CMOs may become subject to trade restrictions, sanctions, and other regulatory requirements by the U.S. government, which could restrict or even prohibit our ability to work with such entities, thereby potentially disrupting our supplies and manufacturing.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We do not control the manufacturing process of, and are completely dependent on, our contract manufacturing partners for compliance with cGMPs. If our contract manufacturers cannot successfully manufacture material that conforms to our specifications and the strict regulatory requirements of the FDA, EMA, or other comparable regulatory authorities,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with cGMP requirements or other FDA, EMA and comparable foreign regulatory requirements could adversely affect our clinical research activities and our ability to develop our product candidates and market our products, if approved. </w:t>
      </w:r>
    </w:p>
    <w:p>
      <w:pPr>
        <w:pStyle w:val="TextBody"/>
        <w:bidi w:val="0"/>
        <w:spacing w:before="240" w:after="0"/>
        <w:jc w:val="left"/>
        <w:rPr>
          <w:rFonts w:ascii="Times New Roman" w:hAnsi="Times New Roman"/>
          <w:sz w:val="20"/>
        </w:rPr>
      </w:pPr>
      <w:r>
        <w:rPr>
          <w:rFonts w:ascii="Times New Roman" w:hAnsi="Times New Roman"/>
          <w:sz w:val="20"/>
        </w:rPr>
        <w:t xml:space="preserve">The FDA, EMA, or other comparable regulatory authorities require manufacturers to register manufacturing facilities, and also inspect these facilities to confirm compliance with cGMPs. </w:t>
      </w:r>
    </w:p>
    <w:p>
      <w:pPr>
        <w:pStyle w:val="TextBody"/>
        <w:bidi w:val="0"/>
        <w:spacing w:before="240" w:after="0"/>
        <w:jc w:val="left"/>
        <w:rPr>
          <w:rFonts w:ascii="Times New Roman" w:hAnsi="Times New Roman"/>
          <w:sz w:val="20"/>
        </w:rPr>
      </w:pPr>
      <w:r>
        <w:rPr>
          <w:rFonts w:ascii="Times New Roman" w:hAnsi="Times New Roman"/>
          <w:sz w:val="20"/>
        </w:rPr>
        <w:t xml:space="preserve">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EMA, and other comparable regulatory requirements could adversely affect our clinical research activities and our ability to develop our product candidates and market our products following approval, if obtained. </w:t>
      </w:r>
    </w:p>
    <w:p>
      <w:pPr>
        <w:pStyle w:val="TextBody"/>
        <w:bidi w:val="0"/>
        <w:spacing w:before="240" w:after="0"/>
        <w:jc w:val="left"/>
        <w:rPr>
          <w:rFonts w:ascii="Times New Roman" w:hAnsi="Times New Roman"/>
          <w:sz w:val="20"/>
        </w:rPr>
      </w:pPr>
      <w:r>
        <w:rPr>
          <w:rFonts w:ascii="Times New Roman" w:hAnsi="Times New Roman"/>
          <w:sz w:val="20"/>
        </w:rPr>
        <w:t xml:space="preserve">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seek to establish collaborations and, if we are not able to establish them on commercially reasonable terms, we may have to alter our development and commercialization plans. </w:t>
      </w:r>
    </w:p>
    <w:p>
      <w:pPr>
        <w:pStyle w:val="TextBody"/>
        <w:bidi w:val="0"/>
        <w:spacing w:before="240" w:after="0"/>
        <w:jc w:val="left"/>
        <w:rPr>
          <w:rFonts w:ascii="Times New Roman" w:hAnsi="Times New Roman"/>
          <w:sz w:val="20"/>
        </w:rPr>
      </w:pPr>
      <w:r>
        <w:rPr>
          <w:rFonts w:ascii="Times New Roman" w:hAnsi="Times New Roman"/>
          <w:sz w:val="20"/>
        </w:rPr>
        <w:t xml:space="preserve">We plan to opportunistically pursue strategic partnerships, as the advancement of our product candidates and development programs and the potential commercialization of our current and future product candidates will require substantial additional cash to fund expenses. If we believe that partnerships can accelerate the development or maximize the market potential of our product candidates, we will consider entering into product, target and/or geographic specific strategic partnerships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EMA,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Partnerships and collaborations are each complex and time-consuming to negotiate and document. Further, there have been a significant number of recent business combinations among large pharmaceutical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 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enter into collaborations with third parties for the development and commercialization of our product candidates, our prospects with respect to those product candidates will depend in significant part on the success of those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involving our product candidates pose a number of risks,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to these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one or more products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including trade secrets and intellectual property rights, contract interpretation, or the preferred course of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and, if terminated, may result in a need for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any third-party manufacturer of our product candidates is unable to increase the scale of its production of our product candidates or increase the product yield of its manufacturing, then our manufacturing costs may increase and commercialization may be delayed.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240" w:after="0"/>
        <w:jc w:val="left"/>
        <w:rPr>
          <w:rFonts w:ascii="Times New Roman" w:hAnsi="Times New Roman"/>
          <w:sz w:val="20"/>
        </w:rPr>
      </w:pPr>
      <w:r>
        <w:rPr>
          <w:rFonts w:ascii="Times New Roman" w:hAnsi="Times New Roman"/>
          <w:sz w:val="20"/>
        </w:rPr>
        <w:t xml:space="preserve">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while a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0"/>
        <w:jc w:val="left"/>
        <w:rPr>
          <w:rFonts w:ascii="Times New Roman" w:hAnsi="Times New Roman"/>
          <w:sz w:val="20"/>
        </w:rPr>
      </w:pPr>
      <w:r>
        <w:rPr>
          <w:rFonts w:ascii="Times New Roman" w:hAnsi="Times New Roman"/>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EMA and other comparable regulatory authority requirements, including ensuring that quality control and manufacturing procedures conform to cGMP regulations and applicable product tracking and tracing requirements.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risk evaluation and mitigation strategies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or other comparable regulatory authority approves our product candidates, we will have to comply with requirements including submissions of safety and other post-marketing information and reports 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withdrawal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under the Food and Drug Omnibus Reform Act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strictly regulates marketing, labeling, advertising and promotion of products that are placed on the market. Products may be promoted only for the approved indications and in accordance with the provisions of the approved label. The policies of the FDA, EMA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While we may in the future seek designations for our product candidates with the FDA, EMA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EMA,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 </w:t>
      </w:r>
    </w:p>
    <w:p>
      <w:pPr>
        <w:pStyle w:val="TextBody"/>
        <w:bidi w:val="0"/>
        <w:spacing w:before="240" w:after="0"/>
        <w:jc w:val="left"/>
        <w:rPr>
          <w:rFonts w:ascii="Times New Roman" w:hAnsi="Times New Roman"/>
          <w:sz w:val="20"/>
        </w:rPr>
      </w:pPr>
      <w:r>
        <w:rPr>
          <w:rFonts w:ascii="Times New Roman" w:hAnsi="Times New Roman"/>
          <w:sz w:val="20"/>
        </w:rPr>
        <w:t xml:space="preserve">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 </w:t>
      </w:r>
    </w:p>
    <w:p>
      <w:pPr>
        <w:pStyle w:val="TextBody"/>
        <w:bidi w:val="0"/>
        <w:spacing w:before="240" w:after="0"/>
        <w:jc w:val="left"/>
        <w:rPr>
          <w:rFonts w:ascii="Times New Roman" w:hAnsi="Times New Roman"/>
          <w:sz w:val="20"/>
        </w:rPr>
      </w:pPr>
      <w:r>
        <w:rPr>
          <w:rFonts w:ascii="Times New Roman" w:hAnsi="Times New Roman"/>
          <w:sz w:val="20"/>
        </w:rPr>
        <w:t xml:space="preserve">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 </w:t>
      </w:r>
    </w:p>
    <w:p>
      <w:pPr>
        <w:pStyle w:val="TextBody"/>
        <w:bidi w:val="0"/>
        <w:spacing w:before="240" w:after="0"/>
        <w:jc w:val="left"/>
        <w:rPr>
          <w:rFonts w:ascii="Times New Roman" w:hAnsi="Times New Roman"/>
          <w:b/>
          <w:i/>
          <w:sz w:val="20"/>
        </w:rPr>
      </w:pPr>
      <w:r>
        <w:rPr>
          <w:rFonts w:ascii="Times New Roman" w:hAnsi="Times New Roman"/>
          <w:b/>
          <w:i/>
          <w:sz w:val="20"/>
        </w:rPr>
        <w:t xml:space="preserve">Where appropriate, we may secure approval from the FDA, EMA or other comparable regulatory authorities through the use of expedited approval pathways, such as accelerated approval.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EMA, or other comparable regulatory authorities, if our confirmatory trials do not verify clinical benefit, or if we do not comply with rigorous post-marketing requirements, the FDA, EMA, or such other regulatory authorities may seek to withdraw the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Where possible, we plan to pursue accelerated development strategies in areas of high unmet need. We may seek an accelerated approval pathway for our one or more of our therapeutic candidates from the FDA, EMA,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 </w:t>
      </w:r>
    </w:p>
    <w:p>
      <w:pPr>
        <w:pStyle w:val="TextBody"/>
        <w:bidi w:val="0"/>
        <w:spacing w:before="240" w:after="0"/>
        <w:jc w:val="left"/>
        <w:rPr>
          <w:rFonts w:ascii="Times New Roman" w:hAnsi="Times New Roman"/>
          <w:sz w:val="20"/>
        </w:rPr>
      </w:pPr>
      <w:r>
        <w:rPr>
          <w:rFonts w:ascii="Times New Roman" w:hAnsi="Times New Roman"/>
          <w:sz w:val="20"/>
        </w:rPr>
        <w:t xml:space="preserve">Prior to seeking accelerated approval, we would seek feedback from the FDA, EMA, or other comparable regulatory authorities and would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p>
      <w:pPr>
        <w:pStyle w:val="TextBody"/>
        <w:bidi w:val="0"/>
        <w:spacing w:before="240" w:after="0"/>
        <w:jc w:val="left"/>
        <w:rPr>
          <w:rFonts w:ascii="Times New Roman" w:hAnsi="Times New Roman"/>
          <w:sz w:val="20"/>
        </w:rPr>
      </w:pPr>
      <w:r>
        <w:rPr>
          <w:rFonts w:ascii="Times New Roman" w:hAnsi="Times New Roman"/>
          <w:sz w:val="20"/>
        </w:rPr>
        <w:t>It is possible that governmental and enforcement authorities will conclude that our business practices may not comply with current or future statutes, regulations or case law interpreting applicable fraud and abuse or other healthcare laws and regulations. These laws include anti-kickback statutes, false claims statutes, data privacy and security laws, as well as transparency laws regarding payments or other items of value provided to healthcare providers. 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federal and state healthcare laws and regulations that may affect our ability to operate may apply. For more information on healthcare laws and regulations that may impact our company, see the section titled </w:t>
      </w:r>
      <w:r>
        <w:rPr>
          <w:rFonts w:ascii="Times New Roman" w:hAnsi="Times New Roman"/>
          <w:i/>
          <w:sz w:val="20"/>
        </w:rPr>
        <w:t>BusinessGovernment RegulationOther Healthcare Laws</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healthcare industry. Ensuring business arrangements comply with applicable healthcare and privacy laws, as well as responding to possible investigations by government authorities, can be time and resource-consuming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Coverage and reimbursement may be limited or unavailable in certain market segments for our product candidates, if approved, which could make it difficult for us to sell any product candidates profitably. </w:t>
      </w:r>
    </w:p>
    <w:p>
      <w:pPr>
        <w:pStyle w:val="TextBody"/>
        <w:bidi w:val="0"/>
        <w:spacing w:before="240" w:after="0"/>
        <w:jc w:val="left"/>
        <w:rPr>
          <w:rFonts w:ascii="Times New Roman" w:hAnsi="Times New Roman"/>
          <w:sz w:val="20"/>
        </w:rPr>
      </w:pPr>
      <w:r>
        <w:rPr>
          <w:rFonts w:ascii="Times New Roman" w:hAnsi="Times New Roman"/>
          <w:sz w:val="20"/>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 For more information on the laws and regulations that may impact coverage and reimbursement of our product candidates, see the section titled </w:t>
      </w:r>
      <w:r>
        <w:rPr>
          <w:rFonts w:ascii="Times New Roman" w:hAnsi="Times New Roman"/>
          <w:i/>
          <w:sz w:val="20"/>
        </w:rPr>
        <w:t>BusinessGovernment RegulationCoverage and Reimbursement</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w:t>
      </w:r>
    </w:p>
    <w:p>
      <w:pPr>
        <w:pStyle w:val="TextBody"/>
        <w:bidi w:val="0"/>
        <w:spacing w:before="240" w:after="0"/>
        <w:jc w:val="left"/>
        <w:rPr>
          <w:rFonts w:ascii="Times New Roman" w:hAnsi="Times New Roman"/>
          <w:sz w:val="20"/>
        </w:rPr>
      </w:pPr>
      <w:r>
        <w:rPr>
          <w:rFonts w:ascii="Times New Roman" w:hAnsi="Times New Roman"/>
          <w:sz w:val="20"/>
        </w:rPr>
        <w:t xml:space="preserve">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In the United States, the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decisions about reimbursement for new medicines are typically made by U.S.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some foreign countries, the proposed pricing for a product must be approved before it may be lawfully marketed. The requirements governing product pricing vary widely from country to country.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 </w:t>
      </w:r>
    </w:p>
    <w:p>
      <w:pPr>
        <w:pStyle w:val="TextBody"/>
        <w:bidi w:val="0"/>
        <w:spacing w:before="240" w:after="0"/>
        <w:jc w:val="left"/>
        <w:rPr>
          <w:rFonts w:ascii="Times New Roman" w:hAnsi="Times New Roman"/>
          <w:b/>
          <w:i/>
          <w:sz w:val="20"/>
        </w:rPr>
      </w:pPr>
      <w:r>
        <w:rPr>
          <w:rFonts w:ascii="Times New Roman" w:hAnsi="Times New Roman"/>
          <w:b/>
          <w:i/>
          <w:sz w:val="20"/>
        </w:rPr>
        <w:t xml:space="preserve">Ongoing healthcare legislative and regulatory reform measures may have a material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 titled </w:t>
      </w:r>
      <w:r>
        <w:rPr>
          <w:rFonts w:ascii="Times New Roman" w:hAnsi="Times New Roman"/>
          <w:i/>
          <w:sz w:val="20"/>
        </w:rPr>
        <w:t>BusinessCurrent and Future U.S. Healthcare Reform</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instance,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 All of our disclosed product candidates are small molecule drugs and certain of them are being developed in indications that may rely heavily on Medicare reimbursement, such as neuropathic pain. Accordingly, these new price-negotiation provisions may have a negative impact on our future revenue and profits. Further, the IRA imposes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 </w:t>
      </w:r>
    </w:p>
    <w:p>
      <w:pPr>
        <w:pStyle w:val="TextBody"/>
        <w:bidi w:val="0"/>
        <w:spacing w:before="240" w:after="0"/>
        <w:jc w:val="left"/>
        <w:rPr>
          <w:rFonts w:ascii="Times New Roman" w:hAnsi="Times New Roman"/>
          <w:sz w:val="20"/>
        </w:rPr>
      </w:pPr>
      <w:r>
        <w:rPr>
          <w:rFonts w:ascii="Times New Roman" w:hAnsi="Times New Roman"/>
          <w:sz w:val="20"/>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employees, independent contractors, consultants, and vendors may engage in misconduct or other improper activities, including noncompliance with regulatory standards and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the risk of employee fraud or other illegal activity by our current and any future employees, independent contractors, consultants, CMOs, and vendors. Misconduct by these parties could include intentional, reckless, and/or negligent conduct that fails to comply with FDA or other regulations, provide true, complete and accurate information to the FDA, EMA,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Off-label use or misuse of our product candidates may harm our reputation in the marketplace or result in injuries that lead to costly product liability suits.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approved by the FDA, we may only promote or market our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or other government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EU drug marketing and reimbursement regulations may materially affect our ability to market and receive coverage for our products in the EU Member States.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 </w:t>
      </w:r>
    </w:p>
    <w:p>
      <w:pPr>
        <w:pStyle w:val="TextBody"/>
        <w:bidi w:val="0"/>
        <w:spacing w:before="240" w:after="0"/>
        <w:jc w:val="left"/>
        <w:rPr>
          <w:rFonts w:ascii="Times New Roman" w:hAnsi="Times New Roman"/>
          <w:sz w:val="20"/>
        </w:rPr>
      </w:pPr>
      <w:r>
        <w:rPr>
          <w:rFonts w:ascii="Times New Roman" w:hAnsi="Times New Roman"/>
          <w:sz w:val="20"/>
        </w:rPr>
        <w:t xml:space="preserve">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is unavailable or limited in scope or amount, our revenues from sales and the potential profitability of any of our product candidates in those countries would be negatively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or any third-party manufacturer we engage now or in the future fail to comply with environmental, health and safety laws and regulations, we could become subject to fines or penalties or incur costs or liabilities that could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 with respect to the operations of our current and any future third-party contract manufacturers, it is possible that if they fail to operate in compliance with applicable environmental, health and safety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depend on in-licensed intellectual property. If we fail to comply with our obligations under our intellectual property licenses with third parties, we could lose license rights that are important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a party to the Janssen License, which is a non-exclusive, fully paid up, and royalty-free intellectual property license agreement. In connection with our efforts to expand our pipeline of product candidates, we expect to enter into additional license agreements in the future. We have certain obligations under the Janssen License and expect that future license agreements may impose, various diligence, milestone payment, royalty, insurance, and other obligations on us. If we fail to comply with these obligations, our licensors may have the right to terminate the relevant agreement, in which event we would not be able to develop or market the products covered by such licensed intellectual property, or to pursue other remedies.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obtain licenses at a reasonable cost or on reasonable terms, or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or our licensors are unable to obtain and maintain patent protection for our product candidates, or if the scope of the patent protection obtained is not sufficiently broad, our competitors could develop and commercialize products similar or identical to our product candidates, and our ability to successfully commercialize our product candidates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in large part on our ability to obtain and maintain patent protection in the United States and other countries with respect to our product candidates, their respective components, formulations, combination therapies, methods used to manufacture them and methods of treatment that are important to our business. If we or our licensors do not adequately protect our or our licensors intellectual property rights, competitors may be able to erode or negate any competitive advantage we may have, which could harm our business and ability to achieve profitability. We and our licensors seek to protect our proprietary position by filing patent applications in the United States and abroad related to our product candidates that are important to our business. We may in the future also license or purchase patent applications filed by others. If we or our licensors are unable to secure or maintain patent protection with respect to our product candidates and any proprietary product candidates and technology we develop, our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If the scope of the patent protection we or our licensors obtain is not sufficiently broad, we may not be able to prevent others from developing and commercializing products and technology similar or identical to our product candidates or otherwise maintain a competitive advantage.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or our licensors patents have, or that any of our or our licensors pending patent applications that mature into issued patents will include, claims with a scope sufficient to protect our product candidates or otherwise provide any competitive advantage. In addition, to the extent that we license intellectual property, we cannot make assurances that those licenses will remain in 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our owned and licensed patent applications issue as patents, they may not issue in a form that will provide us with any meaningful protection, prevent competitors from competing with us, or otherwise provide us with any competitive advantage. The scope of the invention claimed in a patent application can be significantly reduced before the patent is issued, and this scope can be reinterpreted after issuance.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circumvent our owned or licensed patents by developing similar or alternative technologies or products in a non-infringing manner.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and time 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product candidates that we license from third parties and are reliant on our licensors. Therefore, we cannot be certain that these patents and applications will be prosecuted and enforced in a manner consistent with the best interests of our business. If such licensors fail to maintain such patents, or lose rights to those patents, the rights we have licensed may be reduced or eliminated.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patents have a limited lifespan. In the United States, the natural expiration of a patent is generally 20 years after it is filed. Various extensions may be available; however, the life of a patent, and the protection it affords, is limited. Publications of discoveries in the scientific literature often lag behind the actual discoveries, and patent applications in the United States and other jurisdictions are typically not published until 18 months after filing, or in some cases, at all. Therefore, we cannot be certain that we or our licensors were the first to make the inventions claimed in our owned or licensed patents or pending patent applications, or that we or our licensors were the first to file for patent protection of such inventions.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being issued which protect our product candidates or which effectively prevent others from commercializing competitive products.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our owned and licensed patents may be challenged in the courts or patent offices in the United States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or our licensors may in the future, become subject to a third-party pre-issuance submission of prior art, opposition, derivation, revocation, re-examination, post-grant and </w:t>
      </w:r>
      <w:r>
        <w:rPr>
          <w:rFonts w:ascii="Times New Roman" w:hAnsi="Times New Roman"/>
          <w:i/>
          <w:sz w:val="20"/>
        </w:rPr>
        <w:t>inter partes</w:t>
      </w:r>
      <w:r>
        <w:rPr>
          <w:rFonts w:ascii="Times New Roman" w:hAnsi="Times New Roman"/>
          <w:sz w:val="20"/>
        </w:rPr>
        <w:t xml:space="preserve"> review, or interference proceeding and other similar proceedings challenging our patent rights or the patent rights of others in the U.S. Patent and Trademark Office (the USPTO) or other foreign patent office.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rely on certain of our licensors to prosecute patent applications and maintain patents and otherwise protect the intellectual property we license from them and may continue to do so in the future.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any licensors infringement proceeding or defense activities may be less vigorous than had we conducted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efforts to protect the proprietary nature of the intellectual property related to our product candidates are not adequate, we may not be able to compete effectively in our market. </w:t>
      </w:r>
    </w:p>
    <w:p>
      <w:pPr>
        <w:pStyle w:val="TextBody"/>
        <w:bidi w:val="0"/>
        <w:spacing w:before="240" w:after="0"/>
        <w:jc w:val="left"/>
        <w:rPr>
          <w:rFonts w:ascii="Times New Roman" w:hAnsi="Times New Roman"/>
          <w:sz w:val="20"/>
        </w:rPr>
      </w:pPr>
      <w:r>
        <w:rPr>
          <w:rFonts w:ascii="Times New Roman" w:hAnsi="Times New Roman"/>
          <w:sz w:val="20"/>
        </w:rPr>
        <w:t xml:space="preserve">We rely upon a combination of patents, confidentiality agreements, trade secret protection and license agreements to protect the intellectual property related to our product candidates. Any disclosure to or misappropriation by third parties of our confidential proprietary information could enable competitors to quickly duplicate or surpass our technological achievements, thus eroding our competitive position in our market. We, or any partners, collaborators, or licensors, may fail to identify patentable aspects of inventions made in the course of development and commercialization activities before it is too late to obtain patent protection on them. Therefore, we may miss potential opportunities to strengthen our patent position.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our or our licensors patents or patent applications may exist, or may arise in the future, for example with respect to proper priority claims, inventorship, claim scope, or requests for patent term adjustments. If we or our partners, collaborators, or licensors fail to establish, maintain or protect such patents and other intellectual property rights, such rights may be reduced or eliminated. If our partners,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additional patent applications will be filed both in the United States and in other countries, as appropriate. However, we cannot predict: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additional patent applications covering new technologies related to our product candidates will be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when patents will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degree and range of protection any issued patents will afford us against competitors, including whether third parties will find ways to invalidate or otherwise circumvent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intellectual property will provide any competitive advantage;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patents that may be issued may be challenged, invalidated, modified, revoked, circumvented, found to be unenforceable or otherwise may not provide any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others will obtain patents claiming aspects similar to those covered by our or our licensors patents and patent applications;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or our licensors will need to initiate or defend litigation or administrative proceedings which may be costly regardless of whether we or our licensors win or lose.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we cannot be certain that the claims in our pending patent applications covering our product candidates and their methods of use will be considered patentable by the USPTO, or by patent offices in foreign countries, or that the claims in any of our issued patents will be considered valid or patentable by courts in the United States or foreign countries. 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but not necessarily, contribute to a finding of infringement of method of use patents, the practice is common and such infringement is difficult to prevent or prosecute. </w:t>
      </w:r>
    </w:p>
    <w:p>
      <w:pPr>
        <w:pStyle w:val="TextBody"/>
        <w:bidi w:val="0"/>
        <w:spacing w:before="24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an allowed patent application will become an issued patent because there may be events that cause withdrawal of the allowance of a patent application. For example, after a patent application has been allowed, but prior to being issued, material that could be relevant to patentability may be identified. In such circumstances, the applicant may pull the application from allowance in order for the USPTO to review the application in view of the new material. We cannot be certain that the USPTO will issue the application in view of the new material. Periodic maintenance fees on any issued patent are due to be paid to the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Issued patents covering our product candidates could be found invalid or unenforceable if challenged in court or the USPTO. </w:t>
      </w:r>
    </w:p>
    <w:p>
      <w:pPr>
        <w:pStyle w:val="TextBody"/>
        <w:bidi w:val="0"/>
        <w:spacing w:before="240" w:after="0"/>
        <w:jc w:val="left"/>
        <w:rPr>
          <w:rFonts w:ascii="Times New Roman" w:hAnsi="Times New Roman"/>
          <w:sz w:val="20"/>
        </w:rPr>
      </w:pPr>
      <w:r>
        <w:rPr>
          <w:rFonts w:ascii="Times New Roman" w:hAnsi="Times New Roman"/>
          <w:sz w:val="20"/>
        </w:rPr>
        <w:t xml:space="preserve">If we or one of our licensing partners initiate legal proceedings against a third party to enforce a patent covering our product candidates, the defendant could counterclaim that the patent covering our product candidates, as applicable, is invalid and/or unenforceable. In patent litigation in the United States, defendant counterclaims alleging invalidity and/or unenforceability are commonplace, and there are various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hAnsi="Times New Roman"/>
          <w:i/>
          <w:sz w:val="20"/>
        </w:rPr>
        <w:t>inter partes</w:t>
      </w:r>
      <w:r>
        <w:rPr>
          <w:rFonts w:ascii="Times New Roman" w:hAnsi="Times New Roman"/>
          <w:sz w:val="20"/>
        </w:rPr>
        <w:t xml:space="preserve"> review, post grant review and equivalent proceedings in foreign jurisdictions (such as opposition proceedings). Such proceedings could result in revocation or amendment to our or our licensors patents in such a way that they no longer cover our product candidates. The outcome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legal assertions of invalidity and unenforceability is unpredictable. With respect to the validity question, for example, we cannot be certain that there is no invalidating prior art, of which we, our patent counsel, our licensors and the patent examiner were unaware during prosecution. If a defendant were to prevail on a legal assertion of invalidity and/or unenforceability, or if we are otherwise unable to adequately protect our or our licensors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to patent law in the United States and in foreign jurisdictions could diminish the value of patents in general, thereby impairing our ability to protect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As is the case with other biotechnology and biopharmaceutical companies, our success is heavily dependent on intellectual property, particularly patents. Obtaining and enforcing patents in the biotechnology and biopharmaceutical industry involves both technological and legal complexity, and is therefore costly, time-consuming and inherently uncertain. Obtaining and enforcing patents in the biotechnology and biopharmaceutical industry involve both technological and legal complexity and is therefore costly, time-consuming and inherently uncertain. Recent patent reform legislation in the U.S. and other countries, including the Leahy-Smith America Invents Act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Moreover, recent U.S. Supreme Court rulings have narrowed the scope of patent protection available in certain circumstances and weakened the rights of patent owners in certain situations. In addition to increasing uncertainty with regard to our or our licensors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or our licensors ability to obtain new patents or to enforce our or our licensors existing patents and patents that we or our licensors might obtain in the future. We cannot predict how future decisions by the courts, Congress or the USPTO may impact the value of our or our licensors patents.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pursue patent coverage of our product candidates in certain countries outside of the United States. 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The breadth and strength of our or our licensors patents issued in foreign jurisdictions or regions may not be the same as the corresponding patents issued in the United States. Consequently, we may not be able to prevent third parties from practicing our or our licensors inventions in all countries outside the United States, or from selling or importing products made using our or our licensors inventions in and into the United States or other jurisdictions. Competitors may use our technologies in jurisdictions where we have not obtained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protection to develop their own products and further, may export otherwise infringing products to certain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protections, particularly those relating to biotechnology and biopharmaceutical products. This difficulty with enforcing patents could make it difficult for us to stop the infringement of our or our licensors patents or marketing of competing products otherwise generally in violation of our proprietary rights. Proceedings to enforce our patent rights in foreign jurisdictions could result in substantial costs and divert our efforts and attention from other aspects of our business, could put our or our licensors patents at risk of being invalidated or interpreted narrowly, put our or our licensors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do not obtain patent term extension for any of our current product candidates, our business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specifics of any FDA marketing approval of our current product candidates, one or more of our or our licensors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for a patent extension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believe we are entitled to, our competitors may obtain approval of competing products sooner than we would expect, and our business, financial condition, results of operations, and prospects could be materially harmed.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Third parties may initiate legal proceedings alleging that we are infringing or otherwise misappropriating their intellectual property rights, the outcome of which would be uncertain and could have a material adverse effect on the success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depends upon our ability and the ability of our collaborators to commercialize, develop, manufacture, market, and sell our product candidates without infringing the proprietary rights of third parties. We have yet to conduct comprehensive freedom to operate searches to determine whether we would infringe patents issued to third parties. We may become party to, or threatened with, future adversarial proceedings or litigation regarding intellectual property rights with respect to our product candidates, including interference proceedings before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developing and marketing our product candidates. However, we may not be able to obtain any required license on commercially reasonable terms or at all. Even if we were able to obtain a license, it could be non-exclusive, thereby giving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competitors access to the same technologies licensed to us. We could be forced, including by court order, to cease commercializing the infringing product. In addition, we could be found liable for monetary damages.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alleges that we infringe its intellectual property rights, we may face a number of issues,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misappropriation which, regardless of merit, may be expensive and time-consuming to litigate and may divert our managements attention from our core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or misappropriation, which we may have to pay if a court decides that the product or technology at issue infringes on or violates the third-partys rights, and, if the court finds we have willfully infringed intellectual property rights, we could be ordered to pay treble damages and the patent owners attorneys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injunction prohibiting us from manufacturing, marketing or selling our product candidates, or from using our proprietary technologies, unless the third party agrees to license its patent rights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 license is available from a third party, we may have to pay substantial royalties, upfront fees and other amounts, and/or grant cross-licenses to intellectual property rights protecting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forced to try to redesign our product candidates or processes so they do not infringe third-party intellectual property rights, an undertaking which may not be possible or which may require substantial monetary expenditures and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constructs or molecules used in or formed during the manufacturing process, or any final product or methods use of the product, the holders of any such patents may be able to block our ability to commercialize the product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become involved in lawsuits to protect or enforce our patents, which could be expensive, time consuming, and unsuccessful.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our patents or the patents of our licensors. To counter infringement or unauthorized use, we may be required to file infringement claims, which can be expensive and time consuming.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an infringement proceeding, a court may decide that a patent of ours or our licensors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and could put our patent applications at risk of not issuing. Defense against these assertions, non-infringement, invalidity or unenforceability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t>
      </w:r>
    </w:p>
    <w:p>
      <w:pPr>
        <w:pStyle w:val="TextBody"/>
        <w:bidi w:val="0"/>
        <w:spacing w:before="240" w:after="0"/>
        <w:jc w:val="left"/>
        <w:rPr>
          <w:rFonts w:ascii="Times New Roman" w:hAnsi="Times New Roman"/>
          <w:sz w:val="20"/>
        </w:rPr>
      </w:pPr>
      <w:r>
        <w:rPr>
          <w:rFonts w:ascii="Times New Roman" w:hAnsi="Times New Roman"/>
          <w:sz w:val="20"/>
        </w:rPr>
        <w:t xml:space="preserve">Post-grant proceedings provoked by third parties or brought by the USPTO may be brought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post-grant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those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our licensors may have rights to file and prosecute such claims, and we are reliant on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litigation could cause us to spend substantial resources and distract our personnel from their normal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time-consuming. If we were unsuccessful, we could lose valuable rights in intellectual property that we regard as our own.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our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If we are unable to prevent unauthorized material disclosure of our intellectual property to third parties, we may not be able to establish or maintain a competitive advantage in our market, which could materially adversely affect our business, operating results and financial condition. If we choose to go to court to stop a third party from using any of our trade secrets, we may incur substantial costs. These lawsuits may consume our time and other resources even if we are successful. In addition, some courts inside and outside the United States are less willing or unwilling to protect trade secrets. As a result, we may encounter significant problems in protecting and defending our intellectual property both in the United States and abroad.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subject to claims that we wrongfully hired an employee from a competitor or that our employees have misappropriated intellectual property, including trade secrets of their former employers. </w:t>
      </w:r>
    </w:p>
    <w:p>
      <w:pPr>
        <w:pStyle w:val="TextBody"/>
        <w:bidi w:val="0"/>
        <w:spacing w:before="240" w:after="0"/>
        <w:jc w:val="left"/>
        <w:rPr>
          <w:rFonts w:ascii="Times New Roman" w:hAnsi="Times New Roman"/>
          <w:sz w:val="20"/>
        </w:rPr>
      </w:pPr>
      <w:r>
        <w:rPr>
          <w:rFonts w:ascii="Times New Roman" w:hAnsi="Times New Roman"/>
          <w:sz w:val="20"/>
        </w:rPr>
        <w:t xml:space="preserve">Many of our employees were previously employed at, or may have previously provided or may be currently providing consulting services to, universities or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do not use the proprietary information or know how of others in their work for us, we may be subject to claims that we caused an employee to breach the terms of his or her non-competition or non-solicitation agreement, or that we or these employees have, inadvertently or otherwise, used or disclosed intellectual property, including trade secrets or other proprietary information, of any such employees former employer or competitor.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European patents and patent applications could be challenged in the recently created Unified Patent Court for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Our or our licensors European patents and patent applications could be challenged in the recently created Unified Patent Court (UPC) for the European Union.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or our licensors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 and product candidates and, resultantly, on our business, financial condition, prospects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has been no prior public market for our common stock, and an active trading market may not develop or be sustained. </w:t>
      </w:r>
    </w:p>
    <w:p>
      <w:pPr>
        <w:pStyle w:val="TextBody"/>
        <w:bidi w:val="0"/>
        <w:spacing w:before="240" w:after="0"/>
        <w:jc w:val="left"/>
        <w:rPr>
          <w:rFonts w:ascii="Times New Roman" w:hAnsi="Times New Roman"/>
          <w:sz w:val="20"/>
        </w:rPr>
      </w:pPr>
      <w:r>
        <w:rPr>
          <w:rFonts w:ascii="Times New Roman" w:hAnsi="Times New Roman"/>
          <w:sz w:val="20"/>
        </w:rPr>
        <w:t xml:space="preserve">There has been no public market for our common stock prior to this offering. The initial public offering price for our common stock was determined through negotiations among the underwriters and us and may vary from the market price of our common stock following this offering. An active or liquid market in our common stock may not develop upon closing of this offering or, if it does develop, it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price of our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section and elsewhere in this prospectus,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enrollment, completion or results of our current or future preclinical and clinical trials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 in identifying and advancing a clinical candidate for our other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results or delays, suspensions or terminations in future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decision to initiate a clinical trial, not to initiate a clinical trial or to terminate an existing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including failure to receive regulatory approval of our product candidates or the failure of a regulatory authority to accept data from preclinical studies or clinical trials conducted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our product candidates, including but not limited to clinical trial requirements for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concerning our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obtain adequate product supply for any approved product or inability to do so at acceptable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establish collaborations, if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commercialize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any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new products or services offered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us or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cash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the estimates and projections of the investment community or that we may otherwise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us or our industry, or product candidates in particular, or positive or negative recommendations or withdrawal of research coverage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the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performance of the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ineffectiveness of our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our ability to obtain patent protection for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and economic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many of which are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operating results may fluctuate significantly, which makes our future operating results difficult to predict and could cause our operating results to fall below expectations. </w:t>
      </w:r>
    </w:p>
    <w:p>
      <w:pPr>
        <w:pStyle w:val="TextBody"/>
        <w:bidi w:val="0"/>
        <w:spacing w:before="240" w:after="0"/>
        <w:jc w:val="left"/>
        <w:rPr>
          <w:rFonts w:ascii="Times New Roman" w:hAnsi="Times New Roman"/>
          <w:sz w:val="20"/>
        </w:rPr>
      </w:pPr>
      <w:r>
        <w:rPr>
          <w:rFonts w:ascii="Times New Roman" w:hAnsi="Times New Roman"/>
          <w:sz w:val="20"/>
        </w:rPr>
        <w:t xml:space="preserve">Our quarterly and annual operating results may fluctuate significantly, due to a variety of factors, many of which are outside of our control and may be difficult to predict,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 of, and level of investment in, research, development and, if approved, commercialization activities relating to our current and future product candidates, which may change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status of enrollment for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our product candidates, as well as building out our supply chain, which may vary depending on the quantity of production and the terms of our agreements with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expenditures that we may incur to acquire, develop or commercialize additional product candidates and technologies;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timing and amount of any milestone, royalty or other payments due under any collaboration or license agreement, including the Janssen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accounting pronouncements or changes in our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receipt of approvals for our product candidates from regulatory authorities in the United States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policies with respect to our product candidates, if approved, and potential future drugs that compete with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demand for our product candidates, if approved, which may vary significantly over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240" w:after="0"/>
        <w:jc w:val="left"/>
        <w:rPr>
          <w:rFonts w:ascii="Times New Roman" w:hAnsi="Times New Roman"/>
          <w:sz w:val="20"/>
        </w:rPr>
      </w:pPr>
      <w:r>
        <w:rPr>
          <w:rFonts w:ascii="Times New Roman" w:hAnsi="Times New Roman"/>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executive officers, directors, principal stockholders and their respective affiliates own a significant percentage of our stock and will be able to exert significant control over matters subject to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Based on the beneficial ownership of our common stock as of    , 2024, prior to this offering, our executive officers, directors, holders of 5% or more of our capital stock and their respective affiliates beneficially owned approximately  % of our voting stock and, upon the completion of this offering, that same group will hold approximately  %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our assets and any other significant corporate transaction. In addition, certain of our principal stockholders, including Third Rock Ventures V, L.P. and ARCH Venture Fund XII, L.P., have designated certain members of our board of directors.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sales of our common stock in the public market could cause our common stock price to fall.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   shares of common stock will be outstanding (or    shares if the underwriters exercise their option to purchase additional shares from us in full), based on the number of shares outstanding as of March 31, 2024. </w:t>
      </w:r>
    </w:p>
    <w:p>
      <w:pPr>
        <w:pStyle w:val="TextBody"/>
        <w:bidi w:val="0"/>
        <w:spacing w:before="240" w:after="0"/>
        <w:jc w:val="left"/>
        <w:rPr>
          <w:rFonts w:ascii="Times New Roman" w:hAnsi="Times New Roman"/>
          <w:sz w:val="20"/>
        </w:rPr>
      </w:pPr>
      <w:r>
        <w:rPr>
          <w:rFonts w:ascii="Times New Roman" w:hAnsi="Times New Roman"/>
          <w:sz w:val="20"/>
        </w:rPr>
        <w:t>All shares of common stock expected to be sold in this offering will be freely tradable without restriction or further registration under the Securities Act of 1933, as amended (the Securities Act) unless held by our affiliates as defined in Rule 144 under the Securities Act. The resale of the remaining    shares, or  %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w:t>
      </w:r>
      <w:r>
        <w:rPr>
          <w:rFonts w:ascii="Times New Roman" w:hAnsi="Times New Roman"/>
          <w:i/>
          <w:sz w:val="20"/>
        </w:rPr>
        <w:t>Shares Eligible for Future Sale</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Upon the completion of this offering, the holders of approximately    shares, or  %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the section titled </w:t>
      </w:r>
      <w:r>
        <w:rPr>
          <w:rFonts w:ascii="Times New Roman" w:hAnsi="Times New Roman"/>
          <w:i/>
          <w:sz w:val="20"/>
        </w:rPr>
        <w:t>Underwriting</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have broad discretion in how we use the proceeds of this offering and may not use these proceeds effectively, which could affect our results of operations and cause our stock price to decline. </w:t>
      </w:r>
    </w:p>
    <w:p>
      <w:pPr>
        <w:pStyle w:val="TextBody"/>
        <w:bidi w:val="0"/>
        <w:spacing w:before="240" w:after="0"/>
        <w:jc w:val="left"/>
        <w:rPr>
          <w:rFonts w:ascii="Times New Roman" w:hAnsi="Times New Roman"/>
          <w:sz w:val="20"/>
        </w:rPr>
      </w:pPr>
      <w:r>
        <w:rPr>
          <w:rFonts w:ascii="Times New Roman" w:hAnsi="Times New Roman"/>
          <w:sz w:val="20"/>
        </w:rPr>
        <w:t>We will have considerable discretion in the application of the net proceeds of this offering, including for any of the purposes described in the section titled </w:t>
      </w:r>
      <w:r>
        <w:rPr>
          <w:rFonts w:ascii="Times New Roman" w:hAnsi="Times New Roman"/>
          <w:i/>
          <w:sz w:val="20"/>
        </w:rPr>
        <w:t>Use of Proceeds</w:t>
      </w:r>
      <w:r>
        <w:rPr>
          <w:rFonts w:ascii="Times New Roman" w:hAnsi="Times New Roman"/>
          <w:sz w:val="20"/>
        </w:rPr>
        <w:t xml:space="preserve">,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purchase shares of our common stock in our initial public offering, you will experience substantial and immediate dilution. </w:t>
      </w:r>
    </w:p>
    <w:p>
      <w:pPr>
        <w:pStyle w:val="TextBody"/>
        <w:bidi w:val="0"/>
        <w:spacing w:before="240" w:after="0"/>
        <w:jc w:val="left"/>
        <w:rPr>
          <w:rFonts w:ascii="Times New Roman" w:hAnsi="Times New Roman"/>
          <w:sz w:val="20"/>
        </w:rPr>
      </w:pPr>
      <w:r>
        <w:rPr>
          <w:rFonts w:ascii="Times New Roman" w:hAnsi="Times New Roman"/>
          <w:sz w:val="20"/>
        </w:rPr>
        <w:t>The assumed initial public offering price of $    per share, which is the midpoint of the price range set forth on the cover page of this prospectus, is substantially higher than the pro forma as adjusted net tangible book value per share of our outstanding common stock immediately following the completion of this offering. If you purchase shares of common stock in this offering, you will experience substantial and immediate dilution in the pro forma as adjusted net tangible book value per share of $    per share as of March 31, 2024. That is because the price that you pay will be substantially greater than the pro forma as adjusted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if the underwriters exercise their option to purchase additional shares in this offering, when those holding stock options exercise their right to purchase common stock under our equity incentive plans, upon the vesting of outstanding restricted stock awards or when we otherwise issue additional shares of common stock. For additional details see the section titled </w:t>
      </w:r>
      <w:r>
        <w:rPr>
          <w:rFonts w:ascii="Times New Roman" w:hAnsi="Times New Roman"/>
          <w:i/>
          <w:sz w:val="20"/>
        </w:rPr>
        <w:t>Dilution</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Participation in this offering by our existing stockholders and/or their affiliated entities will reduce the public float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 stockholders. A reduction in the public float could reduce the number of shares of common stock that can be traded at any given time, which could adversely impact the liquidity of our common stock and depress the price at which you may be able to sell shares of common stock purchased in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issuance of additional capital stock in connection with financings, acquisitions, investments, our stock incentive plans or otherwise will dilute all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our stockholders ability to achieve a return on their investment will depend on appreciation of the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third amended and restated certificate of incorporation, which will become effective immediately prior to the completion of this offering, and amended and restated bylaws, which will become effective upon the effectiveness of the registration statement of which this prospectus forms a part, will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only one of three classes of directors is elected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our directors to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stockholder proposals that can be acted on at stockholder meetings and nominations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our stockholders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not less than two-thirds of the votes that all our stockholders would be entitled to cast to amend or repeal specified provisions of our third amended and restated certificate of incorporation or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amended and restated bylaws that will become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that will become effective upon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third amended and restated certificate of incorporation or our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able to satisfy listing requirements of The Nasdaq Stock Market (Nasdaq) or obtain or maintain a listing of our common stock on Nasdaq. </w:t>
      </w:r>
    </w:p>
    <w:p>
      <w:pPr>
        <w:pStyle w:val="TextBody"/>
        <w:bidi w:val="0"/>
        <w:spacing w:before="240" w:after="0"/>
        <w:jc w:val="left"/>
        <w:rPr>
          <w:rFonts w:ascii="Times New Roman" w:hAnsi="Times New Roman"/>
          <w:sz w:val="20"/>
        </w:rPr>
      </w:pPr>
      <w:r>
        <w:rPr>
          <w:rFonts w:ascii="Times New Roman" w:hAnsi="Times New Roman"/>
          <w:sz w:val="20"/>
        </w:rPr>
        <w:t xml:space="preserve">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General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Unfavorable global economic conditions could adversely affect our business, financial condition, stock price,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ongoing conflicts between Russia and Ukraine, and Israel and Hamas, terrorism, or other geopolitical events.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natural disasters, public health crises or other business interruptions and our business continuity and disaster recovery plans may not adequately protect us from a serious disaster. </w:t>
      </w:r>
    </w:p>
    <w:p>
      <w:pPr>
        <w:pStyle w:val="TextBody"/>
        <w:bidi w:val="0"/>
        <w:spacing w:before="240" w:after="0"/>
        <w:jc w:val="left"/>
        <w:rPr>
          <w:rFonts w:ascii="Times New Roman" w:hAnsi="Times New Roman"/>
          <w:sz w:val="20"/>
        </w:rPr>
      </w:pPr>
      <w:r>
        <w:rPr>
          <w:rFonts w:ascii="Times New Roman" w:hAnsi="Times New Roman"/>
          <w:sz w:val="20"/>
        </w:rPr>
        <w:t xml:space="preserve">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are eligible to be treated as an emerging growth company and a smaller reporting company and our election of reduced reporting requirements applicable to emerging growth companies and smaller reporting companies may make our common stock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providing only two years of audited financial statements in addition to any required unaudited interim financial statements and a correspondingly reduced </w:t>
            </w:r>
            <w:r>
              <w:rPr>
                <w:rFonts w:ascii="Times New Roman" w:hAnsi="Times New Roman"/>
                <w:i/>
                <w:sz w:val="20"/>
              </w:rPr>
              <w:t>Managements Discussion and Analysis of Financial Condition and Results of Operations</w:t>
            </w:r>
            <w:r>
              <w:rPr>
                <w:rFonts w:ascii="Times New Roman" w:hAnsi="Times New Roman"/>
                <w:sz w:val="20"/>
              </w:rPr>
              <w:t xml:space="preserve"> disclosure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will incur significant increased costs as a result of operating as a public company, and our management will be required to devote substantial time to new compliance initiatives and corporate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on public companies,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0"/>
        <w:jc w:val="left"/>
        <w:rPr>
          <w:rFonts w:ascii="Times New Roman" w:hAnsi="Times New Roman"/>
          <w:sz w:val="20"/>
        </w:rPr>
      </w:pPr>
      <w:r>
        <w:rPr>
          <w:rFonts w:ascii="Times New Roman" w:hAnsi="Times New Roman"/>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this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ability to use our net operating loss carryforwards and other tax attributes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approximately $6.0 million of federal net operating losses (NOLs). Federal NOLs generated in taxable years beginning after December 31, 2017, may be carried forward indefinitely, but the deductibility of such federal NOL carryforwards in a taxable year is limited to 80% of our taxable income in such year. As of December 31, 2023, we had approximately $1.6 million of state NOLs. Of the state NOLs, some are of indefinite life, but most expire at various dates, beginning in 2042. As of December 31, 2023, we had approximately $1.5 million of federal research and development tax credit carryforwards. Federal tax credit carryforwards expire at various dates, beginning in 2042. As of December 31, 2023, we had approximately $0.5 million of state research and development tax credit carryforwards. The state tax credits, which have various carryforward rules, begin to expire in 2037. </w:t>
      </w:r>
    </w:p>
    <w:p>
      <w:pPr>
        <w:pStyle w:val="TextBody"/>
        <w:bidi w:val="0"/>
        <w:spacing w:before="240" w:after="0"/>
        <w:jc w:val="left"/>
        <w:rPr>
          <w:rFonts w:ascii="Times New Roman" w:hAnsi="Times New Roman"/>
          <w:sz w:val="20"/>
        </w:rPr>
      </w:pPr>
      <w:r>
        <w:rPr>
          <w:rFonts w:ascii="Times New Roman" w:hAnsi="Times New Roman"/>
          <w:sz w:val="20"/>
        </w:rPr>
        <w:t xml:space="preserve">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this offering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Changes in tax law could adversely affect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legal and tax advisers regarding the implications of potential changes in tax laws on an investment in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Clinical trial and product liability lawsuits against us could divert our resources and could cause us to incur substantial liabilities and to limit commercialization of any products that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any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our management to pursue our business strategy;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we may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currently hold clinical trial liability insurance, we will need to maintain and this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become involved in litigation that could divert managements attention and harm our business, and insurance coverage may not be sufficient to cover all costs and damages.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803738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develop, and commercialize current and future product candidates based on our RAP technology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endpoints in our current and planned clinical trials to future registrational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replicate positive results from earlier preclinical studies or clinical trials conducted by us or third parties in current or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that our current and future product candidates are safe and effective for their proposed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with the diseases or disorders we elect to pursue with our product candidates, and the willingness of those patient populations to use and adhere to our product candidates if approved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programs, future product candidates, platform,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any product candidates through applicable regulatory approval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cash and the sufficiency of our existing cash, cash equivalents and short-term investments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our obligations under our intellectual property licenses with third parties, including Janssen;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enter into future license agreements and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including rising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hire, and retain our key personnel and additional qualified personnel;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short-term investments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w:t>
      </w:r>
      <w:r>
        <w:rPr>
          <w:rFonts w:ascii="Times New Roman" w:hAnsi="Times New Roman"/>
          <w:i/>
          <w:sz w:val="20"/>
        </w:rPr>
        <w:t>Risk Factors</w:t>
      </w:r>
      <w:r>
        <w:rPr>
          <w:rFonts w:ascii="Times New Roman" w:hAnsi="Times New Roman"/>
          <w:sz w:val="20"/>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803738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$    million (or approximately $    million if the underwriters exercise their option to purchase additional shares of our common stock in full) based on an assumed initial public offering price of $    per share, which is the midpoint of the price range set forth on the cover page of this prospectus,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price range set forth on the cover of this prospectus, would increase or decrease, as applicable, the net proceeds to us from this offering by $    million, assuming the number of shares offered by us, as set forth on the cover page of this prospectus, remains the same, and after deducting underwriting discounts and commissions and estimated offering expenses payable by us. Similarly, each increase or decrease of 1.0 million shares in the number of shares of common stock offered by us, as set forth on the cover page of this prospectus, would increase or decrease, as applicable, the net proceeds to us from this offering by $    million, assuming the assumed initial public offering price of $    per share remains the same, and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are to create a public market for our common stock and thereby facilitate future access to the public equity markets, increase our visibility in the marketplace, and obtain additional capital to support our operations. We currently intend to use the net proceeds from this offering, together with our existing cash, cash equivalents and short-term investments,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million to advance the Phase 2a development of our lead TARPγ8 AMPAR program, RAP-219, including the completion of our proof-of-concept trials in focal epilepsy, peripheral neuropathic pain and bipolar disorder;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million to conduct our second MAD trial and PET trial, for the advancement of a long-acting injectable formulation of RAP-219, and to advance our second TARPγ8 AMPAR program, RAP-199, through Phase 1 of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for other research and development activities, including the development of our nAChR discovery programs, costs associated with operating as a public company, and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use a portion of the remaining net proceeds and our existing cash, cash equivalents and short-term investments to in-license, acquire, or invest in complementary businesses, technologies, products, or assets. However, we have no current commitments, agreements, understandings or obligations to do so. </w:t>
      </w:r>
    </w:p>
    <w:p>
      <w:pPr>
        <w:pStyle w:val="TextBody"/>
        <w:bidi w:val="0"/>
        <w:spacing w:before="240" w:after="0"/>
        <w:jc w:val="left"/>
        <w:rPr>
          <w:rFonts w:ascii="Times New Roman" w:hAnsi="Times New Roman"/>
          <w:sz w:val="20"/>
        </w:rPr>
      </w:pPr>
      <w:r>
        <w:rPr>
          <w:rFonts w:ascii="Times New Roman" w:hAnsi="Times New Roman"/>
          <w:sz w:val="20"/>
        </w:rPr>
        <w:t xml:space="preserve">We believe, based on our current operating plan, that the net proceeds from this offering, together with our existing cash, cash equivalents and short-term investments, will be sufficient to fund our operations through    . We have based this estimate on assumptions that may prove to be wrong, and we could use our available capital resources sooner than we currently expect. We do not have any committed external source of funds. </w:t>
      </w:r>
    </w:p>
    <w:p>
      <w:pPr>
        <w:pStyle w:val="TextBody"/>
        <w:bidi w:val="0"/>
        <w:spacing w:before="240" w:after="0"/>
        <w:jc w:val="left"/>
        <w:rPr>
          <w:rFonts w:ascii="Times New Roman" w:hAnsi="Times New Roman"/>
          <w:sz w:val="20"/>
        </w:rPr>
      </w:pPr>
      <w:r>
        <w:rPr>
          <w:rFonts w:ascii="Times New Roman" w:hAnsi="Times New Roman"/>
          <w:sz w:val="20"/>
        </w:rPr>
        <w:t>Our expected use of proceeds from this offering described above represents our current intentions based 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The amounts and timing of our actual expenditures will depend on numerous factors, including progress of our research and development, the status of and results from preclinical studies and clinical trials that we are conducting or may conduct in the future, and other factors described in the section titled </w:t>
      </w:r>
      <w:r>
        <w:rPr>
          <w:rFonts w:ascii="Times New Roman" w:hAnsi="Times New Roman"/>
          <w:i/>
          <w:sz w:val="20"/>
        </w:rPr>
        <w:t>Risk Factors</w:t>
      </w:r>
      <w:r>
        <w:rPr>
          <w:rFonts w:ascii="Times New Roman" w:hAnsi="Times New Roman"/>
          <w:sz w:val="20"/>
        </w:rPr>
        <w:t xml:space="preserve"> in this prospectus, as well as the amount of cash used in our operations and any unforeseen cash needs. Therefore, our actual expenditures may differ materially from the estimates described above. We may find it necessary or advisable to use the net proceeds for other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have broad discretion over how to use the net proceeds to us from this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803738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ability to pay cash dividends on our capital stock in the future may be limited by the terms of any future debt or preferred securities we issue or any credit facilities we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803738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existing cash, cash equivalents and short-term investments, excluding restricted cash, and our total capitalization as of March 31,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basis, giving effect to (i) the automatic conversion of all outstanding shares of our convertible preferred stock into an aggregate of 189,613,384 shares of our common stock immediately prior to the completion of this offering and (ii) the filing and effectiveness of our third amended and restated certificate of incorporation, which will occur immediately prior to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giving effect to (i) the pro forma adjustments set forth above and (ii) the issuance and sale of    shares of our common stock in this offering at the assumed initial public offering price of $    per share, which is the midpoint of the price range set forth on the cover page of this prospectus, after deducting underwriting discounts and commissions and estimated offering expenses payable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as adjusted information below is illustrative only, and our capitalization following the completion of this offering will be adjusted based on the actual initial public offering price and other terms of this offering determined at pricing. </w:t>
      </w:r>
    </w:p>
    <w:p>
      <w:pPr>
        <w:pStyle w:val="TextBody"/>
        <w:bidi w:val="0"/>
        <w:spacing w:before="240" w:after="0"/>
        <w:jc w:val="left"/>
        <w:rPr>
          <w:rFonts w:ascii="Times New Roman" w:hAnsi="Times New Roman"/>
          <w:sz w:val="20"/>
        </w:rPr>
      </w:pPr>
      <w:r>
        <w:rPr>
          <w:rFonts w:ascii="Times New Roman" w:hAnsi="Times New Roman"/>
          <w:sz w:val="20"/>
        </w:rPr>
        <w:t>You should read this information together with our consolidated financial statements and the related notes included elsewhere in this prospectus, and the section titled </w:t>
      </w:r>
      <w:r>
        <w:rPr>
          <w:rFonts w:ascii="Times New Roman" w:hAnsi="Times New Roman"/>
          <w:i/>
          <w:sz w:val="20"/>
        </w:rPr>
        <w:t>Managements Discussion and Analysis of Financial Condition and Results of Operations.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1"/>
        <w:gridCol w:w="222"/>
        <w:gridCol w:w="140"/>
        <w:gridCol w:w="805"/>
        <w:gridCol w:w="155"/>
        <w:gridCol w:w="183"/>
        <w:gridCol w:w="140"/>
        <w:gridCol w:w="805"/>
        <w:gridCol w:w="155"/>
        <w:gridCol w:w="183"/>
        <w:gridCol w:w="181"/>
        <w:gridCol w:w="990"/>
        <w:gridCol w:w="65"/>
      </w:tblGrid>
      <w:tr>
        <w:trPr/>
        <w:tc>
          <w:tcPr>
            <w:tcW w:w="618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18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2024</w:t>
            </w:r>
          </w:p>
        </w:tc>
        <w:tc>
          <w:tcPr>
            <w:tcW w:w="65" w:type="dxa"/>
            <w:tcBorders/>
            <w:vAlign w:val="bottom"/>
          </w:tcPr>
          <w:p>
            <w:pPr>
              <w:pStyle w:val="TableContents"/>
              <w:bidi w:val="0"/>
              <w:spacing w:before="0" w:after="283"/>
              <w:jc w:val="left"/>
              <w:rPr/>
            </w:pPr>
            <w:r>
              <w:rPr/>
              <w:t> </w:t>
            </w:r>
          </w:p>
        </w:tc>
      </w:tr>
      <w:tr>
        <w:trPr/>
        <w:tc>
          <w:tcPr>
            <w:tcW w:w="618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As</w:t>
              <w:br/>
              <w:t>adjusted (1)</w:t>
            </w:r>
          </w:p>
        </w:tc>
        <w:tc>
          <w:tcPr>
            <w:tcW w:w="65" w:type="dxa"/>
            <w:tcBorders/>
            <w:vAlign w:val="bottom"/>
          </w:tcPr>
          <w:p>
            <w:pPr>
              <w:pStyle w:val="TableContents"/>
              <w:bidi w:val="0"/>
              <w:spacing w:before="0" w:after="283"/>
              <w:jc w:val="left"/>
              <w:rPr/>
            </w:pPr>
            <w:r>
              <w:rPr/>
              <w:t> </w:t>
            </w:r>
          </w:p>
        </w:tc>
      </w:tr>
      <w:tr>
        <w:trPr/>
        <w:tc>
          <w:tcPr>
            <w:tcW w:w="618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737" w:type="dxa"/>
            <w:gridSpan w:val="10"/>
            <w:tcBorders/>
            <w:vAlign w:val="bottom"/>
          </w:tcPr>
          <w:p>
            <w:pPr>
              <w:pStyle w:val="TableContents"/>
              <w:bidi w:val="0"/>
              <w:spacing w:before="0" w:after="283"/>
              <w:jc w:val="center"/>
              <w:rPr>
                <w:b/>
              </w:rPr>
            </w:pPr>
            <w:r>
              <w:rPr>
                <w:b/>
              </w:rPr>
              <w:t>(in thousands, except share and per</w:t>
              <w:br/>
              <w:t>share data)</w:t>
            </w:r>
          </w:p>
        </w:tc>
        <w:tc>
          <w:tcPr>
            <w:tcW w:w="65" w:type="dxa"/>
            <w:tcBorders/>
            <w:vAlign w:val="bottom"/>
          </w:tcPr>
          <w:p>
            <w:pPr>
              <w:pStyle w:val="TableContents"/>
              <w:bidi w:val="0"/>
              <w:spacing w:before="0" w:after="283"/>
              <w:jc w:val="left"/>
              <w:rPr/>
            </w:pPr>
            <w:r>
              <w:rPr/>
              <w:t> </w:t>
            </w:r>
          </w:p>
        </w:tc>
      </w:tr>
      <w:tr>
        <w:trPr/>
        <w:tc>
          <w:tcPr>
            <w:tcW w:w="6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short-term investments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193,244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193,244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618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8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(Series A and B), $0.001 par value; 189,613,384 shares authorized; 189,613,384 shares issued and outstanding, actual; no shares authorized, issued or outstanding, pro forma and pro forma as adjusted</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234,739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81"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$0.001 par value; no shares authorized, issued or outstanding, actual;    shares authorized and no shares issued or outstanding, pro forma and pro forma as adjusted</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250,000,000 shares authorized, 35,722,402 shares issued and outstanding, actual;    shares authorized, 225,335,786 issued and outstanding, pro forma;    shares authorized,    shares issued and outstanding and pro forma as adjusted</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8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28,598</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263,147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8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(68,107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(68,107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18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(39,633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195,106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8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81"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195,106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195,106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18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Each $1.00 increase or decrease, as applicable, in the assumed initial public offering price of $    per share, which is the midpoint of the price range set forth on the cover page of this prospectus, would increase or decrease, as applicable, the pro forma as adjusted amount of each of cash, cash equivalents and short-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term investments, additional paid-in capital, total stockholders equity and total capitalization by $    million, assuming that the number of shares offered by us, as set forth on the cover page of this prospectus, remains the same and after deducting underwriting discounts and commissions and estimated offering expenses payable by us. Similarly, each increase or decrease, as applicable, of 1.0 million shares in the number of shares of common stock offered by us would increase or decrease, as applicable the pro forma as adjusted amount of each of cash, cash equivalents and short-term investments, additional paid-in capital, total stockholders equity and total capitalization by $    million, assuming no change in the assumed initial public offering price per share, and after deducting underwriting discounts and commissions and estimated offering expenses payable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that will be outstanding after this offering on a pro forma and pro forma as adjusted basis is based on 225,335,786 shares of common stock (which includes 17,388,750 shares of unvested restricted common stock) outstanding as of March 31, 2024, after giving effect to the automatic conversion of all outstanding shares of our convertible preferred stock into the aggregate of 189,613,384 shares of common stock immediately prior to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22,932,506 shares of common stock issuable upon exercise of outstanding stock options as of March 31, 2024 under our 2022 Plan, with a weighted average exercise price of $0.61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790,000 shares of common stock issuable upon exercise of outstanding stock options granted after March 31, 2024 pursuant to our 2022 Plan, with a weighted average exercise price of $1.35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1,016,323 shares of common stock reserved for future issuance as of March 31, 2024 under the 2022 Plan, which will cease to be available for issuance at the time that our 2024 Plan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common stock reserved for future issuance under the ESPP, which will become effective on the date immediately prior to the effectiveness of the registration statement of which this prospectus forms a part, as well as any automatic increases in the number of shares of common stock reserved for future issuance under the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that will become available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2022 Plan that expire or are repurchased, forfeited, cancelled, or withheld.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x803738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deficit as of March 31, 2024 was $(41.5) million, or $(1.16) per share of our common stock. Our historical net tangible book deficit represents the amount of our total tangible assets less our total liabilities and the carrying value of our convertible preferred stock, which is not included within stockholders deficit. Historical net tangible book deficit per share represents historical net tangible book deficit divided by 35,722,402 shares of our common stock outstanding (which includes 17,388,750 shares of unvested restricted common stock) as of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March 31, 2024 was $     million, or $     per share. Pro forma net tangible book value per share represents the amount of our total tangible assets less our total liabilities, divided by the number of shares of our common stock outstanding (which includes 17,388,750 shares of unvested restricted common stock) as of March 31, 2024, after giving effect to the automatic conversion of all outstanding shares of convertible preferred stock into 189,613,384 shares of common stock immediately prior to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further effect to the sale of    shares of common stock that we are offering at the assumed initial public offering price of $    per share, which is the midpoint of the price range set forth on the cover page of this prospectus, and after deducting underwriting discounts and commissions and estimated offering expenses payable by us, our pro forma as adjusted net tangible book value as of March 31, 2024 would have been $    million, or $    per share. This amount represents an immediate increase in pro forma net tangible book value of $     per share to our existing stockholders and an immediate dilution in pro forma net tangible book value of $     per share to new investors purchasing shares of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9"/>
        <w:gridCol w:w="240"/>
        <w:gridCol w:w="140"/>
        <w:gridCol w:w="555"/>
        <w:gridCol w:w="155"/>
        <w:gridCol w:w="206"/>
        <w:gridCol w:w="140"/>
        <w:gridCol w:w="806"/>
        <w:gridCol w:w="64"/>
      </w:tblGrid>
      <w:tr>
        <w:trPr/>
        <w:tc>
          <w:tcPr>
            <w:tcW w:w="789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initial public offering price per share</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(deficit) per share as of March 31, 2024</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per share as of March 31, 2024 attributable to the pro forma adjustment described above</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89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2024</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as adjusted net tangible book value per share attributable to new investors participating in this offering</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89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99"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89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common stock in this offering</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89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dilution information discussed above is illustrative only and may change based on the actual initial public offering price and other terms of this offering. Each $1.00 increase or decrease, as applicable, in the assumed initial public offering price of $    per share, which is the midpoint of the price range set forth on the cover page of this prospectus, would increase or decrease, as applicable, the pro forma as adjusted net tangible book value per share after this offering by $    , and dilution per share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purchasing common stock in this offering by $    , assuming that the number of shares of common stock offered by us, as set forth on the cover page of this prospectus, remains the same and after deducting underwriting discounts and commissions and estimated offering expenses payable by us. Similarly, each increase or decrease, as applicable, of 1.0 million shares in the number of shares of common stock offered by us would increase or decrease, as applicable, our pro forma as adjusted net tangible book value per share after this offering by $    per share, in each case, and increase or decrease, as applicable, the dilution to investors participating in this offering by $    per share, assuming no change in the assumed initial public offering price, and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our common stock in full, our pro forma as adjusted net tangible book value after the offering would be $     per share, representing an immediate increase in pro forma as adjusted net tangible book value of $     per share to existing stockholders and immediate dilution in pro forma as adjusted net tangible book value dilution of $     per share to new investors, in each case assuming an initial public offering price of $     per share, which is the midpoint of the price range set forth on the cover page of this prospectus, and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on the pro forma as adjusted basis described above, as of March 31, 2024, the total number of shares of common stock purchased from us on an as converted basis, the total consideration paid or to be paid to us, and the average price per share paid by existing stockholders or to be paid by new investors in this offering, based on the assumed initial public offering price of $     per share, which is the midpoint of the price range set forth on the cover page of this prospectus, before deducting underwriting discounts and commissions and estimated offering expenses payable by us. New investors purchasing shares of our common stock in this offering will pay an average price per share substantially higher than our existing stockholders paid.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4"/>
        <w:gridCol w:w="269"/>
        <w:gridCol w:w="94"/>
        <w:gridCol w:w="791"/>
        <w:gridCol w:w="94"/>
        <w:gridCol w:w="331"/>
        <w:gridCol w:w="108"/>
        <w:gridCol w:w="708"/>
        <w:gridCol w:w="275"/>
        <w:gridCol w:w="215"/>
        <w:gridCol w:w="217"/>
        <w:gridCol w:w="873"/>
        <w:gridCol w:w="93"/>
        <w:gridCol w:w="330"/>
        <w:gridCol w:w="107"/>
        <w:gridCol w:w="709"/>
        <w:gridCol w:w="275"/>
        <w:gridCol w:w="215"/>
        <w:gridCol w:w="143"/>
        <w:gridCol w:w="826"/>
        <w:gridCol w:w="68"/>
      </w:tblGrid>
      <w:tr>
        <w:trPr/>
        <w:tc>
          <w:tcPr>
            <w:tcW w:w="3464"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46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1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3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215" w:type="dxa"/>
            <w:vMerge w:val="restart"/>
            <w:tcBorders/>
            <w:vAlign w:val="bottom"/>
          </w:tcPr>
          <w:p>
            <w:pPr>
              <w:pStyle w:val="TableContents"/>
              <w:bidi w:val="0"/>
              <w:spacing w:before="0" w:after="283"/>
              <w:jc w:val="left"/>
              <w:rPr/>
            </w:pPr>
            <w:r>
              <w:rPr/>
              <w:t> </w:t>
            </w:r>
          </w:p>
        </w:tc>
        <w:tc>
          <w:tcPr>
            <w:tcW w:w="96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Average</w:t>
              <w:br/>
              <w:t>Price Per</w:t>
              <w:br/>
              <w:t>Share</w:t>
            </w:r>
          </w:p>
        </w:tc>
        <w:tc>
          <w:tcPr>
            <w:tcW w:w="68" w:type="dxa"/>
            <w:vMerge w:val="restart"/>
            <w:tcBorders/>
            <w:vAlign w:val="bottom"/>
          </w:tcPr>
          <w:p>
            <w:pPr>
              <w:pStyle w:val="TableContents"/>
              <w:bidi w:val="0"/>
              <w:spacing w:before="0" w:after="283"/>
              <w:jc w:val="left"/>
              <w:rPr/>
            </w:pPr>
            <w:r>
              <w:rPr/>
              <w:t> </w:t>
            </w:r>
          </w:p>
        </w:tc>
      </w:tr>
      <w:tr>
        <w:trPr/>
        <w:tc>
          <w:tcPr>
            <w:tcW w:w="346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94"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9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15" w:type="dxa"/>
            <w:vMerge w:val="continue"/>
            <w:tcBorders/>
            <w:vAlign w:val="bottom"/>
          </w:tcPr>
          <w:p>
            <w:pPr>
              <w:pStyle w:val="Normal"/>
              <w:bidi w:val="0"/>
              <w:jc w:val="left"/>
              <w:rPr/>
            </w:pPr>
            <w:r>
              <w:rPr/>
            </w:r>
          </w:p>
        </w:tc>
        <w:tc>
          <w:tcPr>
            <w:tcW w:w="969"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3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w:t>
            </w:r>
          </w:p>
        </w:tc>
        <w:tc>
          <w:tcPr>
            <w:tcW w:w="26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464" w:type="dxa"/>
            <w:tcBorders/>
          </w:tcPr>
          <w:p>
            <w:pPr>
              <w:pStyle w:val="TableContents"/>
              <w:bidi w:val="0"/>
              <w:spacing w:before="0" w:after="0"/>
              <w:jc w:val="left"/>
              <w:rPr>
                <w:rFonts w:ascii="Times New Roman" w:hAnsi="Times New Roman"/>
                <w:sz w:val="20"/>
              </w:rPr>
            </w:pPr>
            <w:r>
              <w:rPr>
                <w:rFonts w:ascii="Times New Roman" w:hAnsi="Times New Roman"/>
                <w:sz w:val="20"/>
              </w:rPr>
              <w:t>Investors participating in this offering</w:t>
            </w:r>
          </w:p>
        </w:tc>
        <w:tc>
          <w:tcPr>
            <w:tcW w:w="26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464"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6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73"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464"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no exercise of the underwriters option to purchase additional shares in this offering. If the underwriters exercise their option to purchase additional shares of common stock from us in full, our existing stockholders would own  %, and new investors purchasing shares of our common stock in this offering would own  %, of the total number of shares of our common stock outstanding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our common stock that will be outstanding after this offering is based on 225,335,786 shares (which includes 17,388,750 shares of unvested restricted common stock) outstanding as of March 31, 2024, after giving effect to the automatic conversion of all outstanding shares of our convertible preferred stock into an aggregate of 189,613,384 shares of common stock immediately prior to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22,932,506 shares of common stock issuable upon exercise of outstanding stock options as of March 31, 2024 under our 2022 Plan, with a weighted average exercise price of $0.61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790,000 shares of common stock issuable upon exercise of outstanding stock options granted after March 31, 2024 pursuant to our 2022 Plan, with a weighted average exercise price of $1.35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1,016,323 shares of common stock reserved for future issuance as of March 31, 2024 under the 2022 Plan, which will cease to be available for issuance at the time that our 2024 Plan,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    </w:t>
            </w:r>
            <w:r>
              <w:rPr>
                <w:rFonts w:ascii="Times New Roman" w:hAnsi="Times New Roman"/>
                <w:sz w:val="20"/>
              </w:rPr>
              <w:t xml:space="preserve">shares of our common stock that will become available for future issuance under our 2024 Plan, which will become effective on the date immediately prior to the effectiveness of the registration statement of which this prospectus forms a part, as well as any automatic increases in the number of shares of common stock reserved for future issuance under the 2024 Plan and any shares underlying outstanding stock awards granted under the 2022 Plan that expire or are repurchased, forfeited, cancelled, or withheld.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any outstanding options are exercised, new options or other equity awards are issued under our equity incentive plans,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x803738_8"/>
      <w:bookmarkEnd w:id="10"/>
      <w:r>
        <w:rPr>
          <w:rFonts w:ascii="Times New Roman" w:hAnsi="Times New Roman"/>
          <w:b/>
          <w:sz w:val="20"/>
        </w:rPr>
        <w:t xml:space="preserve">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sz w:val="20"/>
        </w:rPr>
      </w:pPr>
      <w:r>
        <w:rPr>
          <w:rFonts w:ascii="Times New Roman" w:hAnsi="Times New Roman"/>
          <w:i/>
          <w:sz w:val="20"/>
        </w:rPr>
        <w:t>You should read the following discussion and analysis of our financial condition and results of operations in conjunction with our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w:t>
      </w:r>
      <w:r>
        <w:rPr>
          <w:rFonts w:ascii="Times New Roman" w:hAnsi="Times New Roman"/>
          <w:sz w:val="20"/>
        </w:rPr>
        <w:t>Risk Factors</w:t>
      </w:r>
      <w:r>
        <w:rPr>
          <w:rFonts w:ascii="Times New Roman" w:hAnsi="Times New Roman"/>
          <w:i/>
          <w:sz w:val="20"/>
        </w:rPr>
        <w:t> and elsewhere in this prospectus. You should carefully read the Risk Factors section of this prospectus to gain an understanding of the important factors that could cause actual results to differ materially from our forward-looking statements. Please also see </w:t>
      </w:r>
      <w:r>
        <w:rPr>
          <w:rFonts w:ascii="Times New Roman" w:hAnsi="Times New Roman"/>
          <w:sz w:val="20"/>
        </w:rPr>
        <w:t>Special Note Regarding Forward-Looking Statements</w:t>
      </w:r>
      <w:r>
        <w:rPr>
          <w:rFonts w:ascii="Times New Roman" w:hAnsi="Times New Roman"/>
          <w:i/>
          <w:sz w:val="20"/>
        </w:rPr>
        <w:t xml:space="preserve">. Our historical results are not necessarily indicative of the results that may be expected for any period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We are a clinical-stage biopharmaceutical company focused on discovery and development of transformational small molecule medicines for patients suffering from central nervous system (CNS) disorders. Neuronal receptors are complex assemblies of proteins, comprising receptor principal subunits and their receptor associated proteins (RAPs), the latter of which play crucial roles in regulating receptor expression and function. Our founders have made pioneering discoveries related to RAP function to form the basis of our RAP technology platform. We believe that our deep expertise in RAP biology provides an opportunity for us to interrogate previously inaccessible targets and develop CNS drugs that are specific for receptor variants and neuroanatomical regions associated with certain diseases. RAP-219, our most advanced product candidate, is an AMPA receptor (AMPAR) negative allosteric modulator (NAM). RAP-219 is designed to achieve neuroanatomical specificity through its selective targeting of a RAP known as TARP</w:t>
      </w:r>
      <w:r>
        <w:rPr>
          <w:rFonts w:ascii="SYMBOL" w:hAnsi="SYMBOL"/>
          <w:sz w:val="20"/>
        </w:rPr>
        <w:t>g</w:t>
      </w:r>
      <w:r>
        <w:rPr>
          <w:rFonts w:ascii="Times New Roman" w:hAnsi="Times New Roman"/>
          <w:sz w:val="20"/>
        </w:rPr>
        <w:t>8, which is associated with the neuronal AMPAR, a clinically validated target for epilepsy. Whereas AMPARs are distributed widely in the CNS, TARP</w:t>
      </w:r>
      <w:r>
        <w:rPr>
          <w:rFonts w:ascii="SYMBOL" w:hAnsi="SYMBOL"/>
          <w:sz w:val="20"/>
        </w:rPr>
        <w:t>g</w:t>
      </w:r>
      <w:r>
        <w:rPr>
          <w:rFonts w:ascii="Times New Roman" w:hAnsi="Times New Roman"/>
          <w:sz w:val="20"/>
        </w:rPr>
        <w:t>8 is expressed only in discrete regions, including the hippocampus, a key site involved in focal epilepsy. We completed our Phase 1 trials in healthy adults to assess the safety and tolerability of RAP-219, and we intend to initiate a Phase 2a proof-of-concept trial in adult patients with drug-resistant focal epilepsy in the second or third quarter of (mid) 2024, with topline results expected in mid 2025. We believe RAP-219 also has therapeutic potential in peripheral neuropathic pain and bipolar disorder, and we intend to initiate Phase 2a trials in these indications in the second half of 2024 and in 2025, respectively. We have also identified another TARP</w:t>
      </w:r>
      <w:r>
        <w:rPr>
          <w:rFonts w:ascii="SYMBOL" w:hAnsi="SYMBOL"/>
          <w:sz w:val="20"/>
        </w:rPr>
        <w:t>g</w:t>
      </w:r>
      <w:r>
        <w:rPr>
          <w:rFonts w:ascii="Times New Roman" w:hAnsi="Times New Roman"/>
          <w:sz w:val="20"/>
        </w:rPr>
        <w:t xml:space="preserve">8 targeted molecule with differentiated chemical and pharmacokinetic properties, RAP-199, for which we expect to initiate a Phase 1 trial in the first half of 2025. </w:t>
      </w:r>
    </w:p>
    <w:p>
      <w:pPr>
        <w:pStyle w:val="TextBody"/>
        <w:bidi w:val="0"/>
        <w:spacing w:before="240" w:after="0"/>
        <w:jc w:val="left"/>
        <w:rPr>
          <w:rFonts w:ascii="Times New Roman" w:hAnsi="Times New Roman"/>
          <w:sz w:val="20"/>
        </w:rPr>
      </w:pPr>
      <w:r>
        <w:rPr>
          <w:rFonts w:ascii="Times New Roman" w:hAnsi="Times New Roman"/>
          <w:sz w:val="20"/>
        </w:rPr>
        <w:t>Beyond TARP</w:t>
      </w:r>
      <w:r>
        <w:rPr>
          <w:rFonts w:ascii="SYMBOL" w:hAnsi="SYMBOL"/>
          <w:sz w:val="20"/>
        </w:rPr>
        <w:t>g</w:t>
      </w:r>
      <w:r>
        <w:rPr>
          <w:rFonts w:ascii="Times New Roman" w:hAnsi="Times New Roman"/>
          <w:sz w:val="20"/>
        </w:rPr>
        <w:t xml:space="preserve">8, we have two advanced discovery-stage nicotinic acetylcholine receptor (nAChR) programs stemming from our RAP technology platform. Our first discovery-stage nAChR program comprises modulators of </w:t>
      </w:r>
      <w:r>
        <w:rPr>
          <w:rFonts w:ascii="SYMBOL" w:hAnsi="SYMBOL"/>
          <w:sz w:val="20"/>
        </w:rPr>
        <w:t>a</w:t>
      </w:r>
      <w:r>
        <w:rPr>
          <w:rFonts w:ascii="Times New Roman" w:hAnsi="Times New Roman"/>
          <w:sz w:val="20"/>
        </w:rPr>
        <w:t xml:space="preserve">6 nAChRs that we are developing for the treatment of chronic pain. Our second discovery-stage nAChR program comprises modulators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nAChRs that we are developing for the treatment of hearing disorders. We continue to leverage our RAP technology platform to discover additional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in February 2022, we have not generated any revenue from product sales or other sources and have incurred significant operating losses and negative cash flows from our operations. We have devoted substantially all of our efforts to organizing and staffing our company, business planning, research and development activities, building our intellectual property portfolio, and providing general and administrative support for these operations. To date, we have funded our operations primarily with proceeds from the issuance and sale of our convertible notes and convertible preferred stock. As of March 31, 2024, we had raised aggregate gross proceeds of $250.0 million from these financings, and had cash, cash equivalents and short-term investments of $193.2 million, excluding our restricted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incurred significant operating losses in each year since our inception. Our ability to generate product revenue sufficient to achieve profitability will depend heavily on the successful development and eventual commercialization of any product candidates we may develop. Our net losses were $10.7 million, $34.8 million, $6.1 million, and $22.7 million for the period from February 10, 2022 (inception) to December 31, 2022, the year ended December 31, 2023, and for the three months ended March 31, 2023 and 2024, respectively. As of March 31, 2024, we had an accumulated deficit of $68.1 million. We expect our expenses and operating losses will increase substantially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conduct our ongoing clinical trials of RAP-219, including advancement into late-stage global clinical trials, as well as initiate and complete additional clinical trials of future product candidates or current product candidates in new indications or patient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our ongoing preclinical studies and ongoing and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utilize third parties to manufacture our potential future product candidates and related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our early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additional research programs and program candidates to expand our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additional research and development, clinical, commercial, and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enforce, defend and protect our intellectual property portfolio and provide reimbursement of third-party expenses related to our patent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any potential future product candidates for which we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in-license product candidates,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 a sales, marketing and distribution infrastructure to commercialize any therapies for which we may obtain regulatory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costs associated with being a public company, including audit, legal, regulatory, and tax-related services associated with maintaining compliance with an exchange listing and Securities Exchange Commission (SEC) requirements, director and officer insurance premiums and investor relations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several preclinical and clinical development, regulatory, and commercial milestone payment obligations under our licensing arrangements. Our net losses may fluctuate significantly from quarter-to-quarter and year-to-year, depending on the timing of our preclinical studies and planned clinical trials and our expenditures on other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We do not expect to generate any revenue from product sales unless and until we successfully complete development and obtain regulatory approval for one or more of our potential future product candidates, which will not be for at least the next several years, if ever. If we obtain regulatory approval for any of our potential future product candidates, we expect to incur significant commercialization expenses related to product sales, marketing, manufacturing and distribution. Accordingly, until such time as we can generate significant revenue from sales of our potential future product candidates, if ever, we expect to finance our cash needs through equity offerings, debt financings or other capital sources, including potential collaborations, licenses and other similar arrangements. See the section titled </w:t>
      </w:r>
      <w:r>
        <w:rPr>
          <w:rFonts w:ascii="Times New Roman" w:hAnsi="Times New Roman"/>
          <w:i/>
          <w:sz w:val="20"/>
        </w:rPr>
        <w:t>Liquidity and Capital Resources</w:t>
      </w:r>
      <w:r>
        <w:rPr>
          <w:rFonts w:ascii="Times New Roman" w:hAnsi="Times New Roman"/>
          <w:sz w:val="20"/>
        </w:rPr>
        <w:t xml:space="preserve"> included elsewhere in this prospectus.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believe that the net proceeds from this offering, together with our existing cash and cash equivalents, and short-term investments will enable us to fund our operating expenses and capital expenditure requirements through    . See the sections titled </w:t>
      </w:r>
      <w:r>
        <w:rPr>
          <w:rFonts w:ascii="Times New Roman" w:hAnsi="Times New Roman"/>
          <w:i/>
          <w:sz w:val="20"/>
        </w:rPr>
        <w:t>Liquidity and Capital Resources and Risk FactorsRisks Related to Our Limited Operating History, Financial Condition and Need for Additional Capital</w:t>
      </w:r>
      <w:r>
        <w:rPr>
          <w:rFonts w:ascii="Times New Roman" w:hAnsi="Times New Roman"/>
          <w:sz w:val="20"/>
        </w:rPr>
        <w:t xml:space="preserve">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Option and License Agreement with Janssen Pharmaceutical NV </w:t>
      </w:r>
    </w:p>
    <w:p>
      <w:pPr>
        <w:pStyle w:val="TextBody"/>
        <w:bidi w:val="0"/>
        <w:spacing w:before="120" w:after="0"/>
        <w:jc w:val="left"/>
        <w:rPr>
          <w:rFonts w:ascii="Times New Roman" w:hAnsi="Times New Roman"/>
          <w:sz w:val="20"/>
        </w:rPr>
      </w:pPr>
      <w:r>
        <w:rPr>
          <w:rFonts w:ascii="Times New Roman" w:hAnsi="Times New Roman"/>
          <w:sz w:val="20"/>
        </w:rPr>
        <w:t>In August 2022, we entered into an option and license agreement with Janssen Pharmaceutical NV, as amended on April 3, 2023, April 18, 2023, May 2, 2023, October 2, 2023, and April 9, 2024 (collectively, the Janssen License), under which we received an exclusive option to obtain from Janssen (a) a worldwide exclusive license for the research, development, and commercialization of transmembrane TARP</w:t>
      </w:r>
      <w:r>
        <w:rPr>
          <w:rFonts w:ascii="SYMBOL" w:hAnsi="SYMBOL"/>
          <w:sz w:val="20"/>
        </w:rPr>
        <w:t>g</w:t>
      </w:r>
      <w:r>
        <w:rPr>
          <w:rFonts w:ascii="Times New Roman" w:hAnsi="Times New Roman"/>
          <w:sz w:val="20"/>
        </w:rPr>
        <w:t>8 AMPAR products for the diagnosis, treatment, prophylaxis or palliation of any disease or condition in humans or other animals (the Field) and (b) an assignment of certain patents related to TARP</w:t>
      </w:r>
      <w:r>
        <w:rPr>
          <w:rFonts w:ascii="SYMBOL" w:hAnsi="SYMBOL"/>
          <w:sz w:val="20"/>
        </w:rPr>
        <w:t>g</w:t>
      </w:r>
      <w:r>
        <w:rPr>
          <w:rFonts w:ascii="Times New Roman" w:hAnsi="Times New Roman"/>
          <w:sz w:val="20"/>
        </w:rPr>
        <w:t xml:space="preserve">8, in each case of (a)-(b), subject to certain retained rights by Janssen. Pursuant to the Janssen License, we also received a worldwide, royalty-free, non-exclusive license (exclusive under certain joint patents) for the research, development, and commercialization of certain neuronal nicotinic acetylcholine (nACh) products in the Field. </w:t>
      </w:r>
    </w:p>
    <w:p>
      <w:pPr>
        <w:pStyle w:val="TextBody"/>
        <w:bidi w:val="0"/>
        <w:spacing w:before="240" w:after="0"/>
        <w:jc w:val="left"/>
        <w:rPr>
          <w:rFonts w:ascii="Times New Roman" w:hAnsi="Times New Roman"/>
          <w:sz w:val="20"/>
        </w:rPr>
      </w:pPr>
      <w:r>
        <w:rPr>
          <w:rFonts w:ascii="Times New Roman" w:hAnsi="Times New Roman"/>
          <w:sz w:val="20"/>
        </w:rPr>
        <w:t>We made a non-refundable, non-creditable upfront payment of $1.0 million to Janssen after we entered into the Janssen License. In October 2022, we exercised the option and paid a non-refundable, non-creditable option fee of $4.0 million to Janssen. If we succeed in developing and commercializing TARP</w:t>
      </w:r>
      <w:r>
        <w:rPr>
          <w:rFonts w:ascii="SYMBOL" w:hAnsi="SYMBOL"/>
          <w:sz w:val="20"/>
        </w:rPr>
        <w:t>g</w:t>
      </w:r>
      <w:r>
        <w:rPr>
          <w:rFonts w:ascii="Times New Roman" w:hAnsi="Times New Roman"/>
          <w:sz w:val="20"/>
        </w:rPr>
        <w:t>8 products, Janssen will be eligible to receive (i) up to $76.0 million in development milestone payments and up to $40.0 million sales milestone payments for the product containing the lead TARP</w:t>
      </w:r>
      <w:r>
        <w:rPr>
          <w:rFonts w:ascii="SYMBOL" w:hAnsi="SYMBOL"/>
          <w:sz w:val="20"/>
        </w:rPr>
        <w:t>g</w:t>
      </w:r>
      <w:r>
        <w:rPr>
          <w:rFonts w:ascii="Times New Roman" w:hAnsi="Times New Roman"/>
          <w:sz w:val="20"/>
        </w:rPr>
        <w:t>8 development candidate, and (ii) up to $25.0 million in development milestone payments and up to $42.0 million sales milestone payments for other TARP</w:t>
      </w:r>
      <w:r>
        <w:rPr>
          <w:rFonts w:ascii="SYMBOL" w:hAnsi="SYMBOL"/>
          <w:sz w:val="20"/>
        </w:rPr>
        <w:t>g</w:t>
      </w:r>
      <w:r>
        <w:rPr>
          <w:rFonts w:ascii="Times New Roman" w:hAnsi="Times New Roman"/>
          <w:sz w:val="20"/>
        </w:rPr>
        <w:t>8 products containing a non-lead TARP</w:t>
      </w:r>
      <w:r>
        <w:rPr>
          <w:rFonts w:ascii="SYMBOL" w:hAnsi="SYMBOL"/>
          <w:sz w:val="20"/>
        </w:rPr>
        <w:t>g</w:t>
      </w:r>
      <w:r>
        <w:rPr>
          <w:rFonts w:ascii="Times New Roman" w:hAnsi="Times New Roman"/>
          <w:sz w:val="20"/>
        </w:rPr>
        <w:t xml:space="preserve">8 development candidate. </w:t>
      </w:r>
    </w:p>
    <w:p>
      <w:pPr>
        <w:pStyle w:val="TextBody"/>
        <w:bidi w:val="0"/>
        <w:spacing w:before="240" w:after="0"/>
        <w:jc w:val="left"/>
        <w:rPr>
          <w:rFonts w:ascii="Times New Roman" w:hAnsi="Times New Roman"/>
          <w:sz w:val="20"/>
        </w:rPr>
      </w:pPr>
      <w:r>
        <w:rPr>
          <w:rFonts w:ascii="Times New Roman" w:hAnsi="Times New Roman"/>
          <w:sz w:val="20"/>
        </w:rPr>
        <w:t>Janssen is also eligible to receive (a) royalties ranging from mid-single digits to high single digits on worldwide net sales of any products containing a TARP</w:t>
      </w:r>
      <w:r>
        <w:rPr>
          <w:rFonts w:ascii="SYMBOL" w:hAnsi="SYMBOL"/>
          <w:sz w:val="20"/>
        </w:rPr>
        <w:t>g</w:t>
      </w:r>
      <w:r>
        <w:rPr>
          <w:rFonts w:ascii="Times New Roman" w:hAnsi="Times New Roman"/>
          <w:sz w:val="20"/>
        </w:rPr>
        <w:t>8 development candidate and (b) royalties ranging from low-single digits to mid-single digits for other TARP</w:t>
      </w:r>
      <w:r>
        <w:rPr>
          <w:rFonts w:ascii="SYMBOL" w:hAnsi="SYMBOL"/>
          <w:sz w:val="20"/>
        </w:rPr>
        <w:t>g</w:t>
      </w:r>
      <w:r>
        <w:rPr>
          <w:rFonts w:ascii="Times New Roman" w:hAnsi="Times New Roman"/>
          <w:sz w:val="20"/>
        </w:rPr>
        <w:t>8 products that do not contain a TARP</w:t>
      </w:r>
      <w:r>
        <w:rPr>
          <w:rFonts w:ascii="SYMBOL" w:hAnsi="SYMBOL"/>
          <w:sz w:val="20"/>
        </w:rPr>
        <w:t>g</w:t>
      </w:r>
      <w:r>
        <w:rPr>
          <w:rFonts w:ascii="Times New Roman" w:hAnsi="Times New Roman"/>
          <w:sz w:val="20"/>
        </w:rPr>
        <w:t>8 development candidate, in each case of (a) and (b), subject to potential reductions following the expiration of valid claims and regulatory exclusivity covering such TARP</w:t>
      </w:r>
      <w:r>
        <w:rPr>
          <w:rFonts w:ascii="SYMBOL" w:hAnsi="SYMBOL"/>
          <w:sz w:val="20"/>
        </w:rPr>
        <w:t>g</w:t>
      </w:r>
      <w:r>
        <w:rPr>
          <w:rFonts w:ascii="Times New Roman" w:hAnsi="Times New Roman"/>
          <w:sz w:val="20"/>
        </w:rPr>
        <w:t>8 products, the launch of certain generic products and the application of certain anti-stacking reductions for third party intellectual property payments, subject to a customary reduction floor. The royalties for any TARP</w:t>
      </w:r>
      <w:r>
        <w:rPr>
          <w:rFonts w:ascii="SYMBOL" w:hAnsi="SYMBOL"/>
          <w:sz w:val="20"/>
        </w:rPr>
        <w:t>g</w:t>
      </w:r>
      <w:r>
        <w:rPr>
          <w:rFonts w:ascii="Times New Roman" w:hAnsi="Times New Roman"/>
          <w:sz w:val="20"/>
        </w:rPr>
        <w:t>8 product will expire on a country-by-country basis upon the latest to occur of (i) the expiration of all valid patent claims covering such product in such country, (ii) the expiration of all regulatory exclusivities in such country, and (iii) a specified number of years following the first commercial sale of such product in such country. The Janssen License provides us with certain other exclusive rights with respect to small molecules with activity against TARP</w:t>
      </w:r>
      <w:r>
        <w:rPr>
          <w:rFonts w:ascii="SYMBOL" w:hAnsi="SYMBOL"/>
          <w:sz w:val="20"/>
        </w:rPr>
        <w:t>g</w:t>
      </w:r>
      <w:r>
        <w:rPr>
          <w:rFonts w:ascii="Times New Roman" w:hAnsi="Times New Roman"/>
          <w:sz w:val="20"/>
        </w:rPr>
        <w:t xml:space="preserve">8 and nACh.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to terminate the Janssen License for any or no reason upon providing prior written notice to Janssen upon ninety (90) days prior written notice to Janssen. Either party may terminate the license agreement in its entirety for the other partys material breach if such party fails to cure the breach or upon certain insolvency events involving the other party. </w:t>
      </w:r>
    </w:p>
    <w:p>
      <w:pPr>
        <w:pStyle w:val="TextBody"/>
        <w:bidi w:val="0"/>
        <w:spacing w:before="240" w:after="0"/>
        <w:jc w:val="left"/>
        <w:rPr>
          <w:rFonts w:ascii="Times New Roman" w:hAnsi="Times New Roman"/>
          <w:sz w:val="20"/>
        </w:rPr>
      </w:pPr>
      <w:r>
        <w:rPr>
          <w:rFonts w:ascii="Times New Roman" w:hAnsi="Times New Roman"/>
          <w:sz w:val="20"/>
        </w:rPr>
        <w:t>We determined that the Janssen License represented an asset acquisition, rather than a business combination, as substantially all of the fair value of the assets acquired in the Janssen License was concentrated in a single asset, the TARP</w:t>
      </w:r>
      <w:r>
        <w:rPr>
          <w:rFonts w:ascii="SYMBOL" w:hAnsi="SYMBOL"/>
          <w:sz w:val="20"/>
        </w:rPr>
        <w:t>g</w:t>
      </w:r>
      <w:r>
        <w:rPr>
          <w:rFonts w:ascii="Times New Roman" w:hAnsi="Times New Roman"/>
          <w:sz w:val="20"/>
        </w:rPr>
        <w:t xml:space="preserve">8 compound, which was in the early stage of development at the time of acquisition. As the IPR&amp;D asset was determined to have no alternative future use, we recognized the aggregate acquisition cost as related party acquired in-process research and development expense in the consolidated statement of operations and comprehensive loss for the period from February 10, 2022 (inception) to December 31, 2022. We recognized the $5.0 million of related party acquired in-process research and development expense in connection with the consideration due under the Janssen License during the period from February 10, 2022 (inception) to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NeuroPace Master Services Agreement and Statement of Work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we entered into a master services agreement (the NeuroPace Agreement) with NeuroPace Inc. (NeuroPace), the manufacturer and distributor of the responsive neurostimulation (RNS) system. Pursuant to the NeuroPace Agreement and in accordance with statement of work agreements entered into from time to time, NeuroPace provides us with certain services with respect to data from the RNS systems used in our clinical trials. The NeuroPace Agreement also grants us a royalty-free, worldwide, exclusive, non-transferable license to all data collected by the RNS systems in our Phase 2a clinical trial and the outcomes of algorithms that are applied to such data, as well as the ability to publish the outcomes of algorithms, subject to certain conditions. The consideration we will pay to NeuroPace for such services is set out in each statement of work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contains an exclusivity provision providing that, at any time while providing services under the NeuroPace Agreement and for a period after the final clinical study report, NeuroPace may not perform any services that are the same as the services covered by the NeuroPace Agreement to any business that directly competes with us, subject to the specific terms of the NeuroPace Agreement. The NeuroPace Agreement also contains standard representations and warranties, confidentiality and intellectual property protective provisions and indemnification terms.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expires on the later of three years from the effective date or the completion of all services under all statement of work agreements entered into prior to the third anniversary of the effective date. Either party may terminate the NeuroPace Agreement or any statement of work agreement (i) without cause by giving written notice to the other party within a specified period of time, (ii) by giving written notice upon a curable material breach that is not remediated within a specified period of time, or (iii) immediately upon written notice in the event of a material breach that cannot be cured.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NeuroPace Agreement, the parties also entered into an initial statement of work, as amended in March 2024 (the NeuroPace SOW), under the NeuroPace Agreement, pursuant to which NeuroPace agreed to provide services related to our Phase 2a clinical trial of RAP-219, including, among other things, clinical trial readiness support, identification of potential patients satisfying the enrollment criteria and RNS system data reporting and data analysis. Pursuant to the payment schedule set out in the NeuroPace SOW, we will pay NeuroPace an aggregate of up to $3.7 million over a period of approximately two years in connection with NeuroPaces provision of services and achievement of certain patient enrollment and deliverable milestones.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we paid NeuroPace $1.5 million, which is recorded as prepaid expenses and other current assets in the consolidated balance sheet as of December 31, 2023. During the three months ended March 31, 2024, we paid NeuroPace an additional $0.3 million and recognized $0.3 million in research and development expense for services performed, resulting in a prepaid expense balance of $1.5 million as of March 31, 2024.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Related Party Acquired In-Process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We measure and recognize asset acquisitions or licenses to intellectual property that are not deemed to be business combinations based on the cost to acquire or license the asset or group of assets, which includes transaction costs. Goodwill is not recognized in asset acquisitions. In an asset acquisition or license to intellectual property, the cost allocated to acquire in-process research and development (IPR&amp;D) with no alternative future use is recognized as research and development expense on the acquisition date. For the period from February 10, 2022 (inception) to December 31, 2022, we recorded $5.0 million of research and development expense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the acquired IPR&amp;D from Janssen. There were no research and development expenses related to the acquired IPR&amp;D recognized during the three months ended March 31, 2023 or 2024. We will recognize additional acquired IPR&amp;D expenses in the future if and when we are successful in meeting specified development milestones for TARP</w:t>
      </w:r>
      <w:r>
        <w:rPr>
          <w:rFonts w:ascii="SYMBOL" w:hAnsi="SYMBOL"/>
          <w:sz w:val="20"/>
        </w:rPr>
        <w:t>g</w:t>
      </w:r>
      <w:r>
        <w:rPr>
          <w:rFonts w:ascii="Times New Roman" w:hAnsi="Times New Roman"/>
          <w:sz w:val="20"/>
        </w:rPr>
        <w:t xml:space="preserve">8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development and research of our clinical and pre-clinical potential future product candidates. Our research and development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costs, including salaries, bonuses, benefits, and stock-based compensation for employees engaged in manufacturing,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to acquire IPR&amp;D with no alternative future use acquired in an asset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expenses, including expenses incurred under arrangements with third parties, such as contract research organizations, contract manufacturing organizations, consultants and our clinical and scientific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developing and validating our outsourced manufacturing process for use in our preclinical studies and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to obtain licenses to intellectual property and related future payments should certain development milestones be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for laboratory supplies, research materials, and reagents;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facility costs, depreciation, and other expenses related to research and development activities, which include direct or allocated expenses for rent, maintenance of facilities, and utilities.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primary focus since inception has been the development of RAP-219. Our research and development costs consist primarily of personnel-related costs and external costs, such as fees paid to Contract Manufacturing Organizations (CMOs), Contract Research Organizations (CROs) and consultants in connection with our non-clinical studies, preclinical studies and clinical trials. We expense all research and development costs in the periods in which they are incurred. Because we are working on multiple research and development programs at one time, we track many of our external expenses on a program-by-program basis. We do not allocate personnel-related costs or other indirect costs, to specific product development programs because these costs are deployed across multiple programs and, as such, are not separately classified.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RAP-219 through clinical development, pursue regulatory approval of RAP-219, continue to discover and develop additional product candidates and incur expenses associated with hiring additional personnel to support our research and development efforts, including the associated manufacturing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Upfront and milestone payments made are accrued for and expensed when the achievement of the milestone is probable up to the point of regulatory approval. Milestone payments made upon regulatory approval will be capitalized and amortized over the remaining useful life of the related product. </w:t>
      </w:r>
    </w:p>
    <w:p>
      <w:pPr>
        <w:pStyle w:val="TextBody"/>
        <w:bidi w:val="0"/>
        <w:spacing w:before="240" w:after="0"/>
        <w:jc w:val="left"/>
        <w:rPr>
          <w:rFonts w:ascii="Times New Roman" w:hAnsi="Times New Roman"/>
          <w:sz w:val="20"/>
        </w:rPr>
      </w:pPr>
      <w:r>
        <w:rPr>
          <w:rFonts w:ascii="Times New Roman" w:hAnsi="Times New Roman"/>
          <w:sz w:val="20"/>
        </w:rPr>
        <w:t xml:space="preserve">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preclinical and clinical development activities;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and successful completion of preclinical studies, including toxicology studies, biodistribution studies and minimally efficacious dose studies in animals, where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Investigational New Drugs (INDs) or comparable foreign applications that allow commencement of our planned clinical trials or future clinical trials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enrollment and completion of clinical trials, including under the U.S. Food and Drug Administrations (FDAs) current Good Clinical Practices, (GCPs) current Good Laboratory Practices, (GLPs) and any additional regulatory requirements from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results from our future clinical trials that support a finding of safety and effectiveness and an acceptable risk-benefit profile in the intended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marketing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of arrangements through our own facilities or with third-party manufacturers for clinical supply and, where applicable, commercial manufacturing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establishment, maintenance, defense and enforcement of patent, trademark, trade secret and other intellectual property protection or regulatory exclusivity for any product candidates we may develop;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of a continued acceptable safety, tolerability and efficacy profile of any product candidates we may develop following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any of our product candidates or potential future product candidate could mean a significant change in the costs and timing associated with the development of that product candidate or potential future product candidate. For example, if the FDA or another regulatory authority were to require us to conduct clinical trials beyond those that we anticipate would be required for the completion of clinical development of a product candidate or potential future product candidate, or if we experience significant delays in our clinical trials due to slower than expected patient enrollment or other reasons, we would be required to expend significant additional financial resources and time on the completion of clinical development. We may never obtain regulatory approval for any of our product candidates, and, even if we do, drug commercialization takes several years and millions of dollars in development costs.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costs, including salaries, bonuses, benefits, and stock-based compensation charges for those individuals in executive,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our general and administrative expenses will increase for the foreseeable future to support development of product candidates and our continued research activities. These increases will likely include additional costs related to the hiring of additional personnel and fees paid to outside consultants, among other expenses. We also anticipate increased expenses related to audit, accounting, legal, regulatory, and tax-related services associated with maintaining compliance with The Nasdaq Global Market (Nasdaq) and SEC requirements, director and officer insurance premiums, and investor relations costs associated with operating as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Income (Expense) </w:t>
      </w:r>
    </w:p>
    <w:p>
      <w:pPr>
        <w:pStyle w:val="TextBody"/>
        <w:bidi w:val="0"/>
        <w:spacing w:before="120" w:after="0"/>
        <w:jc w:val="left"/>
        <w:rPr>
          <w:rFonts w:ascii="Times New Roman" w:hAnsi="Times New Roman"/>
          <w:i/>
          <w:sz w:val="20"/>
        </w:rPr>
      </w:pPr>
      <w:r>
        <w:rPr>
          <w:rFonts w:ascii="Times New Roman" w:hAnsi="Times New Roman"/>
          <w:i/>
          <w:sz w:val="20"/>
        </w:rPr>
        <w:t xml:space="preserve">Change in Fair Value of Preferred Stock Tranche Right Liabilities </w:t>
      </w:r>
    </w:p>
    <w:p>
      <w:pPr>
        <w:pStyle w:val="TextBody"/>
        <w:bidi w:val="0"/>
        <w:spacing w:before="120" w:after="0"/>
        <w:jc w:val="left"/>
        <w:rPr>
          <w:rFonts w:ascii="Times New Roman" w:hAnsi="Times New Roman"/>
          <w:sz w:val="20"/>
        </w:rPr>
      </w:pPr>
      <w:r>
        <w:rPr>
          <w:rFonts w:ascii="Times New Roman" w:hAnsi="Times New Roman"/>
          <w:sz w:val="20"/>
        </w:rPr>
        <w:t xml:space="preserve">Our Series A and Series B convertible preferred stock purchase agreements provided the investors the obligation to participate in subsequent offerings of Series A and Series B convertible preferred stock upon achievement of certain specified milestones, upon the waiver of such milestone achievement by a majority vote of the respective series convertible preferred stockholders, or with respect to the Series B convertible preferred stock, upon exercise of the stockholders right to early exercise the preferred stock tranche right. The preferred stock tranche rights are classified as liabilities and initially recorded at fair value upon the issuance date of the rights. The liabilities were subsequently remeasured to fair value at each reporting date and immediately prior to being settled, and changes in fair value of the preferred stock tranche right liabilities were recognized as a component of other income (expense), net in our consolidated statements of operations and comprehensive loss. In February 2023, we closed the Series A second and third financings, resulting in full settlement of the tranche right, upon both of which we issued additional shares of Series A convertible preferred stock. Immediately prior to the issuance of such shares, the preferred stock tranche right liability was remeasured to fair value with the change in fair value recognized as a component of other income (expense), net. As a result of the Series A preferred stock tranche right settlement in February 2023, we will no longer recognize changes in the fair value of the Series A preferred stock tranche liability in our consolidated statements of operations and comprehensive loss. In March 2024, we closed the Series B second financing, resulting in full settlement of the tranche right, upon which we issued additional shares of Series B convertible preferred stock. Immediately prior to the issuance of such shares, the preferred stock tranche right liability was remeasured to fair value with the change in fair value recognized as a component of other income (expense), net. As a result of the Series B preferred stock tranche right settlement in March 2024, we will no longer recognize changes in the fair value of the Series B preferred stock tranche liability in our consolidated statements of operations and comprehensive loss.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of interest earned from our cash, cash equivalents and short-term and long term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 August and September 2022, we issued a total of four convertible promissory notes (the Notes or the Convertible Notes) as part of a series of Convertible Notes. The Convertible Notes bore interest at a rate of 8.0% per annum computed on the basis of a 365-day year and maturity dates 12 months from the date of issuance. Upon initial issuance the Notes were recorded net of $0.1 million of related issuance costs which were amortized on a straight-line basis to interest expense over the term of the notes. The Notes provided a share-settled redemption feature whereby upon the closing of specified financing events, the Notes would automatically settle into shares of the same class and series of capital stock that are issued to other investors in the financing at a price equal to the 100% of the price per share paid by the other investors. In addition, upon specified events such as a change of control or sale of substantially all of our assets, the Notes are redeemable at 100% of principal and accrued interest. In December, 2022, in conjunction with our Series A convertible preferred stock financing, the Holders exercised their right to exchange the Notes, plus accrued interest, for shares of Series A convertible preferred stock. The unamortized debt issuance costs at the time of conversion were recorded as a loss on extinguishment of debt within interest expense in the consolidated statement of operations and comprehensive loss.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 from February 10, 2022 (inception) to December 31, 2022, the year ended December 31, 2023, and the three months ended March 31, 2023 and 2024, we recorded an income tax provision of $0, $10 thousand, $1 thousand and $0, respectively. As of December 31, 2022 and 2023 and March 31, 2024,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recorded a full valuation allowance of our net deferred tax assets, as we believed it was more likely than not we would not be able to utilize our deferred tax assets prior to their expiration.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not recorded any income tax benefits for the net losses we have incurred in each year or for our research and development tax credits, as we believe, based upon the weight of available evidence, that it is more likely than not that all of our net operating losses (NOLs), carryforwards and tax credits will be not realized. As of December 31, 2023, we had federal NOL carryforwards of approximately $6.0 million and state NOL carryforwards of approximately $1.6 million which may be available to offset future taxable income and begin to expire in 2042. The total federal NOLs of $6.0 million are not subject to expiration. As of December 31, 2023, we also had federal and state tax research and development credit carryforwards of approximately $1.5 million and $0.5 million, respectively to offset future tax liabilities, which begin to expire in 2037 and 2042, respectively. We have recorded a full valuation allowance against our net deferred tax assets at December 31, 2023. As of December 31, 2023, we had no unrecognized tax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March 31, 2023 and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results of operations for the three months ended March 31, 2023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7"/>
        <w:gridCol w:w="224"/>
        <w:gridCol w:w="140"/>
        <w:gridCol w:w="834"/>
        <w:gridCol w:w="168"/>
        <w:gridCol w:w="188"/>
        <w:gridCol w:w="140"/>
        <w:gridCol w:w="834"/>
        <w:gridCol w:w="155"/>
        <w:gridCol w:w="188"/>
        <w:gridCol w:w="140"/>
        <w:gridCol w:w="758"/>
        <w:gridCol w:w="159"/>
      </w:tblGrid>
      <w:tr>
        <w:trPr/>
        <w:tc>
          <w:tcPr>
            <w:tcW w:w="627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7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3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9"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545" w:type="dxa"/>
            <w:gridSpan w:val="10"/>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3,899</w:t>
            </w:r>
          </w:p>
        </w:tc>
        <w:tc>
          <w:tcPr>
            <w:tcW w:w="16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12,504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8,605</w:t>
            </w:r>
          </w:p>
        </w:tc>
        <w:tc>
          <w:tcPr>
            <w:tcW w:w="159"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1,292</w:t>
            </w:r>
          </w:p>
        </w:tc>
        <w:tc>
          <w:tcPr>
            <w:tcW w:w="16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4,590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3,298</w:t>
            </w:r>
          </w:p>
        </w:tc>
        <w:tc>
          <w:tcPr>
            <w:tcW w:w="159" w:type="dxa"/>
            <w:tcBorders/>
            <w:shd w:fill="CCEEFF" w:val="clear"/>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5,191</w:t>
            </w:r>
          </w:p>
        </w:tc>
        <w:tc>
          <w:tcPr>
            <w:tcW w:w="16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17,094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11,903</w:t>
            </w:r>
          </w:p>
        </w:tc>
        <w:tc>
          <w:tcPr>
            <w:tcW w:w="159"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(5,191</w:t>
            </w:r>
          </w:p>
        </w:tc>
        <w:tc>
          <w:tcPr>
            <w:tcW w:w="16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(17,094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(11,903</w:t>
            </w:r>
          </w:p>
        </w:tc>
        <w:tc>
          <w:tcPr>
            <w:tcW w:w="159" w:type="dxa"/>
            <w:tcBorders/>
            <w:shd w:fill="CCEEFF" w:val="clear"/>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75</w:t>
            </w:r>
          </w:p>
        </w:tc>
        <w:tc>
          <w:tcPr>
            <w:tcW w:w="16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1,815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1,740</w:t>
            </w:r>
          </w:p>
        </w:tc>
        <w:tc>
          <w:tcPr>
            <w:tcW w:w="159" w:type="dxa"/>
            <w:tcBorders/>
            <w:shd w:fill="CCEEFF" w:val="clear"/>
            <w:vAlign w:val="bottom"/>
          </w:tcPr>
          <w:p>
            <w:pPr>
              <w:pStyle w:val="TableContents"/>
              <w:bidi w:val="0"/>
              <w:spacing w:before="0" w:after="283"/>
              <w:jc w:val="left"/>
              <w:rPr/>
            </w:pPr>
            <w:r>
              <w:rPr/>
              <w:t> </w:t>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(1,030</w:t>
            </w:r>
          </w:p>
        </w:tc>
        <w:tc>
          <w:tcPr>
            <w:tcW w:w="16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(7,390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(6,360</w:t>
            </w:r>
          </w:p>
        </w:tc>
        <w:tc>
          <w:tcPr>
            <w:tcW w:w="159"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(955</w:t>
            </w:r>
          </w:p>
        </w:tc>
        <w:tc>
          <w:tcPr>
            <w:tcW w:w="16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(5,575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(4,620</w:t>
            </w:r>
          </w:p>
        </w:tc>
        <w:tc>
          <w:tcPr>
            <w:tcW w:w="159" w:type="dxa"/>
            <w:tcBorders/>
            <w:shd w:fill="CCEEFF" w:val="clear"/>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income taxes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(6,146</w:t>
            </w:r>
          </w:p>
        </w:tc>
        <w:tc>
          <w:tcPr>
            <w:tcW w:w="16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(22,669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(16,523</w:t>
            </w:r>
          </w:p>
        </w:tc>
        <w:tc>
          <w:tcPr>
            <w:tcW w:w="159"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w:t>
            </w:r>
          </w:p>
        </w:tc>
        <w:tc>
          <w:tcPr>
            <w:tcW w:w="16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 </w:t>
            </w:r>
            <w:r>
              <w:rPr/>
              <w:t>(6,147</w:t>
            </w:r>
          </w:p>
        </w:tc>
        <w:tc>
          <w:tcPr>
            <w:tcW w:w="16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(22,669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(16,522</w:t>
            </w:r>
          </w:p>
        </w:tc>
        <w:tc>
          <w:tcPr>
            <w:tcW w:w="159"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3"/>
        <w:gridCol w:w="209"/>
        <w:gridCol w:w="140"/>
        <w:gridCol w:w="1080"/>
        <w:gridCol w:w="60"/>
        <w:gridCol w:w="209"/>
        <w:gridCol w:w="140"/>
        <w:gridCol w:w="1080"/>
        <w:gridCol w:w="60"/>
        <w:gridCol w:w="209"/>
        <w:gridCol w:w="140"/>
        <w:gridCol w:w="1080"/>
        <w:gridCol w:w="65"/>
      </w:tblGrid>
      <w:tr>
        <w:trPr/>
        <w:tc>
          <w:tcPr>
            <w:tcW w:w="5733"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r>
      <w:tr>
        <w:trPr/>
        <w:tc>
          <w:tcPr>
            <w:tcW w:w="573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709" w:type="dxa"/>
            <w:gridSpan w:val="6"/>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For the three months</w:t>
              <w:br/>
              <w:t>ended March 31,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573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Change</w:t>
            </w:r>
          </w:p>
        </w:tc>
        <w:tc>
          <w:tcPr>
            <w:tcW w:w="65" w:type="dxa"/>
            <w:tcBorders/>
            <w:vAlign w:val="bottom"/>
          </w:tcPr>
          <w:p>
            <w:pPr>
              <w:pStyle w:val="TableContents"/>
              <w:bidi w:val="0"/>
              <w:spacing w:before="0" w:after="283"/>
              <w:jc w:val="left"/>
              <w:rPr/>
            </w:pPr>
            <w:r>
              <w:rPr/>
              <w:t> </w:t>
            </w:r>
          </w:p>
        </w:tc>
      </w:tr>
      <w:tr>
        <w:trPr/>
        <w:tc>
          <w:tcPr>
            <w:tcW w:w="573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198" w:type="dxa"/>
            <w:gridSpan w:val="10"/>
            <w:tcBorders/>
            <w:vAlign w:val="bottom"/>
          </w:tcPr>
          <w:p>
            <w:pPr>
              <w:pStyle w:val="TableContents"/>
              <w:bidi w:val="0"/>
              <w:spacing w:before="0" w:after="283"/>
              <w:jc w:val="center"/>
              <w:rPr>
                <w:rFonts w:ascii="Times New Roman" w:hAnsi="Times New Roman"/>
                <w:b/>
              </w:rPr>
            </w:pPr>
            <w:r>
              <w:rPr>
                <w:rFonts w:ascii="Times New Roman" w:hAnsi="Times New Roman"/>
                <w:b/>
              </w:rPr>
              <w:t>(in thousands)</w:t>
            </w:r>
          </w:p>
        </w:tc>
        <w:tc>
          <w:tcPr>
            <w:tcW w:w="65" w:type="dxa"/>
            <w:tcBorders/>
            <w:vAlign w:val="bottom"/>
          </w:tcPr>
          <w:p>
            <w:pPr>
              <w:pStyle w:val="TableContents"/>
              <w:bidi w:val="0"/>
              <w:spacing w:before="0" w:after="283"/>
              <w:jc w:val="left"/>
              <w:rPr/>
            </w:pPr>
            <w:r>
              <w:rPr/>
              <w:t> </w:t>
            </w:r>
          </w:p>
        </w:tc>
      </w:tr>
      <w:tr>
        <w:trPr/>
        <w:tc>
          <w:tcPr>
            <w:tcW w:w="5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external program expenses: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733" w:type="dxa"/>
            <w:tcBorders/>
          </w:tcPr>
          <w:p>
            <w:pPr>
              <w:pStyle w:val="TableContents"/>
              <w:bidi w:val="0"/>
              <w:spacing w:before="0" w:after="0"/>
              <w:jc w:val="left"/>
              <w:rPr>
                <w:rFonts w:ascii="Times New Roman" w:hAnsi="Times New Roman"/>
                <w:sz w:val="20"/>
              </w:rPr>
            </w:pPr>
            <w:r>
              <w:rPr>
                <w:rFonts w:ascii="Times New Roman" w:hAnsi="Times New Roman"/>
                <w:sz w:val="20"/>
              </w:rPr>
              <w:t>RAP-219 program</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bottom"/>
          </w:tcPr>
          <w:p>
            <w:pPr>
              <w:pStyle w:val="TableContents"/>
              <w:bidi w:val="0"/>
              <w:spacing w:before="0" w:after="283"/>
              <w:jc w:val="right"/>
              <w:rPr>
                <w:rFonts w:ascii="Times New Roman" w:hAnsi="Times New Roman"/>
              </w:rPr>
            </w:pPr>
            <w:r>
              <w:rPr>
                <w:rFonts w:ascii="Times New Roman" w:hAnsi="Times New Roman"/>
              </w:rPr>
              <w:t>1,117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bottom"/>
          </w:tcPr>
          <w:p>
            <w:pPr>
              <w:pStyle w:val="TableContents"/>
              <w:bidi w:val="0"/>
              <w:spacing w:before="0" w:after="283"/>
              <w:jc w:val="right"/>
              <w:rPr>
                <w:rFonts w:ascii="Times New Roman" w:hAnsi="Times New Roman"/>
              </w:rPr>
            </w:pPr>
            <w:r>
              <w:rPr>
                <w:rFonts w:ascii="Times New Roman" w:hAnsi="Times New Roman"/>
              </w:rPr>
              <w:t>3,901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bottom"/>
          </w:tcPr>
          <w:p>
            <w:pPr>
              <w:pStyle w:val="TableContents"/>
              <w:bidi w:val="0"/>
              <w:spacing w:before="0" w:after="283"/>
              <w:jc w:val="right"/>
              <w:rPr>
                <w:rFonts w:ascii="Times New Roman" w:hAnsi="Times New Roman"/>
              </w:rPr>
            </w:pPr>
            <w:r>
              <w:rPr>
                <w:rFonts w:ascii="Times New Roman" w:hAnsi="Times New Roman"/>
              </w:rPr>
              <w:t>2,784</w:t>
            </w:r>
          </w:p>
        </w:tc>
        <w:tc>
          <w:tcPr>
            <w:tcW w:w="65" w:type="dxa"/>
            <w:tcBorders/>
            <w:vAlign w:val="bottom"/>
          </w:tcPr>
          <w:p>
            <w:pPr>
              <w:pStyle w:val="TableContents"/>
              <w:bidi w:val="0"/>
              <w:spacing w:before="0" w:after="283"/>
              <w:jc w:val="left"/>
              <w:rPr/>
            </w:pPr>
            <w:r>
              <w:rPr/>
              <w:t> </w:t>
            </w:r>
          </w:p>
        </w:tc>
      </w:tr>
      <w:tr>
        <w:trPr/>
        <w:tc>
          <w:tcPr>
            <w:tcW w:w="5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Preclinical programs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711</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3,934</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3,223</w:t>
            </w:r>
          </w:p>
        </w:tc>
        <w:tc>
          <w:tcPr>
            <w:tcW w:w="65" w:type="dxa"/>
            <w:tcBorders/>
            <w:shd w:fill="CCEEFF" w:val="clear"/>
            <w:vAlign w:val="bottom"/>
          </w:tcPr>
          <w:p>
            <w:pPr>
              <w:pStyle w:val="TableContents"/>
              <w:bidi w:val="0"/>
              <w:spacing w:before="0" w:after="283"/>
              <w:jc w:val="left"/>
              <w:rPr/>
            </w:pPr>
            <w:r>
              <w:rPr/>
              <w:t> </w:t>
            </w:r>
          </w:p>
        </w:tc>
      </w:tr>
      <w:tr>
        <w:trPr/>
        <w:tc>
          <w:tcPr>
            <w:tcW w:w="5733" w:type="dxa"/>
            <w:tcBorders/>
          </w:tcPr>
          <w:p>
            <w:pPr>
              <w:pStyle w:val="TableContents"/>
              <w:bidi w:val="0"/>
              <w:spacing w:before="0" w:after="0"/>
              <w:jc w:val="left"/>
              <w:rPr>
                <w:rFonts w:ascii="Times New Roman" w:hAnsi="Times New Roman"/>
                <w:sz w:val="20"/>
              </w:rPr>
            </w:pPr>
            <w:r>
              <w:rPr>
                <w:rFonts w:ascii="Times New Roman" w:hAnsi="Times New Roman"/>
                <w:sz w:val="20"/>
              </w:rPr>
              <w:t>Internal and unallocated expenses: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costs (including stock-based compensation)</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1,940</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4,017</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2,077</w:t>
            </w:r>
          </w:p>
        </w:tc>
        <w:tc>
          <w:tcPr>
            <w:tcW w:w="65" w:type="dxa"/>
            <w:tcBorders/>
            <w:shd w:fill="CCEEFF" w:val="clear"/>
            <w:vAlign w:val="bottom"/>
          </w:tcPr>
          <w:p>
            <w:pPr>
              <w:pStyle w:val="TableContents"/>
              <w:bidi w:val="0"/>
              <w:spacing w:before="0" w:after="283"/>
              <w:jc w:val="left"/>
              <w:rPr/>
            </w:pPr>
            <w:r>
              <w:rPr/>
              <w:t> </w:t>
            </w:r>
          </w:p>
        </w:tc>
      </w:tr>
      <w:tr>
        <w:trPr/>
        <w:tc>
          <w:tcPr>
            <w:tcW w:w="5733" w:type="dxa"/>
            <w:tcBorders/>
          </w:tcPr>
          <w:p>
            <w:pPr>
              <w:pStyle w:val="TableContents"/>
              <w:bidi w:val="0"/>
              <w:spacing w:before="0" w:after="0"/>
              <w:jc w:val="left"/>
              <w:rPr>
                <w:rFonts w:ascii="Times New Roman" w:hAnsi="Times New Roman"/>
                <w:sz w:val="20"/>
              </w:rPr>
            </w:pPr>
            <w:r>
              <w:rPr>
                <w:rFonts w:ascii="Times New Roman" w:hAnsi="Times New Roman"/>
                <w:sz w:val="20"/>
              </w:rPr>
              <w:t>Other costs</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rFonts w:ascii="Times New Roman" w:hAnsi="Times New Roman"/>
              </w:rPr>
            </w:pPr>
            <w:r>
              <w:rPr>
                <w:rFonts w:ascii="Times New Roman" w:hAnsi="Times New Roman"/>
              </w:rPr>
              <w:t>131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rFonts w:ascii="Times New Roman" w:hAnsi="Times New Roman"/>
              </w:rPr>
            </w:pPr>
            <w:r>
              <w:rPr>
                <w:rFonts w:ascii="Times New Roman" w:hAnsi="Times New Roman"/>
              </w:rPr>
              <w:t>652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rFonts w:ascii="Times New Roman" w:hAnsi="Times New Roman"/>
              </w:rPr>
            </w:pPr>
            <w:r>
              <w:rPr>
                <w:rFonts w:ascii="Times New Roman" w:hAnsi="Times New Roman"/>
              </w:rPr>
              <w:t>521</w:t>
            </w:r>
          </w:p>
        </w:tc>
        <w:tc>
          <w:tcPr>
            <w:tcW w:w="65" w:type="dxa"/>
            <w:tcBorders/>
            <w:vAlign w:val="bottom"/>
          </w:tcPr>
          <w:p>
            <w:pPr>
              <w:pStyle w:val="TableContents"/>
              <w:bidi w:val="0"/>
              <w:spacing w:before="0" w:after="283"/>
              <w:jc w:val="left"/>
              <w:rPr/>
            </w:pPr>
            <w:r>
              <w:rPr/>
              <w:t> </w:t>
            </w:r>
          </w:p>
        </w:tc>
      </w:tr>
      <w:tr>
        <w:trPr/>
        <w:tc>
          <w:tcPr>
            <w:tcW w:w="5733"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shd w:fill="CCEEFF" w:val="clear"/>
            <w:vAlign w:val="bottom"/>
          </w:tcPr>
          <w:p>
            <w:pPr>
              <w:pStyle w:val="TableContents"/>
              <w:bidi w:val="0"/>
              <w:spacing w:before="0" w:after="283"/>
              <w:jc w:val="right"/>
              <w:rPr/>
            </w:pPr>
            <w:r>
              <w:rPr/>
              <w:t> </w:t>
            </w:r>
            <w:r>
              <w:rPr>
                <w:rFonts w:ascii="Times New Roman" w:hAnsi="Times New Roman"/>
              </w:rPr>
              <w:t>3,899</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12,504</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shd w:fill="CCEEFF" w:val="clear"/>
            <w:vAlign w:val="bottom"/>
          </w:tcPr>
          <w:p>
            <w:pPr>
              <w:pStyle w:val="TableContents"/>
              <w:bidi w:val="0"/>
              <w:spacing w:before="0" w:after="283"/>
              <w:jc w:val="right"/>
              <w:rPr/>
            </w:pPr>
            <w:r>
              <w:rPr/>
              <w:t> </w:t>
            </w:r>
            <w:r>
              <w:rPr>
                <w:rFonts w:ascii="Times New Roman" w:hAnsi="Times New Roman"/>
              </w:rPr>
              <w:t>8,605</w:t>
            </w:r>
          </w:p>
        </w:tc>
        <w:tc>
          <w:tcPr>
            <w:tcW w:w="65" w:type="dxa"/>
            <w:tcBorders/>
            <w:shd w:fill="CCEEFF" w:val="clear"/>
            <w:vAlign w:val="bottom"/>
          </w:tcPr>
          <w:p>
            <w:pPr>
              <w:pStyle w:val="TableContents"/>
              <w:bidi w:val="0"/>
              <w:spacing w:before="0" w:after="283"/>
              <w:jc w:val="left"/>
              <w:rPr/>
            </w:pPr>
            <w:r>
              <w:rPr/>
              <w:t> </w:t>
            </w:r>
          </w:p>
        </w:tc>
      </w:tr>
      <w:tr>
        <w:trPr/>
        <w:tc>
          <w:tcPr>
            <w:tcW w:w="5733"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and development expenses were $3.9 million for the three months ended March 31, 2023, as compared to $12.5 million for the three months ended March 31, 2024. The increase of $8.6 million consisted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 million increase in RAP-219 program costs, which consisted primarily of an increase of $0.9 million in clinical trial costs primarily driven by the initiation of our Phase 2 trial, $1.2 million increase in preclinical toxicology studies driven by initiation of long-term toxicology work, $0.4 million increase in contract manufacturing costs related to the production of materials to support our additional Phase 1 and 2a trials, and an increase of $0.2 million for consulting related to the peripheral neuropathic pain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 million increase in preclinical program costs, which consisted primarily of a $1.4 million increase in toxicology and animal studies related to our discovery programs, a $0.6 million increase in external chemistry efforts related to our discovery programs, a $0.4 million increase in contract manufacturing costs related to the production of materials for use in our preclinical studies, a $0.5 million increase in lab supply costs due to increased headcount, and a $0.2 million increase in discovery program consulting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 million increase in personnel-related costs due to an increase in headcount, which consisted primarily of salaries, bonuses, and other compensation-related costs of $2.1 million and stock-based compensation of $0.2 million. These increases were partially offset by a decrease in consulting costs unrelated to discovery programs of $0.2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increase in other costs consisting primarily of research and development facilities expenses and depreciation expense related to opening our Boston office in September 2023 and continuing to expand our San Diego site.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5"/>
        <w:gridCol w:w="226"/>
        <w:gridCol w:w="191"/>
        <w:gridCol w:w="774"/>
        <w:gridCol w:w="82"/>
        <w:gridCol w:w="328"/>
        <w:gridCol w:w="191"/>
        <w:gridCol w:w="776"/>
        <w:gridCol w:w="60"/>
        <w:gridCol w:w="226"/>
        <w:gridCol w:w="163"/>
        <w:gridCol w:w="689"/>
        <w:gridCol w:w="64"/>
      </w:tblGrid>
      <w:tr>
        <w:trPr/>
        <w:tc>
          <w:tcPr>
            <w:tcW w:w="643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43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52"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643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82"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4" w:type="dxa"/>
            <w:tcBorders/>
            <w:vAlign w:val="bottom"/>
          </w:tcPr>
          <w:p>
            <w:pPr>
              <w:pStyle w:val="TableContents"/>
              <w:bidi w:val="0"/>
              <w:spacing w:before="0" w:after="283"/>
              <w:jc w:val="left"/>
              <w:rPr/>
            </w:pPr>
            <w:r>
              <w:rPr/>
              <w:t> </w:t>
            </w:r>
          </w:p>
        </w:tc>
      </w:tr>
      <w:tr>
        <w:trPr/>
        <w:tc>
          <w:tcPr>
            <w:tcW w:w="643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480" w:type="dxa"/>
            <w:gridSpan w:val="10"/>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6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22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392</w:t>
            </w:r>
          </w:p>
        </w:tc>
        <w:tc>
          <w:tcPr>
            <w:tcW w:w="82"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2,397</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2,005</w:t>
            </w:r>
          </w:p>
        </w:tc>
        <w:tc>
          <w:tcPr>
            <w:tcW w:w="64" w:type="dxa"/>
            <w:tcBorders/>
            <w:shd w:fill="CCEEFF" w:val="clear"/>
            <w:vAlign w:val="bottom"/>
          </w:tcPr>
          <w:p>
            <w:pPr>
              <w:pStyle w:val="TableContents"/>
              <w:bidi w:val="0"/>
              <w:spacing w:before="0" w:after="283"/>
              <w:jc w:val="left"/>
              <w:rPr/>
            </w:pPr>
            <w:r>
              <w:rPr/>
              <w:t> </w:t>
            </w:r>
          </w:p>
        </w:tc>
      </w:tr>
      <w:tr>
        <w:trPr/>
        <w:tc>
          <w:tcPr>
            <w:tcW w:w="643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costs</w:t>
            </w:r>
          </w:p>
        </w:tc>
        <w:tc>
          <w:tcPr>
            <w:tcW w:w="22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692</w:t>
            </w:r>
          </w:p>
        </w:tc>
        <w:tc>
          <w:tcPr>
            <w:tcW w:w="82"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1,865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1,173</w:t>
            </w:r>
          </w:p>
        </w:tc>
        <w:tc>
          <w:tcPr>
            <w:tcW w:w="64" w:type="dxa"/>
            <w:tcBorders/>
            <w:vAlign w:val="bottom"/>
          </w:tcPr>
          <w:p>
            <w:pPr>
              <w:pStyle w:val="TableContents"/>
              <w:bidi w:val="0"/>
              <w:spacing w:before="0" w:after="283"/>
              <w:jc w:val="left"/>
              <w:rPr/>
            </w:pPr>
            <w:r>
              <w:rPr/>
              <w:t> </w:t>
            </w:r>
          </w:p>
        </w:tc>
      </w:tr>
      <w:tr>
        <w:trPr/>
        <w:tc>
          <w:tcPr>
            <w:tcW w:w="6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22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208</w:t>
            </w:r>
          </w:p>
        </w:tc>
        <w:tc>
          <w:tcPr>
            <w:tcW w:w="82"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328</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120</w:t>
            </w:r>
          </w:p>
        </w:tc>
        <w:tc>
          <w:tcPr>
            <w:tcW w:w="64" w:type="dxa"/>
            <w:tcBorders/>
            <w:shd w:fill="CCEEFF" w:val="clear"/>
            <w:vAlign w:val="bottom"/>
          </w:tcPr>
          <w:p>
            <w:pPr>
              <w:pStyle w:val="TableContents"/>
              <w:bidi w:val="0"/>
              <w:spacing w:before="0" w:after="283"/>
              <w:jc w:val="left"/>
              <w:rPr/>
            </w:pPr>
            <w:r>
              <w:rPr/>
              <w:t> </w:t>
            </w:r>
          </w:p>
        </w:tc>
      </w:tr>
      <w:tr>
        <w:trPr/>
        <w:tc>
          <w:tcPr>
            <w:tcW w:w="643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35"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w:t>
            </w:r>
          </w:p>
        </w:tc>
        <w:tc>
          <w:tcPr>
            <w:tcW w:w="22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1,292</w:t>
            </w:r>
          </w:p>
        </w:tc>
        <w:tc>
          <w:tcPr>
            <w:tcW w:w="82"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76" w:type="dxa"/>
            <w:tcBorders/>
            <w:vAlign w:val="bottom"/>
          </w:tcPr>
          <w:p>
            <w:pPr>
              <w:pStyle w:val="TableContents"/>
              <w:bidi w:val="0"/>
              <w:spacing w:before="0" w:after="283"/>
              <w:jc w:val="right"/>
              <w:rPr/>
            </w:pPr>
            <w:r>
              <w:rPr/>
              <w:t>4,590</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3,298</w:t>
            </w:r>
          </w:p>
        </w:tc>
        <w:tc>
          <w:tcPr>
            <w:tcW w:w="64" w:type="dxa"/>
            <w:tcBorders/>
            <w:vAlign w:val="bottom"/>
          </w:tcPr>
          <w:p>
            <w:pPr>
              <w:pStyle w:val="TableContents"/>
              <w:bidi w:val="0"/>
              <w:spacing w:before="0" w:after="283"/>
              <w:jc w:val="left"/>
              <w:rPr/>
            </w:pPr>
            <w:r>
              <w:rPr/>
              <w:t> </w:t>
            </w:r>
          </w:p>
        </w:tc>
      </w:tr>
      <w:tr>
        <w:trPr/>
        <w:tc>
          <w:tcPr>
            <w:tcW w:w="643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 were $1.3 million for the three months ended March 31, 2023, as compared to $4.6 million for the three months ended March 31, 2024. The increase of $3.3 million consisted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 million increase in workforce expense due to an increase in headcount, consisting primarily of salaries, bonuses, and other compensation-related costs of $1.5 million and stock-based compensation of $0.5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 million increase in professional and consulting fees related to expanding our administrative support, including outsourced legal and accounting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increase in other expenses consisting primarily of administrative expenses due to increased business activities and expanded general and administrative support.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Income (Expense)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15"/>
        <w:gridCol w:w="233"/>
        <w:gridCol w:w="171"/>
        <w:gridCol w:w="784"/>
        <w:gridCol w:w="190"/>
        <w:gridCol w:w="199"/>
        <w:gridCol w:w="171"/>
        <w:gridCol w:w="786"/>
        <w:gridCol w:w="155"/>
        <w:gridCol w:w="190"/>
        <w:gridCol w:w="147"/>
        <w:gridCol w:w="704"/>
        <w:gridCol w:w="160"/>
      </w:tblGrid>
      <w:tr>
        <w:trPr/>
        <w:tc>
          <w:tcPr>
            <w:tcW w:w="631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1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51"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631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0" w:type="dxa"/>
            <w:tcBorders/>
            <w:vAlign w:val="bottom"/>
          </w:tcPr>
          <w:p>
            <w:pPr>
              <w:pStyle w:val="TableContents"/>
              <w:bidi w:val="0"/>
              <w:spacing w:before="0" w:after="283"/>
              <w:jc w:val="left"/>
              <w:rPr/>
            </w:pPr>
            <w:r>
              <w:rPr/>
              <w:t> </w:t>
            </w:r>
          </w:p>
        </w:tc>
      </w:tr>
      <w:tr>
        <w:trPr/>
        <w:tc>
          <w:tcPr>
            <w:tcW w:w="631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497" w:type="dxa"/>
            <w:gridSpan w:val="10"/>
            <w:tcBorders/>
            <w:vAlign w:val="bottom"/>
          </w:tcPr>
          <w:p>
            <w:pPr>
              <w:pStyle w:val="TableContents"/>
              <w:bidi w:val="0"/>
              <w:spacing w:before="0" w:after="283"/>
              <w:jc w:val="center"/>
              <w:rPr>
                <w:b/>
              </w:rPr>
            </w:pPr>
            <w:r>
              <w:rPr>
                <w:b/>
              </w:rPr>
              <w:t>(in thousands)</w:t>
            </w:r>
          </w:p>
        </w:tc>
        <w:tc>
          <w:tcPr>
            <w:tcW w:w="160" w:type="dxa"/>
            <w:tcBorders/>
            <w:vAlign w:val="bottom"/>
          </w:tcPr>
          <w:p>
            <w:pPr>
              <w:pStyle w:val="TableContents"/>
              <w:bidi w:val="0"/>
              <w:spacing w:before="0" w:after="283"/>
              <w:jc w:val="left"/>
              <w:rPr/>
            </w:pPr>
            <w:r>
              <w:rPr/>
              <w:t> </w:t>
            </w:r>
          </w:p>
        </w:tc>
      </w:tr>
      <w:tr>
        <w:trPr/>
        <w:tc>
          <w:tcPr>
            <w:tcW w:w="6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3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1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784" w:type="dxa"/>
            <w:tcBorders/>
            <w:vAlign w:val="bottom"/>
          </w:tcPr>
          <w:p>
            <w:pPr>
              <w:pStyle w:val="TableContents"/>
              <w:bidi w:val="0"/>
              <w:spacing w:before="0" w:after="283"/>
              <w:jc w:val="right"/>
              <w:rPr/>
            </w:pPr>
            <w:r>
              <w:rPr/>
              <w:t>75</w:t>
            </w:r>
          </w:p>
        </w:tc>
        <w:tc>
          <w:tcPr>
            <w:tcW w:w="1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1,815</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1,740</w:t>
            </w:r>
          </w:p>
        </w:tc>
        <w:tc>
          <w:tcPr>
            <w:tcW w:w="160" w:type="dxa"/>
            <w:tcBorders/>
            <w:vAlign w:val="bottom"/>
          </w:tcPr>
          <w:p>
            <w:pPr>
              <w:pStyle w:val="TableContents"/>
              <w:bidi w:val="0"/>
              <w:spacing w:before="0" w:after="283"/>
              <w:jc w:val="left"/>
              <w:rPr/>
            </w:pPr>
            <w:r>
              <w:rPr/>
              <w:t> </w:t>
            </w:r>
          </w:p>
        </w:tc>
      </w:tr>
      <w:tr>
        <w:trPr/>
        <w:tc>
          <w:tcPr>
            <w:tcW w:w="6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23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(1,030</w:t>
            </w:r>
          </w:p>
        </w:tc>
        <w:tc>
          <w:tcPr>
            <w:tcW w:w="1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(7,390</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(6,360</w:t>
            </w:r>
          </w:p>
        </w:tc>
        <w:tc>
          <w:tcPr>
            <w:tcW w:w="160" w:type="dxa"/>
            <w:tcBorders/>
            <w:shd w:fill="CCEEFF" w:val="clear"/>
            <w:vAlign w:val="bottom"/>
          </w:tcPr>
          <w:p>
            <w:pPr>
              <w:pStyle w:val="TableContents"/>
              <w:bidi w:val="0"/>
              <w:spacing w:before="0" w:after="283"/>
              <w:jc w:val="left"/>
              <w:rPr/>
            </w:pPr>
            <w:r>
              <w:rPr/>
              <w:t>) </w:t>
            </w:r>
          </w:p>
        </w:tc>
      </w:tr>
      <w:tr>
        <w:trPr/>
        <w:tc>
          <w:tcPr>
            <w:tcW w:w="631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1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784" w:type="dxa"/>
            <w:tcBorders/>
            <w:vAlign w:val="bottom"/>
          </w:tcPr>
          <w:p>
            <w:pPr>
              <w:pStyle w:val="TableContents"/>
              <w:bidi w:val="0"/>
              <w:spacing w:before="0" w:after="283"/>
              <w:jc w:val="right"/>
              <w:rPr/>
            </w:pPr>
            <w:r>
              <w:rPr/>
              <w:t>(955</w:t>
            </w:r>
          </w:p>
        </w:tc>
        <w:tc>
          <w:tcPr>
            <w:tcW w:w="1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(5,575</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(4,620</w:t>
            </w:r>
          </w:p>
        </w:tc>
        <w:tc>
          <w:tcPr>
            <w:tcW w:w="160" w:type="dxa"/>
            <w:tcBorders/>
            <w:vAlign w:val="bottom"/>
          </w:tcPr>
          <w:p>
            <w:pPr>
              <w:pStyle w:val="TableContents"/>
              <w:bidi w:val="0"/>
              <w:spacing w:before="0" w:after="283"/>
              <w:jc w:val="left"/>
              <w:rPr/>
            </w:pPr>
            <w:r>
              <w:rPr/>
              <w:t>) </w:t>
            </w:r>
          </w:p>
        </w:tc>
      </w:tr>
      <w:tr>
        <w:trPr/>
        <w:tc>
          <w:tcPr>
            <w:tcW w:w="631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$0.1 million for the three months ended March 31, 2023, as compared to $1.8 million for the three months ended March 31, 2024. The increase of $1.7 million is primarily due to opening additional interest-bearing accounts subsequent to March 31, 2023 in addition to the increased cash, cash equivalent and short-term investments balances from the Series B convertible preferred stock financing in August 2023.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change in fair value of the preferred stock tranche right liability expense was $1.0 million for the three months ended March 31, 2023, as compared to $7.4 million for the three months ended March 31, 2024. The change in fair value of preferred stock tranche right liability for the three months ended March 31, 2023 consisted of an increase in the fair value of the Series A preferred stock tranche right liability of $1.0 million as a result of the waiver of the second and third milestones and settlement of the Series A tranche right liability. The change in fair value of preferred stock tranche right liabilities for the three months ended March 31, 2024 consisted of an increase in the fair value of the Series B preferred stock tranche right liability of $7.4 million. In conjunction with the waiver of the second tranche milestone in February 2024 and the settlement of the Series B tranche right in March 2024, the Series B tranche right liability was remeasured immediately prior to the waiver, resulting in a $7.4 million increase in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2023 and the three months ended March 31, 2024, we recorded an income tax provision of $1 thousand and $0,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for the period from February 10, 2022 (inception) to December 31, 2022 and for the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period from February 10, 2022 (inception) to December 31, 2022 and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9"/>
        <w:gridCol w:w="218"/>
        <w:gridCol w:w="178"/>
        <w:gridCol w:w="1789"/>
        <w:gridCol w:w="160"/>
        <w:gridCol w:w="172"/>
        <w:gridCol w:w="140"/>
        <w:gridCol w:w="1416"/>
        <w:gridCol w:w="160"/>
        <w:gridCol w:w="172"/>
        <w:gridCol w:w="140"/>
        <w:gridCol w:w="1416"/>
        <w:gridCol w:w="165"/>
      </w:tblGrid>
      <w:tr>
        <w:trPr/>
        <w:tc>
          <w:tcPr>
            <w:tcW w:w="407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br/>
              <w:t>from February 10,</w:t>
              <w:br/>
              <w:t>2022</w:t>
            </w:r>
            <w:r>
              <w:rPr/>
              <w:br/>
            </w:r>
            <w:r>
              <w:rPr>
                <w:b/>
              </w:rPr>
              <w:t>(inception) to</w:t>
              <w:br/>
              <w:t>December 31,</w:t>
            </w:r>
            <w:r>
              <w:rPr/>
              <w:br/>
            </w:r>
            <w:r>
              <w:rPr>
                <w:b/>
              </w:rPr>
              <w:t>2022</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w:t>
              <w:br/>
              <w:t>ended</w:t>
              <w:br/>
              <w:t>December 31,</w:t>
            </w:r>
            <w:r>
              <w:rPr/>
              <w:br/>
            </w:r>
            <w:r>
              <w:rPr>
                <w:b/>
              </w:rPr>
              <w:t>2023</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5"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743" w:type="dxa"/>
            <w:gridSpan w:val="10"/>
            <w:tcBorders/>
            <w:vAlign w:val="bottom"/>
          </w:tcPr>
          <w:p>
            <w:pPr>
              <w:pStyle w:val="TableContents"/>
              <w:bidi w:val="0"/>
              <w:spacing w:before="0" w:after="283"/>
              <w:jc w:val="center"/>
              <w:rPr>
                <w:b/>
              </w:rPr>
            </w:pPr>
            <w:r>
              <w:rPr>
                <w:b/>
              </w:rPr>
              <w:t>(in thousands)</w:t>
            </w:r>
          </w:p>
        </w:tc>
        <w:tc>
          <w:tcPr>
            <w:tcW w:w="165"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78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6"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acquired in-process research and development</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789" w:type="dxa"/>
            <w:tcBorders/>
            <w:vAlign w:val="bottom"/>
          </w:tcPr>
          <w:p>
            <w:pPr>
              <w:pStyle w:val="TableContents"/>
              <w:bidi w:val="0"/>
              <w:spacing w:before="0" w:after="283"/>
              <w:jc w:val="right"/>
              <w:rPr/>
            </w:pPr>
            <w:r>
              <w:rPr/>
              <w:t>5,000</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(5,000</w:t>
            </w:r>
          </w:p>
        </w:tc>
        <w:tc>
          <w:tcPr>
            <w:tcW w:w="165"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89" w:type="dxa"/>
            <w:tcBorders/>
            <w:shd w:fill="CCEEFF" w:val="clear"/>
            <w:vAlign w:val="bottom"/>
          </w:tcPr>
          <w:p>
            <w:pPr>
              <w:pStyle w:val="TableContents"/>
              <w:bidi w:val="0"/>
              <w:spacing w:before="0" w:after="283"/>
              <w:jc w:val="right"/>
              <w:rPr/>
            </w:pPr>
            <w:r>
              <w:rPr/>
              <w:t>4,115</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27,999</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23,884</w:t>
            </w:r>
          </w:p>
        </w:tc>
        <w:tc>
          <w:tcPr>
            <w:tcW w:w="165" w:type="dxa"/>
            <w:tcBorders/>
            <w:shd w:fill="CCEEFF" w:val="clear"/>
            <w:vAlign w:val="bottom"/>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89" w:type="dxa"/>
            <w:tcBorders/>
            <w:vAlign w:val="bottom"/>
          </w:tcPr>
          <w:p>
            <w:pPr>
              <w:pStyle w:val="TableContents"/>
              <w:bidi w:val="0"/>
              <w:spacing w:before="0" w:after="283"/>
              <w:jc w:val="right"/>
              <w:rPr/>
            </w:pPr>
            <w:r>
              <w:rPr/>
              <w:t>1,252</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8,180</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6,928</w:t>
            </w:r>
          </w:p>
        </w:tc>
        <w:tc>
          <w:tcPr>
            <w:tcW w:w="165"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7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89" w:type="dxa"/>
            <w:tcBorders/>
            <w:shd w:fill="CCEEFF" w:val="clear"/>
            <w:vAlign w:val="bottom"/>
          </w:tcPr>
          <w:p>
            <w:pPr>
              <w:pStyle w:val="TableContents"/>
              <w:bidi w:val="0"/>
              <w:spacing w:before="0" w:after="283"/>
              <w:jc w:val="right"/>
              <w:rPr/>
            </w:pPr>
            <w:r>
              <w:rPr/>
              <w:t>  </w:t>
            </w:r>
            <w:r>
              <w:rPr/>
              <w:t>10,367</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r>
              <w:rPr/>
              <w:t>36,179</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r>
              <w:rPr/>
              <w:t>25,812</w:t>
            </w:r>
          </w:p>
        </w:tc>
        <w:tc>
          <w:tcPr>
            <w:tcW w:w="165"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7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89" w:type="dxa"/>
            <w:tcBorders/>
            <w:vAlign w:val="bottom"/>
          </w:tcPr>
          <w:p>
            <w:pPr>
              <w:pStyle w:val="TableContents"/>
              <w:bidi w:val="0"/>
              <w:spacing w:before="0" w:after="283"/>
              <w:jc w:val="right"/>
              <w:rPr/>
            </w:pPr>
            <w:r>
              <w:rPr/>
              <w:t>(10,367</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(36,179</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(25,812</w:t>
            </w:r>
          </w:p>
        </w:tc>
        <w:tc>
          <w:tcPr>
            <w:tcW w:w="165"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7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78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16"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89"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2,527</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2,527</w:t>
            </w:r>
          </w:p>
        </w:tc>
        <w:tc>
          <w:tcPr>
            <w:tcW w:w="165"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89" w:type="dxa"/>
            <w:tcBorders/>
            <w:shd w:fill="CCEEFF" w:val="clear"/>
            <w:vAlign w:val="bottom"/>
          </w:tcPr>
          <w:p>
            <w:pPr>
              <w:pStyle w:val="TableContents"/>
              <w:bidi w:val="0"/>
              <w:spacing w:before="0" w:after="283"/>
              <w:jc w:val="right"/>
              <w:rPr/>
            </w:pPr>
            <w:r>
              <w:rPr/>
              <w:t>(285</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285</w:t>
            </w:r>
          </w:p>
        </w:tc>
        <w:tc>
          <w:tcPr>
            <w:tcW w:w="165" w:type="dxa"/>
            <w:tcBorders/>
            <w:shd w:fill="CCEEFF" w:val="clear"/>
            <w:vAlign w:val="bottom"/>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8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(1,124</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(1,124</w:t>
            </w:r>
          </w:p>
        </w:tc>
        <w:tc>
          <w:tcPr>
            <w:tcW w:w="165"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7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89" w:type="dxa"/>
            <w:tcBorders/>
            <w:shd w:fill="CCEEFF" w:val="clear"/>
            <w:vAlign w:val="bottom"/>
          </w:tcPr>
          <w:p>
            <w:pPr>
              <w:pStyle w:val="TableContents"/>
              <w:bidi w:val="0"/>
              <w:spacing w:before="0" w:after="283"/>
              <w:jc w:val="right"/>
              <w:rPr/>
            </w:pPr>
            <w:r>
              <w:rPr/>
              <w:t>(285</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1,403</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1,688</w:t>
            </w:r>
          </w:p>
        </w:tc>
        <w:tc>
          <w:tcPr>
            <w:tcW w:w="165"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7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income taxes</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89" w:type="dxa"/>
            <w:tcBorders/>
            <w:vAlign w:val="bottom"/>
          </w:tcPr>
          <w:p>
            <w:pPr>
              <w:pStyle w:val="TableContents"/>
              <w:bidi w:val="0"/>
              <w:spacing w:before="0" w:after="283"/>
              <w:jc w:val="right"/>
              <w:rPr/>
            </w:pPr>
            <w:r>
              <w:rPr/>
              <w:t>(10,652</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(34,776</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(24,124</w:t>
            </w:r>
          </w:p>
        </w:tc>
        <w:tc>
          <w:tcPr>
            <w:tcW w:w="165"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89"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10</w:t>
            </w:r>
          </w:p>
        </w:tc>
        <w:tc>
          <w:tcPr>
            <w:tcW w:w="165"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7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789" w:type="dxa"/>
            <w:tcBorders/>
            <w:vAlign w:val="bottom"/>
          </w:tcPr>
          <w:p>
            <w:pPr>
              <w:pStyle w:val="TableContents"/>
              <w:bidi w:val="0"/>
              <w:spacing w:before="0" w:after="283"/>
              <w:jc w:val="right"/>
              <w:rPr/>
            </w:pPr>
            <w:r>
              <w:rPr/>
              <w:t>   </w:t>
            </w:r>
            <w:r>
              <w:rPr/>
              <w:t>(10,652</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r>
              <w:rPr/>
              <w:t>(34,786</w:t>
            </w:r>
          </w:p>
        </w:tc>
        <w:tc>
          <w:tcPr>
            <w:tcW w:w="1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   </w:t>
            </w:r>
            <w:r>
              <w:rPr/>
              <w:t>(24,134</w:t>
            </w:r>
          </w:p>
        </w:tc>
        <w:tc>
          <w:tcPr>
            <w:tcW w:w="165"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78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16"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were formed in February 2022, but did not have substantial operations until the completion of the acquired IPR&amp;D from Janssen in August and October 2022. As such, we do not believe that a description of material changes from period to period would be useful to an investor. Accordingly, the following discussion presents the components of our expenses for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Related Party Acquired In-Process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Acquired IPR&amp;D expenses of $5.0 million for the period from February 10, 2022 (inception) to December 31, 2022 consisted of a $5.0 million payment to Janssen for the Janssen License, which granted us a non-exclusive, royalty-free, sublicensable license to exploit certain nACh products in the Field as well as an option for an exclusive, royalty-bearing sublicensable license to certain intellectual property rights owned or controlled by Janssen, to commercially develop, manufacture, use, distribute and sell therapeutic products containing TARP</w:t>
      </w:r>
      <w:r>
        <w:rPr>
          <w:rFonts w:ascii="SYMBOL" w:hAnsi="SYMBOL"/>
          <w:sz w:val="20"/>
        </w:rPr>
        <w:t>g</w:t>
      </w:r>
      <w:r>
        <w:rPr>
          <w:rFonts w:ascii="Times New Roman" w:hAnsi="Times New Roman"/>
          <w:sz w:val="20"/>
        </w:rPr>
        <w:t>8 compounds and related products. The $5.0 million payment consisted of a one-time, non-creditable, non-refundable upfront payment in August 2022 of $1.0 million to Janssen, for an exclusivity period to evaluate the results of toxicology studies related to TARP</w:t>
      </w:r>
      <w:r>
        <w:rPr>
          <w:rFonts w:ascii="SYMBOL" w:hAnsi="SYMBOL"/>
          <w:sz w:val="20"/>
        </w:rPr>
        <w:t>g</w:t>
      </w:r>
      <w:r>
        <w:rPr>
          <w:rFonts w:ascii="Times New Roman" w:hAnsi="Times New Roman"/>
          <w:sz w:val="20"/>
        </w:rPr>
        <w:t>8 technology in order to decide on whether it would exercise the option to license this technology and a one-time, non-creditable, non-refundable option fee payment in October 2022 of $4.0 million to Janssen when we exercised our option to license the TARP</w:t>
      </w:r>
      <w:r>
        <w:rPr>
          <w:rFonts w:ascii="SYMBOL" w:hAnsi="SYMBOL"/>
          <w:sz w:val="20"/>
        </w:rPr>
        <w:t>g</w:t>
      </w:r>
      <w:r>
        <w:rPr>
          <w:rFonts w:ascii="Times New Roman" w:hAnsi="Times New Roman"/>
          <w:sz w:val="20"/>
        </w:rPr>
        <w:t xml:space="preserve">8 compounds. We expensed the cost of the IPR&amp;D asset acquired because it had no alternative future use as of the acquisition date. There was no acquired IPR&amp;D expense for the year ended December 31, 2023 as no license agreements were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57"/>
        <w:gridCol w:w="277"/>
        <w:gridCol w:w="186"/>
        <w:gridCol w:w="1258"/>
        <w:gridCol w:w="60"/>
        <w:gridCol w:w="277"/>
        <w:gridCol w:w="174"/>
        <w:gridCol w:w="1270"/>
        <w:gridCol w:w="60"/>
        <w:gridCol w:w="277"/>
        <w:gridCol w:w="140"/>
        <w:gridCol w:w="703"/>
        <w:gridCol w:w="66"/>
      </w:tblGrid>
      <w:tr>
        <w:trPr/>
        <w:tc>
          <w:tcPr>
            <w:tcW w:w="5457"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45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w:t>
              <w:br/>
              <w:t>from</w:t>
            </w:r>
            <w:r>
              <w:rPr/>
              <w:br/>
            </w:r>
            <w:r>
              <w:rPr>
                <w:b/>
              </w:rPr>
              <w:t>February 10,</w:t>
              <w:br/>
              <w:t>2022</w:t>
            </w:r>
            <w:r>
              <w:rPr/>
              <w:br/>
            </w:r>
            <w:r>
              <w:rPr>
                <w:b/>
              </w:rPr>
              <w:t>(inception)</w:t>
            </w:r>
            <w:r>
              <w:rPr/>
              <w:br/>
            </w:r>
            <w:r>
              <w:rPr>
                <w:b/>
              </w:rPr>
              <w:t>to</w:t>
              <w:br/>
              <w:t>December 31,</w:t>
              <w:br/>
              <w:t>2022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w:t>
            </w:r>
            <w:r>
              <w:rPr/>
              <w:br/>
            </w:r>
            <w:r>
              <w:rPr>
                <w:b/>
              </w:rPr>
              <w:t>ended</w:t>
              <w:br/>
              <w:t>December 31,</w:t>
              <w:br/>
              <w:t>2023</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6" w:type="dxa"/>
            <w:tcBorders/>
            <w:vAlign w:val="bottom"/>
          </w:tcPr>
          <w:p>
            <w:pPr>
              <w:pStyle w:val="TableContents"/>
              <w:bidi w:val="0"/>
              <w:spacing w:before="0" w:after="283"/>
              <w:jc w:val="left"/>
              <w:rPr/>
            </w:pPr>
            <w:r>
              <w:rPr/>
              <w:t> </w:t>
            </w:r>
          </w:p>
        </w:tc>
      </w:tr>
      <w:tr>
        <w:trPr/>
        <w:tc>
          <w:tcPr>
            <w:tcW w:w="545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4405" w:type="dxa"/>
            <w:gridSpan w:val="10"/>
            <w:tcBorders/>
            <w:vAlign w:val="bottom"/>
          </w:tcPr>
          <w:p>
            <w:pPr>
              <w:pStyle w:val="TableContents"/>
              <w:bidi w:val="0"/>
              <w:spacing w:before="0" w:after="283"/>
              <w:jc w:val="center"/>
              <w:rPr>
                <w:b/>
              </w:rPr>
            </w:pPr>
            <w:r>
              <w:rPr>
                <w:b/>
              </w:rPr>
              <w:t>(in thousands)</w:t>
            </w:r>
          </w:p>
        </w:tc>
        <w:tc>
          <w:tcPr>
            <w:tcW w:w="66" w:type="dxa"/>
            <w:tcBorders/>
            <w:vAlign w:val="bottom"/>
          </w:tcPr>
          <w:p>
            <w:pPr>
              <w:pStyle w:val="TableContents"/>
              <w:bidi w:val="0"/>
              <w:spacing w:before="0" w:after="283"/>
              <w:jc w:val="left"/>
              <w:rPr/>
            </w:pPr>
            <w:r>
              <w:rPr/>
              <w:t> </w:t>
            </w:r>
          </w:p>
        </w:tc>
      </w:tr>
      <w:tr>
        <w:trPr/>
        <w:tc>
          <w:tcPr>
            <w:tcW w:w="5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external program expenses:</w:t>
            </w:r>
          </w:p>
        </w:tc>
        <w:tc>
          <w:tcPr>
            <w:tcW w:w="27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457" w:type="dxa"/>
            <w:tcBorders/>
          </w:tcPr>
          <w:p>
            <w:pPr>
              <w:pStyle w:val="TableContents"/>
              <w:bidi w:val="0"/>
              <w:spacing w:before="0" w:after="0"/>
              <w:jc w:val="left"/>
              <w:rPr>
                <w:rFonts w:ascii="Times New Roman" w:hAnsi="Times New Roman"/>
                <w:sz w:val="20"/>
              </w:rPr>
            </w:pPr>
            <w:r>
              <w:rPr>
                <w:rFonts w:ascii="Times New Roman" w:hAnsi="Times New Roman"/>
                <w:sz w:val="20"/>
              </w:rPr>
              <w:t>RAP-219 program</w:t>
            </w:r>
          </w:p>
        </w:tc>
        <w:tc>
          <w:tcPr>
            <w:tcW w:w="27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752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10,202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9,450</w:t>
            </w:r>
          </w:p>
        </w:tc>
        <w:tc>
          <w:tcPr>
            <w:tcW w:w="66" w:type="dxa"/>
            <w:tcBorders/>
            <w:vAlign w:val="bottom"/>
          </w:tcPr>
          <w:p>
            <w:pPr>
              <w:pStyle w:val="TableContents"/>
              <w:bidi w:val="0"/>
              <w:spacing w:before="0" w:after="283"/>
              <w:jc w:val="left"/>
              <w:rPr/>
            </w:pPr>
            <w:r>
              <w:rPr/>
              <w:t> </w:t>
            </w:r>
          </w:p>
        </w:tc>
      </w:tr>
      <w:tr>
        <w:trPr/>
        <w:tc>
          <w:tcPr>
            <w:tcW w:w="5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Preclinical programs</w:t>
            </w:r>
          </w:p>
        </w:tc>
        <w:tc>
          <w:tcPr>
            <w:tcW w:w="27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544</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6,335</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5,791</w:t>
            </w:r>
          </w:p>
        </w:tc>
        <w:tc>
          <w:tcPr>
            <w:tcW w:w="66" w:type="dxa"/>
            <w:tcBorders/>
            <w:shd w:fill="CCEEFF" w:val="clear"/>
            <w:vAlign w:val="bottom"/>
          </w:tcPr>
          <w:p>
            <w:pPr>
              <w:pStyle w:val="TableContents"/>
              <w:bidi w:val="0"/>
              <w:spacing w:before="0" w:after="283"/>
              <w:jc w:val="left"/>
              <w:rPr/>
            </w:pPr>
            <w:r>
              <w:rPr/>
              <w:t> </w:t>
            </w:r>
          </w:p>
        </w:tc>
      </w:tr>
      <w:tr>
        <w:trPr/>
        <w:tc>
          <w:tcPr>
            <w:tcW w:w="5457" w:type="dxa"/>
            <w:tcBorders/>
          </w:tcPr>
          <w:p>
            <w:pPr>
              <w:pStyle w:val="TableContents"/>
              <w:bidi w:val="0"/>
              <w:spacing w:before="0" w:after="0"/>
              <w:jc w:val="left"/>
              <w:rPr>
                <w:rFonts w:ascii="Times New Roman" w:hAnsi="Times New Roman"/>
                <w:sz w:val="20"/>
              </w:rPr>
            </w:pPr>
            <w:r>
              <w:rPr>
                <w:rFonts w:ascii="Times New Roman" w:hAnsi="Times New Roman"/>
                <w:sz w:val="20"/>
              </w:rPr>
              <w:t>Internal and unallocated expenses:</w:t>
            </w:r>
          </w:p>
        </w:tc>
        <w:tc>
          <w:tcPr>
            <w:tcW w:w="27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costs (including stock-based compensation)</w:t>
            </w:r>
          </w:p>
        </w:tc>
        <w:tc>
          <w:tcPr>
            <w:tcW w:w="27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2,667</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9,939</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7,272</w:t>
            </w:r>
          </w:p>
        </w:tc>
        <w:tc>
          <w:tcPr>
            <w:tcW w:w="66" w:type="dxa"/>
            <w:tcBorders/>
            <w:shd w:fill="CCEEFF" w:val="clear"/>
            <w:vAlign w:val="bottom"/>
          </w:tcPr>
          <w:p>
            <w:pPr>
              <w:pStyle w:val="TableContents"/>
              <w:bidi w:val="0"/>
              <w:spacing w:before="0" w:after="283"/>
              <w:jc w:val="left"/>
              <w:rPr/>
            </w:pPr>
            <w:r>
              <w:rPr/>
              <w:t> </w:t>
            </w:r>
          </w:p>
        </w:tc>
      </w:tr>
      <w:tr>
        <w:trPr/>
        <w:tc>
          <w:tcPr>
            <w:tcW w:w="5457" w:type="dxa"/>
            <w:tcBorders/>
          </w:tcPr>
          <w:p>
            <w:pPr>
              <w:pStyle w:val="TableContents"/>
              <w:bidi w:val="0"/>
              <w:spacing w:before="0" w:after="0"/>
              <w:jc w:val="left"/>
              <w:rPr>
                <w:rFonts w:ascii="Times New Roman" w:hAnsi="Times New Roman"/>
                <w:sz w:val="20"/>
              </w:rPr>
            </w:pPr>
            <w:r>
              <w:rPr>
                <w:rFonts w:ascii="Times New Roman" w:hAnsi="Times New Roman"/>
                <w:sz w:val="20"/>
              </w:rPr>
              <w:t>Other costs</w:t>
            </w:r>
          </w:p>
        </w:tc>
        <w:tc>
          <w:tcPr>
            <w:tcW w:w="27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1,523</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1,371</w:t>
            </w:r>
          </w:p>
        </w:tc>
        <w:tc>
          <w:tcPr>
            <w:tcW w:w="66" w:type="dxa"/>
            <w:tcBorders/>
            <w:vAlign w:val="bottom"/>
          </w:tcPr>
          <w:p>
            <w:pPr>
              <w:pStyle w:val="TableContents"/>
              <w:bidi w:val="0"/>
              <w:spacing w:before="0" w:after="283"/>
              <w:jc w:val="left"/>
              <w:rPr/>
            </w:pPr>
            <w:r>
              <w:rPr/>
              <w:t> </w:t>
            </w:r>
          </w:p>
        </w:tc>
      </w:tr>
      <w:tr>
        <w:trPr/>
        <w:tc>
          <w:tcPr>
            <w:tcW w:w="545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7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  </w:t>
            </w:r>
            <w:r>
              <w:rPr/>
              <w:t>4,115</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  </w:t>
            </w:r>
            <w:r>
              <w:rPr/>
              <w:t>27,999</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23,884</w:t>
            </w:r>
          </w:p>
        </w:tc>
        <w:tc>
          <w:tcPr>
            <w:tcW w:w="66" w:type="dxa"/>
            <w:tcBorders/>
            <w:shd w:fill="CCEEFF" w:val="clear"/>
            <w:vAlign w:val="bottom"/>
          </w:tcPr>
          <w:p>
            <w:pPr>
              <w:pStyle w:val="TableContents"/>
              <w:bidi w:val="0"/>
              <w:spacing w:before="0" w:after="283"/>
              <w:jc w:val="left"/>
              <w:rPr/>
            </w:pPr>
            <w:r>
              <w:rPr/>
              <w:t> </w:t>
            </w:r>
          </w:p>
        </w:tc>
      </w:tr>
      <w:tr>
        <w:trPr/>
        <w:tc>
          <w:tcPr>
            <w:tcW w:w="5457"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of $4.1 million for the period from February 10, 2022 (inception) to December 31, 2022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$0.8 million in clinical and manufacturing costs related to the RAP-219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in discovery, pre-clinical toxicology and lab supply costs related to our preclinical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 million of personnel-related costs, including $2.1 million of consulting costs and stock-based compensation of $0.5 million. Included in these costs are consulting costs and stock-based compensation for consultants that became our full time employees in 2023. We had no full-time employees in the period from February 10, 2022 (inception) to December 31,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of $28.0 million for the year ended December 31, 2023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$10.2 million of costs related to the RAP-219 program, including $6.7 million clinical trial costs for conduct of our first-in-human Phase 1 trials, $2.2 million for preclinical toxicology studies and $1.1 million of contract manufacturing costs related to the production of materials for use in our preclinical studies and Phase 1 trials for the RAP-219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$6.3 million related to our preclinical programs, including $4.3 million of discovery activities, $0.7 million in contract manufacturing costs related to the production of materials for use in our preclinical studies, $0.5 million in lab supply costs and $0.5 million for preclinical toxicology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 million of personnel-related costs, including salaries, bonuses, and other compensation-related costs, including; stock-based compensation costs of $1.9 million for 26 full-time employees hired during the year ended December 31, 2023; and $0.3 million unallocated consulting expense;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million of other costs consisting primarily of research and development facilities expenses and depreciation expense related to opening and/or expanding our Boston and San Diego sites in the year ended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90"/>
        <w:gridCol w:w="209"/>
        <w:gridCol w:w="157"/>
        <w:gridCol w:w="1287"/>
        <w:gridCol w:w="60"/>
        <w:gridCol w:w="209"/>
        <w:gridCol w:w="152"/>
        <w:gridCol w:w="1287"/>
        <w:gridCol w:w="60"/>
        <w:gridCol w:w="209"/>
        <w:gridCol w:w="163"/>
        <w:gridCol w:w="655"/>
        <w:gridCol w:w="67"/>
      </w:tblGrid>
      <w:tr>
        <w:trPr/>
        <w:tc>
          <w:tcPr>
            <w:tcW w:w="569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6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br/>
              <w:t>from</w:t>
            </w:r>
            <w:r>
              <w:rPr/>
              <w:br/>
            </w:r>
            <w:r>
              <w:rPr>
                <w:b/>
              </w:rPr>
              <w:t>February 10,</w:t>
              <w:br/>
              <w:t>2022</w:t>
            </w:r>
            <w:r>
              <w:rPr/>
              <w:br/>
            </w:r>
            <w:r>
              <w:rPr>
                <w:b/>
              </w:rPr>
              <w:t>(inception) to</w:t>
              <w:br/>
              <w:t>December 31,</w:t>
              <w:br/>
              <w:t>2022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w:t>
            </w:r>
            <w:r>
              <w:rPr/>
              <w:br/>
            </w:r>
            <w:r>
              <w:rPr>
                <w:b/>
              </w:rPr>
              <w:t>ended</w:t>
              <w:br/>
              <w:t>December 31,</w:t>
              <w:br/>
              <w:t>2023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7" w:type="dxa"/>
            <w:tcBorders/>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4239" w:type="dxa"/>
            <w:gridSpan w:val="10"/>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5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20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4,324</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5" w:type="dxa"/>
            <w:tcBorders/>
            <w:shd w:fill="CCEEFF" w:val="clear"/>
            <w:vAlign w:val="bottom"/>
          </w:tcPr>
          <w:p>
            <w:pPr>
              <w:pStyle w:val="TableContents"/>
              <w:bidi w:val="0"/>
              <w:spacing w:before="0" w:after="283"/>
              <w:jc w:val="right"/>
              <w:rPr/>
            </w:pPr>
            <w:r>
              <w:rPr/>
              <w:t>4,324</w:t>
            </w:r>
          </w:p>
        </w:tc>
        <w:tc>
          <w:tcPr>
            <w:tcW w:w="67" w:type="dxa"/>
            <w:tcBorders/>
            <w:shd w:fill="CCEEFF" w:val="clear"/>
            <w:vAlign w:val="bottom"/>
          </w:tcPr>
          <w:p>
            <w:pPr>
              <w:pStyle w:val="TableContents"/>
              <w:bidi w:val="0"/>
              <w:spacing w:before="0" w:after="283"/>
              <w:jc w:val="left"/>
              <w:rPr/>
            </w:pPr>
            <w:r>
              <w:rPr/>
              <w:t> </w:t>
            </w:r>
          </w:p>
        </w:tc>
      </w:tr>
      <w:tr>
        <w:trPr/>
        <w:tc>
          <w:tcPr>
            <w:tcW w:w="5690"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costs</w:t>
            </w:r>
          </w:p>
        </w:tc>
        <w:tc>
          <w:tcPr>
            <w:tcW w:w="20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1,165</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3,158</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1,993</w:t>
            </w:r>
          </w:p>
        </w:tc>
        <w:tc>
          <w:tcPr>
            <w:tcW w:w="67" w:type="dxa"/>
            <w:tcBorders/>
            <w:vAlign w:val="bottom"/>
          </w:tcPr>
          <w:p>
            <w:pPr>
              <w:pStyle w:val="TableContents"/>
              <w:bidi w:val="0"/>
              <w:spacing w:before="0" w:after="283"/>
              <w:jc w:val="left"/>
              <w:rPr/>
            </w:pPr>
            <w:r>
              <w:rPr/>
              <w:t> </w:t>
            </w:r>
          </w:p>
        </w:tc>
      </w:tr>
      <w:tr>
        <w:trPr/>
        <w:tc>
          <w:tcPr>
            <w:tcW w:w="5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20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611</w:t>
            </w:r>
          </w:p>
        </w:tc>
        <w:tc>
          <w:tcPr>
            <w:tcW w:w="67" w:type="dxa"/>
            <w:tcBorders/>
            <w:shd w:fill="CCEEFF" w:val="clear"/>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90"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w:t>
            </w:r>
          </w:p>
        </w:tc>
        <w:tc>
          <w:tcPr>
            <w:tcW w:w="20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   </w:t>
            </w:r>
            <w:r>
              <w:rPr/>
              <w:t>1,252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   </w:t>
            </w:r>
            <w:r>
              <w:rPr/>
              <w:t>8,180</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5" w:type="dxa"/>
            <w:tcBorders/>
            <w:vAlign w:val="bottom"/>
          </w:tcPr>
          <w:p>
            <w:pPr>
              <w:pStyle w:val="TableContents"/>
              <w:bidi w:val="0"/>
              <w:spacing w:before="0" w:after="283"/>
              <w:jc w:val="right"/>
              <w:rPr/>
            </w:pPr>
            <w:r>
              <w:rPr/>
              <w:t>6,928</w:t>
            </w:r>
          </w:p>
        </w:tc>
        <w:tc>
          <w:tcPr>
            <w:tcW w:w="67" w:type="dxa"/>
            <w:tcBorders/>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 for the period from February 10, 2022 (inception) to December 31, 2022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 million of professional and consulting costs, which consisted primarily of $0.4 million of outsourced legal and accounting expenses and $0.8 million in consulting costs, including costs for two consultants that became our full-time employees in 2023. We had no full-time G&amp;A employees in the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of facility related and other expenses, which consisted primarily of IT costs of $74 thousand.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 for the year ended December 31, 2023 consisted primarily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 million of workforce expense including salaries and benefits, including stock-based compensation expenses of $1.6 million as we hired 11 full-time general and administrative employees in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 million of professional and consulting fees related to expanding our administrative support, including outsourced legal and accounting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facility related and other expenses related to opening and/or expanding our Boston and San Diego sites, which consisted primarily of lease costs of $0.1 million, IT costs of $0.3 million, and $0.2 million of other office expenses.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62"/>
        <w:gridCol w:w="219"/>
        <w:gridCol w:w="198"/>
        <w:gridCol w:w="1277"/>
        <w:gridCol w:w="155"/>
        <w:gridCol w:w="181"/>
        <w:gridCol w:w="152"/>
        <w:gridCol w:w="1307"/>
        <w:gridCol w:w="155"/>
        <w:gridCol w:w="181"/>
        <w:gridCol w:w="147"/>
        <w:gridCol w:w="712"/>
        <w:gridCol w:w="159"/>
      </w:tblGrid>
      <w:tr>
        <w:trPr/>
        <w:tc>
          <w:tcPr>
            <w:tcW w:w="5362"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br/>
              <w:t>from</w:t>
              <w:br/>
              <w:t>February 10,</w:t>
              <w:br/>
              <w:t>2022</w:t>
            </w:r>
            <w:r>
              <w:rPr/>
              <w:br/>
            </w:r>
            <w:r>
              <w:rPr>
                <w:b/>
              </w:rPr>
              <w:t>(inception) to</w:t>
              <w:br/>
              <w:t>December 31,</w:t>
              <w:br/>
              <w:t>2022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w:t>
            </w:r>
            <w:r>
              <w:rPr/>
              <w:br/>
            </w:r>
            <w:r>
              <w:rPr>
                <w:b/>
              </w:rPr>
              <w:t>ended</w:t>
              <w:br/>
              <w:t>December 31,</w:t>
              <w:br/>
              <w:t>2023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9" w:type="dxa"/>
            <w:tcBorders/>
            <w:vAlign w:val="bottom"/>
          </w:tcPr>
          <w:p>
            <w:pPr>
              <w:pStyle w:val="TableContents"/>
              <w:bidi w:val="0"/>
              <w:spacing w:before="0" w:after="283"/>
              <w:jc w:val="left"/>
              <w:rPr/>
            </w:pPr>
            <w:r>
              <w:rPr/>
              <w:t> </w:t>
            </w:r>
          </w:p>
        </w:tc>
      </w:tr>
      <w:tr>
        <w:trPr/>
        <w:tc>
          <w:tcPr>
            <w:tcW w:w="5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465" w:type="dxa"/>
            <w:gridSpan w:val="10"/>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36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   </w:t>
            </w: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   </w:t>
            </w:r>
            <w:r>
              <w:rPr/>
              <w:t>2,527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2,527</w:t>
            </w:r>
          </w:p>
        </w:tc>
        <w:tc>
          <w:tcPr>
            <w:tcW w:w="159" w:type="dxa"/>
            <w:tcBorders/>
            <w:vAlign w:val="bottom"/>
          </w:tcPr>
          <w:p>
            <w:pPr>
              <w:pStyle w:val="TableContents"/>
              <w:bidi w:val="0"/>
              <w:spacing w:before="0" w:after="283"/>
              <w:jc w:val="left"/>
              <w:rPr/>
            </w:pPr>
            <w:r>
              <w:rPr/>
              <w:t>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(285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285</w:t>
            </w:r>
          </w:p>
        </w:tc>
        <w:tc>
          <w:tcPr>
            <w:tcW w:w="159" w:type="dxa"/>
            <w:tcBorders/>
            <w:shd w:fill="CCEEFF" w:val="clear"/>
            <w:vAlign w:val="bottom"/>
          </w:tcPr>
          <w:p>
            <w:pPr>
              <w:pStyle w:val="TableContents"/>
              <w:bidi w:val="0"/>
              <w:spacing w:before="0" w:after="283"/>
              <w:jc w:val="left"/>
              <w:rPr/>
            </w:pPr>
            <w:r>
              <w:rPr/>
              <w:t> </w:t>
            </w:r>
          </w:p>
        </w:tc>
      </w:tr>
      <w:tr>
        <w:trPr/>
        <w:tc>
          <w:tcPr>
            <w:tcW w:w="536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21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(1,124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(1,124</w:t>
            </w:r>
          </w:p>
        </w:tc>
        <w:tc>
          <w:tcPr>
            <w:tcW w:w="159" w:type="dxa"/>
            <w:tcBorders/>
            <w:vAlign w:val="bottom"/>
          </w:tcPr>
          <w:p>
            <w:pPr>
              <w:pStyle w:val="TableContents"/>
              <w:bidi w:val="0"/>
              <w:spacing w:before="0" w:after="283"/>
              <w:jc w:val="left"/>
              <w:rPr/>
            </w:pPr>
            <w:r>
              <w:rPr/>
              <w:t>) </w:t>
            </w:r>
          </w:p>
        </w:tc>
      </w:tr>
      <w:tr>
        <w:trPr/>
        <w:tc>
          <w:tcPr>
            <w:tcW w:w="5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1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(285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1,403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1,688</w:t>
            </w:r>
          </w:p>
        </w:tc>
        <w:tc>
          <w:tcPr>
            <w:tcW w:w="159" w:type="dxa"/>
            <w:tcBorders/>
            <w:shd w:fill="CCEEFF" w:val="clear"/>
            <w:vAlign w:val="bottom"/>
          </w:tcPr>
          <w:p>
            <w:pPr>
              <w:pStyle w:val="TableContents"/>
              <w:bidi w:val="0"/>
              <w:spacing w:before="0" w:after="283"/>
              <w:jc w:val="left"/>
              <w:rPr/>
            </w:pPr>
            <w:r>
              <w:rPr/>
              <w:t> </w:t>
            </w:r>
          </w:p>
        </w:tc>
      </w:tr>
      <w:tr>
        <w:trPr/>
        <w:tc>
          <w:tcPr>
            <w:tcW w:w="5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for the period from February 10, 2022 (inception) to December 31, 2022 and for the year ended December 31, 2023 was $0 and $2.5 million, respectively. The interest was earned from our interest bearing cash, cash equivalent and short-term investment accounts, which were first opened in the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for the period from February 10, 2022 (inception) to December 31, 2022 and for the year ended December 31, 2023 was $0.3 million and $0, respectively. Interest expense for the period from February 10, 2022 (inception) to December 31, 2022 was driven by $0.2 million of interest expense related to the Convertible Notes, $26 thousand of debt issuance cost amortization, and $77 thousand loss on extinguishment of debt. There was no interest expense recorded for the year ended December 31, 2023 due to the exchange of the Convertible Notes for shares of Series A convertible preferred stock in December 2022.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change in fair value of the preferred stock tranche right liability expense for the period from February 10, 2022 (inception) to December 31, 2022 and for the year ended December 31, 2023 was $0 and $1.1 million, respectively. There was no change in the fair value of the Series A preferred stock tranche right liability from December 9, 2022 (date of issuance) to December 31, 2022 and therefore, we did not recognize any other income or expenses related to the tranche right liability for the year ended December 31, 2022. The change in fair value of preferred stock tranche right liabilities for the year ended December 31, 2023 consisted of an increase in the fair value of Series A preferred stock tranche right liability of $1.0 million and an increase in the fair value of Series B preferred stock tranche right liability of $0.1 million, which were recorded upon remeasurement of the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For the period from February 10, 2022 (inception) to December 31, 2022 and the year ended December 31, 2023, we recorded an income tax provision of $0 and $10 thousand,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in February 2022, we have not generated any revenue from any sources and have incurred significant operating losses and negative cash flows from operations. We expect to incur significant expenses and operating losses for the foreseeable future as we advance the clinical development of our product candidates and pipeline. Further, upon the completion of this offering, we expect to incur additional costs associated with operating as a public company. To date, we have funded our operations with proceeds from the sale of the Convertible Notes and convertible preferred stock. Through March 31, 2024, we have received aggregate gross proceeds of $250.0 million from the issuance of convertible promissory notes and the sale of our convertible preferred stock. As of March 31, 2024, we had cash and cash equivalents of $74.3 million and short-term investments of $119.0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sources and uses of cash for each of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4"/>
        <w:gridCol w:w="155"/>
        <w:gridCol w:w="241"/>
        <w:gridCol w:w="1189"/>
        <w:gridCol w:w="155"/>
        <w:gridCol w:w="99"/>
        <w:gridCol w:w="210"/>
        <w:gridCol w:w="1218"/>
        <w:gridCol w:w="155"/>
        <w:gridCol w:w="99"/>
        <w:gridCol w:w="140"/>
        <w:gridCol w:w="681"/>
        <w:gridCol w:w="155"/>
        <w:gridCol w:w="99"/>
        <w:gridCol w:w="140"/>
        <w:gridCol w:w="795"/>
        <w:gridCol w:w="160"/>
      </w:tblGrid>
      <w:tr>
        <w:trPr/>
        <w:tc>
          <w:tcPr>
            <w:tcW w:w="451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14" w:type="dxa"/>
            <w:tcBorders/>
            <w:vAlign w:val="bottom"/>
          </w:tcPr>
          <w:p>
            <w:pPr>
              <w:pStyle w:val="TableContents"/>
              <w:bidi w:val="0"/>
              <w:spacing w:before="0" w:after="283"/>
              <w:jc w:val="left"/>
              <w:rPr/>
            </w:pPr>
            <w:r>
              <w:rPr/>
              <w:t> </w:t>
            </w:r>
          </w:p>
        </w:tc>
        <w:tc>
          <w:tcPr>
            <w:tcW w:w="155"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For the</w:t>
              <w:br/>
              <w:t>period from</w:t>
              <w:br/>
              <w:t>February 10,</w:t>
            </w:r>
            <w:r>
              <w:rPr/>
              <w:br/>
            </w:r>
            <w:r>
              <w:rPr>
                <w:b/>
              </w:rPr>
              <w:t>2022</w:t>
            </w:r>
            <w:r>
              <w:rPr/>
              <w:br/>
            </w:r>
            <w:r>
              <w:rPr>
                <w:b/>
              </w:rPr>
              <w:t>(inception) to</w:t>
              <w:br/>
              <w:t>December 31,</w:t>
            </w:r>
            <w:r>
              <w:rPr/>
              <w:br/>
            </w:r>
            <w:r>
              <w:rPr>
                <w:b/>
              </w:rPr>
              <w:t>2022</w:t>
            </w:r>
          </w:p>
        </w:tc>
        <w:tc>
          <w:tcPr>
            <w:tcW w:w="155" w:type="dxa"/>
            <w:vMerge w:val="restart"/>
            <w:tcBorders/>
            <w:vAlign w:val="bottom"/>
          </w:tcPr>
          <w:p>
            <w:pPr>
              <w:pStyle w:val="TableContents"/>
              <w:bidi w:val="0"/>
              <w:spacing w:before="0" w:after="283"/>
              <w:jc w:val="left"/>
              <w:rPr/>
            </w:pPr>
            <w:r>
              <w:rPr/>
              <w:t> </w:t>
            </w:r>
          </w:p>
        </w:tc>
        <w:tc>
          <w:tcPr>
            <w:tcW w:w="99" w:type="dxa"/>
            <w:vMerge w:val="restart"/>
            <w:tcBorders/>
            <w:vAlign w:val="bottom"/>
          </w:tcPr>
          <w:p>
            <w:pPr>
              <w:pStyle w:val="TableContents"/>
              <w:bidi w:val="0"/>
              <w:spacing w:before="0" w:after="283"/>
              <w:jc w:val="left"/>
              <w:rPr/>
            </w:pPr>
            <w:r>
              <w:rPr/>
              <w:t> </w:t>
            </w:r>
          </w:p>
        </w:tc>
        <w:tc>
          <w:tcPr>
            <w:tcW w:w="142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For the</w:t>
              <w:br/>
              <w:t>year ended</w:t>
              <w:br/>
              <w:t>December 31,</w:t>
            </w:r>
            <w:r>
              <w:rPr/>
              <w:br/>
            </w:r>
            <w:r>
              <w:rPr>
                <w:b/>
              </w:rPr>
              <w:t>2023</w:t>
            </w:r>
          </w:p>
        </w:tc>
        <w:tc>
          <w:tcPr>
            <w:tcW w:w="155" w:type="dxa"/>
            <w:vMerge w:val="restart"/>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 xml:space="preserve">March 31, </w:t>
            </w:r>
          </w:p>
        </w:tc>
        <w:tc>
          <w:tcPr>
            <w:tcW w:w="160"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pPr>
            <w:r>
              <w:rPr/>
              <w:t> </w:t>
            </w:r>
          </w:p>
        </w:tc>
        <w:tc>
          <w:tcPr>
            <w:tcW w:w="155"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99" w:type="dxa"/>
            <w:vMerge w:val="continue"/>
            <w:tcBorders>
              <w:bottom w:val="single" w:sz="8" w:space="0" w:color="000000"/>
            </w:tcBorders>
            <w:tcMar>
              <w:bottom w:w="28" w:type="dxa"/>
            </w:tcMar>
            <w:vAlign w:val="bottom"/>
          </w:tcPr>
          <w:p>
            <w:pPr>
              <w:pStyle w:val="Normal"/>
              <w:bidi w:val="0"/>
              <w:jc w:val="left"/>
              <w:rPr/>
            </w:pPr>
            <w:r>
              <w:rPr/>
            </w:r>
          </w:p>
        </w:tc>
        <w:tc>
          <w:tcPr>
            <w:tcW w:w="1428"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376" w:type="dxa"/>
            <w:gridSpan w:val="14"/>
            <w:tcBorders/>
            <w:vAlign w:val="bottom"/>
          </w:tcPr>
          <w:p>
            <w:pPr>
              <w:pStyle w:val="TableContents"/>
              <w:bidi w:val="0"/>
              <w:spacing w:before="0" w:after="283"/>
              <w:jc w:val="center"/>
              <w:rPr>
                <w:b/>
              </w:rPr>
            </w:pPr>
            <w:r>
              <w:rPr>
                <w:b/>
              </w:rPr>
              <w:t>(in thousands)</w:t>
            </w:r>
          </w:p>
        </w:tc>
        <w:tc>
          <w:tcPr>
            <w:tcW w:w="160"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(3,242</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(27,181</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(4,801</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(17,615</w:t>
            </w:r>
          </w:p>
        </w:tc>
        <w:tc>
          <w:tcPr>
            <w:tcW w:w="160" w:type="dxa"/>
            <w:tcBorders/>
            <w:shd w:fill="CCEEFF" w:val="clear"/>
            <w:vAlign w:val="bottom"/>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(5,284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(78,860</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(41,926</w:t>
            </w:r>
          </w:p>
        </w:tc>
        <w:tc>
          <w:tcPr>
            <w:tcW w:w="160"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39,685</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145,136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60,006</w:t>
            </w:r>
          </w:p>
        </w:tc>
        <w:tc>
          <w:tcPr>
            <w:tcW w:w="15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63,659</w:t>
            </w:r>
          </w:p>
        </w:tc>
        <w:tc>
          <w:tcPr>
            <w:tcW w:w="160" w:type="dxa"/>
            <w:tcBorders/>
            <w:shd w:fill="CCEEFF" w:val="clear"/>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31,159</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39,095</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55,144</w:t>
            </w:r>
          </w:p>
        </w:tc>
        <w:tc>
          <w:tcPr>
            <w:tcW w:w="15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4,118</w:t>
            </w:r>
          </w:p>
        </w:tc>
        <w:tc>
          <w:tcPr>
            <w:tcW w:w="160"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2023, operating activities used $4.8 million of cash, resulting primarily from our net loss of $6.1 million and changes in operating assets and liabilities of $0.4 million, partially offset by $0.7 million of non-cash stock-based compensation expense and non-cash change in fair value of preferred stock tranche right liability of $1.0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2024, operating activities used $17.6 million of cash, resulting primarily from our net loss of $22.7 million, non-cash accretion of investments in marketable securities of $1.0 million, and changes in operating assets and liabilities of $3.2 million, partially offset by $1.5 million of non-cash stock-based compensation expense and non-cash change in fair value of preferred stock tranche right liability of $7.4 million. The $3.2 million change in operating assets and liabilities is primarily driven by an increase in prepaid expenses and other current assets of $2.1 million primarily due to advanced payments on new contracts related to our clinical trials, and a decrease in accounts payable of $1.1 million due to payment to vendors.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from February 10, 2022 (inception) to December 31, 2022, operating activities used $3.2 million of cash, resulting primarily from our net loss of $10.7 million, partially offset by $5.0 million of related party acquired IPR&amp;D related to the Janssen License, $0.6 million of non-cash stock-based compensation expense, and net cash provided by changes in operating assets and liabilities of $1.5 million which consisted primarily of increases in accounts payable of $1.4 million. The increases in accounts payable were primarily due to amounts owed to vendors in connection with our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operating activities used $27.2 million of cash, resulting primarily from our net loss of $34.8 million, partially offset by $3.5 million of non-cash stock-based compensation expense and non-cash change in fair value of preferred stock tranche right liability of $1.1 million, and net cash provided by changes in operating assets and liabilities of $2.7 million. Net cash provided by changes in operating assets and liabilities consisted primarily of increases in accrued expenses and other current liabilities of $5.4 million, partially offset by increases in prepaid expenses and other current assets of $3.2 million. The increases in accrued expenses and prepaid expenses were primarily due to increased internal and external costs associated with our research and development activities, including clinical trials and manufacturing.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2023, net cash used in investing activities was $0.1 million, primarily consisting of purchases of property and equipment of $61 thousand.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2024, net cash used in investing activities was $41.9 million, primarily consisting of purchases of short-term investments of $44.8 million and purchases of property and equipment of $1.1 million, partially offset by maturities of short-term investments of $3.9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from February 10, 2022 (inception) to December 31, 2022, net cash used in investing activities was $5.3 million, primarily consisting of $5.0 million of related party acquired IPR&amp;D related to the Janssen License and purchases of property and equipment of $0.3 million.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net cash used in investing activities was $78.9 million, primarily consisting of purchases of short-term investments of $77.2 million and purchases of property and equipment of $1.6 million.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2023, net cash provided by financing activities was $60.0 million, primarily consisting of net proceeds of $60.0 million from our additional issuance of Series A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three months ended March 31, 2024, net cash provided by financing activities was $63.7 million, primarily consisting of net proceeds of $63.9 million from our additional issuance of Series B convertible preferred stock and payments of $0.3 million for deferred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from February 10, 2022 (inception) to December 31, 2022, net cash provided by financing activities was $39.7 million, primarily consisting of net proceeds of $31.8 million from our initial issuance of Series A convertible preferred stock, including tranche rights, and net proceeds of $7.9 million from our issuance of convertible promissory notes.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net cash provided by financing activities was $145.1 million, primarily consisting of net proceeds of $59.9 million from our additional issuance of Series A convertible preferred stock, and net proceeds of $85.3 million from our initial issuance of Series B convertible preferred stock, including tranche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we had cash, cash equivalents and short-term investments of $193.2 million, excluding our restricted cash. As of the issuance date of the condensed consolidated financial statements for the three months ended March 31, 2024, we expect that our cash, cash equivalents and short-term investments will be sufficient to fund our operating expenses and capital expenditure requirements through at least 12 months from the issuance of the condensed consolidated financial statements. We believe that the net proceeds from this offering, together with our existing cash, cash equivalents and short-term investments will enable us to fund our operating expenses and capital expenditure requirements through     . We have based this estimate on assumptions that may prove to be wrong, and we could exhaust our available capital resources sooner than we expect. However,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potential future product candidates in clinical trials is costly, and the timing of progress and expenses in these studies and trials is uncertain. We will need to raise substantial additional capital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progress in the development of RAP-219 and our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type, number, scope, progress, expansions, results, costs, and timing of, discovery efforts, preclinical studies and clinical trials of RAP-219 and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for RAP-219 and our potential future product candidates and commercial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licenses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costs of obtaining, maintaining, and enforcing our patents and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efforts to enhance operational systems and hire additional personnel to satisfy our obligations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our preclinical and future clinical activities increase;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or securing sales and marketing capabilities if any potential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sufficient market acceptance, coverage and adequate reimbursement from third-party payors and adequate market share and revenue for any approved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we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your ownership interest will be diluted, and the terms of these securities may include liquidation or other preferences that adversely affect the rights of our common stockholders. Additional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license arrangements, or other similar arrangements with third parties, we may have to relinquish valuable rights to our technologies, future revenue streams, research programs or potential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or through other sources when needed, we may be required to delay, limit, reduce or terminate our product development or future commercialization efforts or grant rights to develop and market our product candidates and potential future product candidates even if we would otherwise prefer to develop and market such potential future product candidates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As of the March 31, 2024, we had future minimum operating lease payments under non-cancelable leases of $2.2 million related to leases we have recognized on our consolidated balance sheet, which are due over the following 2.8 years. In addition, we have one lease that has been entered into but has not yet commenced, for which we expect to pay approximately $9.6 million over the five-year lease term. </w:t>
      </w:r>
    </w:p>
    <w:p>
      <w:pPr>
        <w:pStyle w:val="TextBody"/>
        <w:bidi w:val="0"/>
        <w:spacing w:before="360" w:after="0"/>
        <w:jc w:val="left"/>
        <w:rPr>
          <w:rFonts w:ascii="Times New Roman" w:hAnsi="Times New Roman"/>
          <w:i/>
          <w:sz w:val="20"/>
        </w:rPr>
      </w:pPr>
      <w:r>
        <w:rPr>
          <w:rFonts w:ascii="Times New Roman" w:hAnsi="Times New Roman"/>
          <w:i/>
          <w:sz w:val="20"/>
        </w:rPr>
        <w:t xml:space="preserve">Option and License Agreement with Janssen Pharmaceutical NV </w:t>
      </w:r>
    </w:p>
    <w:p>
      <w:pPr>
        <w:pStyle w:val="TextBody"/>
        <w:bidi w:val="0"/>
        <w:spacing w:before="120" w:after="0"/>
        <w:jc w:val="left"/>
        <w:rPr>
          <w:rFonts w:ascii="Times New Roman" w:hAnsi="Times New Roman"/>
          <w:sz w:val="20"/>
        </w:rPr>
      </w:pPr>
      <w:r>
        <w:rPr>
          <w:rFonts w:ascii="Times New Roman" w:hAnsi="Times New Roman"/>
          <w:sz w:val="20"/>
        </w:rPr>
        <w:t>We made an upfront non-refundable, non-creditable payment of $1.0 million to Janssen after we entered into the Janssen License. In October 2022, we exercised the option and made a non-refundable, non-creditable option fee of $4.0 million to Janssen. If we succeed in developing and commercializing TARP</w:t>
      </w:r>
      <w:r>
        <w:rPr>
          <w:rFonts w:ascii="SYMBOL" w:hAnsi="SYMBOL"/>
          <w:sz w:val="20"/>
        </w:rPr>
        <w:t>g</w:t>
      </w:r>
      <w:r>
        <w:rPr>
          <w:rFonts w:ascii="Times New Roman" w:hAnsi="Times New Roman"/>
          <w:sz w:val="20"/>
        </w:rPr>
        <w:t>8 products, Janssen will be eligible to receive (i) up to $76.0 million in development milestone payments and up to $40.0 million sales milestone payments for the product containing the lead TARP</w:t>
      </w:r>
      <w:r>
        <w:rPr>
          <w:rFonts w:ascii="SYMBOL" w:hAnsi="SYMBOL"/>
          <w:sz w:val="20"/>
        </w:rPr>
        <w:t>g</w:t>
      </w:r>
      <w:r>
        <w:rPr>
          <w:rFonts w:ascii="Times New Roman" w:hAnsi="Times New Roman"/>
          <w:sz w:val="20"/>
        </w:rPr>
        <w:t>8 development candidate and (ii) up to $25.0 million in development milestone payments and up to $42.0 million sales milestone payments for the other products containing a non-lead TARP</w:t>
      </w:r>
      <w:r>
        <w:rPr>
          <w:rFonts w:ascii="SYMBOL" w:hAnsi="SYMBOL"/>
          <w:sz w:val="20"/>
        </w:rPr>
        <w:t>g</w:t>
      </w:r>
      <w:r>
        <w:rPr>
          <w:rFonts w:ascii="Times New Roman" w:hAnsi="Times New Roman"/>
          <w:sz w:val="20"/>
        </w:rPr>
        <w:t>8 development candidate. We are also required to pay tiered royalties related to the TARP</w:t>
      </w:r>
      <w:r>
        <w:rPr>
          <w:rFonts w:ascii="SYMBOL" w:hAnsi="SYMBOL"/>
          <w:sz w:val="20"/>
        </w:rPr>
        <w:t>g</w:t>
      </w:r>
      <w:r>
        <w:rPr>
          <w:rFonts w:ascii="Times New Roman" w:hAnsi="Times New Roman"/>
          <w:sz w:val="20"/>
        </w:rPr>
        <w:t>8 development candidate of a mid to high single-digit percentage on worldwide net sales and tiered royalties related to the TARP</w:t>
      </w:r>
      <w:r>
        <w:rPr>
          <w:rFonts w:ascii="SYMBOL" w:hAnsi="SYMBOL"/>
          <w:sz w:val="20"/>
        </w:rPr>
        <w:t>g</w:t>
      </w:r>
      <w:r>
        <w:rPr>
          <w:rFonts w:ascii="Times New Roman" w:hAnsi="Times New Roman"/>
          <w:sz w:val="20"/>
        </w:rPr>
        <w:t>8 products that do not contain a TARP</w:t>
      </w:r>
      <w:r>
        <w:rPr>
          <w:rFonts w:ascii="SYMBOL" w:hAnsi="SYMBOL"/>
          <w:sz w:val="20"/>
        </w:rPr>
        <w:t>g</w:t>
      </w:r>
      <w:r>
        <w:rPr>
          <w:rFonts w:ascii="Times New Roman" w:hAnsi="Times New Roman"/>
          <w:sz w:val="20"/>
        </w:rPr>
        <w:t xml:space="preserve">8 development candidate of low to mid single-digit percentages on annual net sales of the products covered by the license. </w:t>
      </w:r>
    </w:p>
    <w:p>
      <w:pPr>
        <w:pStyle w:val="TextBody"/>
        <w:bidi w:val="0"/>
        <w:spacing w:before="360" w:after="0"/>
        <w:jc w:val="left"/>
        <w:rPr>
          <w:rFonts w:ascii="Times New Roman" w:hAnsi="Times New Roman"/>
          <w:i/>
          <w:sz w:val="20"/>
        </w:rPr>
      </w:pPr>
      <w:r>
        <w:rPr>
          <w:rFonts w:ascii="Times New Roman" w:hAnsi="Times New Roman"/>
          <w:i/>
          <w:sz w:val="20"/>
        </w:rPr>
        <w:t xml:space="preserve">NeuroPace Master Services Agreement and Statement of Work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NeuroPace Agreement, the parties also entered into an initial statement of work under the NeuroPace Agreement, pursuant to which NeuroPace agreed to provide services related to our Phase 2a proof-of-concept clinical trial of RAP-219, including, among other things, clinical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readiness support, data analysis and data reporting. Pursuant to the payment schedule set out in the statement of work, we will pay NeuroPace an aggregate of up to $3.7 million over a period of approximately two years in connection with NeuroPaces provision of services and achievement of certain patient enrollment and deliverable milestones.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we paid NeuroPace $1.5 million, which is recorded as prepaid expenses and other current assets in the consolidated balance sheet as of December 31, 2023. During the three months ended March 31, 2024, we paid NeuroPace an additional $0.3 million and recognized $0.3 million in research and development expense for services performed, resulting in a prepaid expense balance of $1.5 million as of March 31, 2024. </w:t>
      </w:r>
    </w:p>
    <w:p>
      <w:pPr>
        <w:pStyle w:val="TextBody"/>
        <w:bidi w:val="0"/>
        <w:spacing w:before="240" w:after="0"/>
        <w:jc w:val="left"/>
        <w:rPr>
          <w:rFonts w:ascii="Times New Roman" w:hAnsi="Times New Roman"/>
          <w:sz w:val="20"/>
        </w:rPr>
      </w:pPr>
      <w:r>
        <w:rPr>
          <w:rFonts w:ascii="Times New Roman" w:hAnsi="Times New Roman"/>
          <w:sz w:val="20"/>
        </w:rPr>
        <w:t xml:space="preserve">Apart from the contracts with payment commitments that we have documented above,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and, as a result, are not included in the table of contractual obligations and commitments above. Payments due upon cancellation consist only of payments for services provided and expenses incurred, including non-cancelable obligations of our service providers, up to the date of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are based on our consolidated financial statements, which have been prepared in accordance with generally accepted accounting principles in the United States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amounts of expenses incurred during the reporting periods. We base our estimates on historical experience, known trends and events, and on various other factors that we believe are reasonable under the circumstances, the results of which form the basis for making judgments about the carrying values of assets and liabilities and expenses that are not readily apparent from other sources. We evaluate our estimates and judgments on an ongoing basis. Our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While our significant accounting policies are described in Note 2</w:t>
      </w:r>
      <w:r>
        <w:rPr>
          <w:rFonts w:ascii="Times New Roman" w:hAnsi="Times New Roman"/>
          <w:i/>
          <w:sz w:val="20"/>
        </w:rPr>
        <w:t xml:space="preserve">Summary of Significant Accounting Policies </w:t>
      </w:r>
      <w:r>
        <w:rPr>
          <w:rFonts w:ascii="Times New Roman" w:hAnsi="Times New Roman"/>
          <w:sz w:val="20"/>
        </w:rPr>
        <w:t xml:space="preserve">to our annual consolidated financial statements and interim condensed consolidated financial statements included elsewhere in this prospectus, we believe that the following accounting policies are those most critical to the judgments and estimates used in the preparation of our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and Accruals </w:t>
      </w:r>
    </w:p>
    <w:p>
      <w:pPr>
        <w:pStyle w:val="TextBody"/>
        <w:bidi w:val="0"/>
        <w:spacing w:before="120" w:after="0"/>
        <w:jc w:val="left"/>
        <w:rPr>
          <w:rFonts w:ascii="Times New Roman" w:hAnsi="Times New Roman"/>
          <w:sz w:val="20"/>
        </w:rPr>
      </w:pPr>
      <w:r>
        <w:rPr>
          <w:rFonts w:ascii="Times New Roman" w:hAnsi="Times New Roman"/>
          <w:sz w:val="20"/>
        </w:rPr>
        <w:t xml:space="preserve">We expense research and development expenses as incurred. Research and development expenses represent costs incurred by us for the discovery and development of our product candidates and include employee salaries and benefits, including stock-based compensation, third-party research and development expenses, including amounts incurred under agreements with our external vendors and consultants engaged to perform preclinical and clinical studies, contract manufacturing and research services, consulting costs, laboratory supplies, and certain allocated expenses, as well as amounts incurred under third-party license agreements.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process of preparing our consolidated financial statements, we are required to estimate our accrued research and development expenses. We estimate preclinical study and clinical trial and other research and development expenses based on the services performed, pursuant to contracts with research institutions and third-party service providers that conduct and manage preclinical studies and clinical trials and research services on our behalf. We record the costs of research and development activities based upon the estimated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but not yet invoiced and include these costs in accrued expenses and other current liabilities in our consolidated balance sheets and in research and development expense in our consolidated statements of operations and comprehensive loss.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third-party service providers. Contingent milestone payments, if any, are expensed when the milestone results are probable and estimable, which is generally upon the achievement of the milestone. </w:t>
      </w:r>
    </w:p>
    <w:p>
      <w:pPr>
        <w:pStyle w:val="TextBody"/>
        <w:bidi w:val="0"/>
        <w:spacing w:before="240" w:after="0"/>
        <w:jc w:val="left"/>
        <w:rPr>
          <w:rFonts w:ascii="Times New Roman" w:hAnsi="Times New Roman"/>
          <w:sz w:val="20"/>
        </w:rPr>
      </w:pPr>
      <w:r>
        <w:rPr>
          <w:rFonts w:ascii="Times New Roman" w:hAnsi="Times New Roman"/>
          <w:sz w:val="20"/>
        </w:rPr>
        <w:t xml:space="preserve">Our expenses related to clinical trials are based on estimates of patient enrollment and related expenses at clinical investigator sites as well as estimates for the services provided and efforts expended pursuant to contracts with multiple research institutions and contract research organizations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Acquisitions and Acquired In-Process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We measure and recognize asset acquisitions or licenses of intellectual property that are not deemed to be business combinations based on the cost to acquire the asset or group of assets, which includes transaction costs. Goodwill is not recognized in asset acquisitions. In an asset acquisition or license of intellectual property, the cost allocated to acquire IPR&amp;D with no alternative future use is recognized as expense on the acquisition date. </w:t>
      </w:r>
    </w:p>
    <w:p>
      <w:pPr>
        <w:pStyle w:val="TextBody"/>
        <w:bidi w:val="0"/>
        <w:spacing w:before="240" w:after="0"/>
        <w:jc w:val="left"/>
        <w:rPr>
          <w:rFonts w:ascii="Times New Roman" w:hAnsi="Times New Roman"/>
          <w:sz w:val="20"/>
        </w:rPr>
      </w:pPr>
      <w:r>
        <w:rPr>
          <w:rFonts w:ascii="Times New Roman" w:hAnsi="Times New Roman"/>
          <w:sz w:val="20"/>
        </w:rPr>
        <w:t>We determined that the Janssen License represented an asset acquisition, rather than a business combination, as substantially all of the fair value of the assets acquired in the Janssen License was concentrated in a single asset, the TARP</w:t>
      </w:r>
      <w:r>
        <w:rPr>
          <w:rFonts w:ascii="SYMBOL" w:hAnsi="SYMBOL"/>
          <w:sz w:val="20"/>
        </w:rPr>
        <w:t>g</w:t>
      </w:r>
      <w:r>
        <w:rPr>
          <w:rFonts w:ascii="Times New Roman" w:hAnsi="Times New Roman"/>
          <w:sz w:val="20"/>
        </w:rPr>
        <w:t xml:space="preserve">8 compound, which was in early stage of development at the time of acquisition. We further concluded that the arrangement represented an asset acquisition of IPR&amp;D assets with no alternative future use.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stock-based awards granted to employees, directors, and nonemployees based on their fair value on the date of the grant. We recognize compensation expense for awards to employees and directors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over the vesting period of the award. For stock-based awards with service-based vesting conditions, we recognize compensation expense using the straight-line method. For stock-based awards with performance-based vesting conditions, we recognize compensation expense using the graded-vesting method over the requisite service period using the accelerated attribution method, commencing when achievement of the performance condition becomes probable.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For awards to non-employees, the expected term of the option is equal to the contractual term of the non-employees service agreement. The fair value of each restricted common stock award is estimated on the date of grant based on the fair value of our common stock on that same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Determination of the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stock valuation was prepared using either the option-pricing method (OPM) or the hybrid method, both of which used a market approach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us,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These third-party valuations were performed at various dates, which resulted in valuation of our common stock of $1.35 per share as of March 31, 2024. Our board of directors considered various objective and subjective factors to determine the fair value of our common stock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we sold shares of convertible preferred stock and the superior rights and preferences of the convertible preferred stock relative to our common stock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our research and development programs, including the status and results of clinical and preclinical studies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stage of development and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biopharmaceutical industry and trends within the biopharmaceutical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position, including cash on hand, and our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our common stock and our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initial public offering (IPO) or sale of our company in light of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IPOs and the market performance of similar companies in the biopharmaceutical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be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our common stock has been established in connection with the completion of this offering, it will no longer be necessary for our board of directors to estimate the fair value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in connection with our accounting for granted stock options and other such awards we may grant, as the fair value of our common stock will be determined based on the quoted market price of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Grant of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by grant date the number of shares subject to common stock options and common stock awards granted since February 10, 2022 (inception) through May 17, 2024, the per share exercise price of the options or purchase price of common stock awards, the fair value of common stock on each grant date, and the per share estimated fair value of the options or common stock awards: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1"/>
        <w:gridCol w:w="133"/>
        <w:gridCol w:w="1580"/>
        <w:gridCol w:w="133"/>
        <w:gridCol w:w="60"/>
        <w:gridCol w:w="1320"/>
        <w:gridCol w:w="60"/>
        <w:gridCol w:w="133"/>
        <w:gridCol w:w="140"/>
        <w:gridCol w:w="1320"/>
        <w:gridCol w:w="60"/>
        <w:gridCol w:w="133"/>
        <w:gridCol w:w="140"/>
        <w:gridCol w:w="1320"/>
        <w:gridCol w:w="530"/>
        <w:gridCol w:w="73"/>
        <w:gridCol w:w="166"/>
        <w:gridCol w:w="1578"/>
        <w:gridCol w:w="65"/>
      </w:tblGrid>
      <w:tr>
        <w:trPr/>
        <w:tc>
          <w:tcPr>
            <w:tcW w:w="126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 Date</w:t>
            </w:r>
          </w:p>
        </w:tc>
        <w:tc>
          <w:tcPr>
            <w:tcW w:w="133" w:type="dxa"/>
            <w:tcBorders/>
            <w:vAlign w:val="bottom"/>
          </w:tcPr>
          <w:p>
            <w:pPr>
              <w:pStyle w:val="TableContents"/>
              <w:bidi w:val="0"/>
              <w:spacing w:before="0" w:after="283"/>
              <w:jc w:val="left"/>
              <w:rPr/>
            </w:pPr>
            <w:r>
              <w:rPr/>
              <w:t>  </w:t>
            </w:r>
          </w:p>
        </w:tc>
        <w:tc>
          <w:tcPr>
            <w:tcW w:w="1580" w:type="dxa"/>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Type of Award</w:t>
            </w:r>
          </w:p>
        </w:tc>
        <w:tc>
          <w:tcPr>
            <w:tcW w:w="133"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Number of</w:t>
              <w:br/>
              <w:t>Shares</w:t>
              <w:br/>
              <w:t>Subject to</w:t>
              <w:br/>
              <w:t>Award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Per Share</w:t>
              <w:br/>
              <w:t>Exercise or</w:t>
              <w:br/>
              <w:t>Purchase</w:t>
              <w:br/>
              <w:t>Price of</w:t>
              <w:br/>
              <w:t>Award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990" w:type="dxa"/>
            <w:gridSpan w:val="3"/>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Per Share</w:t>
              <w:br/>
              <w:t>Fair Value</w:t>
              <w:br/>
              <w:t>of Common</w:t>
              <w:br/>
              <w:t>Stock on</w:t>
              <w:br/>
              <w:t>Grant Date</w:t>
            </w:r>
          </w:p>
        </w:tc>
        <w:tc>
          <w:tcPr>
            <w:tcW w:w="73" w:type="dxa"/>
            <w:tcBorders/>
            <w:vAlign w:val="bottom"/>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Per Share</w:t>
              <w:br/>
              <w:t>Estimated Fair</w:t>
              <w:br/>
              <w:t>Value of Awards</w:t>
              <w:br/>
              <w:t>on Grant Date</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28, 2022</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7,333,272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(1)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November 29, 2022</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35,171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vAlign w:val="bottom"/>
          </w:tcPr>
          <w:p>
            <w:pPr>
              <w:pStyle w:val="TableContents"/>
              <w:bidi w:val="0"/>
              <w:spacing w:before="0" w:after="283"/>
              <w:jc w:val="left"/>
              <w:rPr/>
            </w:pPr>
            <w:r>
              <w:rPr/>
              <w:t> </w:t>
            </w:r>
            <w:r>
              <w:rPr>
                <w:rFonts w:ascii="Times New Roman" w:hAnsi="Times New Roman"/>
              </w:rPr>
              <w:t>(1)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30, 2022</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752,910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(1)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December 9, 2022</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4,090,916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vAlign w:val="bottom"/>
          </w:tcPr>
          <w:p>
            <w:pPr>
              <w:pStyle w:val="TableContents"/>
              <w:bidi w:val="0"/>
              <w:spacing w:before="0" w:after="283"/>
              <w:jc w:val="left"/>
              <w:rPr/>
            </w:pPr>
            <w:r>
              <w:rPr/>
              <w:t> </w:t>
            </w:r>
            <w:r>
              <w:rPr>
                <w:rFonts w:ascii="Times New Roman" w:hAnsi="Times New Roman"/>
              </w:rPr>
              <w:t>(1)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9, 2023</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1,690,916</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(1)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January 30, 2023</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58,167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vAlign w:val="bottom"/>
          </w:tcPr>
          <w:p>
            <w:pPr>
              <w:pStyle w:val="TableContents"/>
              <w:bidi w:val="0"/>
              <w:spacing w:before="0" w:after="283"/>
              <w:jc w:val="left"/>
              <w:rPr/>
            </w:pPr>
            <w:r>
              <w:rPr/>
              <w:t> </w:t>
            </w:r>
            <w:r>
              <w:rPr>
                <w:rFonts w:ascii="Times New Roman" w:hAnsi="Times New Roman"/>
              </w:rPr>
              <w:t>(1)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6, 2023</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1,933,828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(2)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February 14, 2023</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405,820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530" w:type="dxa"/>
            <w:tcBorders/>
            <w:vAlign w:val="bottom"/>
          </w:tcPr>
          <w:p>
            <w:pPr>
              <w:pStyle w:val="TableContents"/>
              <w:bidi w:val="0"/>
              <w:spacing w:before="0" w:after="283"/>
              <w:jc w:val="left"/>
              <w:rPr/>
            </w:pPr>
            <w:r>
              <w:rPr/>
              <w:t> </w:t>
            </w:r>
            <w:r>
              <w:rPr>
                <w:rFonts w:ascii="Times New Roman" w:hAnsi="Times New Roman"/>
              </w:rPr>
              <w:t>(2)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0.34</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1, 2023</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6,763,667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0.53</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(3)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0.53</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May 19, 2023</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1,705,000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0.01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0.53</w:t>
            </w:r>
          </w:p>
        </w:tc>
        <w:tc>
          <w:tcPr>
            <w:tcW w:w="530" w:type="dxa"/>
            <w:tcBorders/>
            <w:vAlign w:val="bottom"/>
          </w:tcPr>
          <w:p>
            <w:pPr>
              <w:pStyle w:val="TableContents"/>
              <w:bidi w:val="0"/>
              <w:spacing w:before="0" w:after="283"/>
              <w:jc w:val="left"/>
              <w:rPr/>
            </w:pPr>
            <w:r>
              <w:rPr/>
              <w:t> </w:t>
            </w:r>
            <w:r>
              <w:rPr>
                <w:rFonts w:ascii="Times New Roman" w:hAnsi="Times New Roman"/>
              </w:rPr>
              <w:t>(4)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0.53</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7, 2023</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Restricted Stock</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1,352,735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0.62</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(5)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0.62</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December 6, 2023</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11,595,429</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0.21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0.74</w:t>
            </w:r>
          </w:p>
        </w:tc>
        <w:tc>
          <w:tcPr>
            <w:tcW w:w="530" w:type="dxa"/>
            <w:tcBorders/>
            <w:vAlign w:val="bottom"/>
          </w:tcPr>
          <w:p>
            <w:pPr>
              <w:pStyle w:val="TableContents"/>
              <w:bidi w:val="0"/>
              <w:spacing w:before="0" w:after="283"/>
              <w:jc w:val="left"/>
              <w:rPr/>
            </w:pPr>
            <w:r>
              <w:rPr/>
              <w:t> </w:t>
            </w:r>
            <w:r>
              <w:rPr>
                <w:rFonts w:ascii="Times New Roman" w:hAnsi="Times New Roman"/>
              </w:rPr>
              <w:t>(6)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0.67</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6, 2023</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195,000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0.21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0.74</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(7)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0.71</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January 13, 2024</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300,000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0.21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0.74</w:t>
            </w:r>
          </w:p>
        </w:tc>
        <w:tc>
          <w:tcPr>
            <w:tcW w:w="530" w:type="dxa"/>
            <w:tcBorders/>
            <w:vAlign w:val="bottom"/>
          </w:tcPr>
          <w:p>
            <w:pPr>
              <w:pStyle w:val="TableContents"/>
              <w:bidi w:val="0"/>
              <w:spacing w:before="0" w:after="283"/>
              <w:jc w:val="left"/>
              <w:rPr/>
            </w:pPr>
            <w:r>
              <w:rPr/>
              <w:t> </w:t>
            </w:r>
            <w:r>
              <w:rPr>
                <w:rFonts w:ascii="Times New Roman" w:hAnsi="Times New Roman"/>
              </w:rPr>
              <w:t>(8)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0.67</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7, 2024</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1,130,000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0.52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1.12</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(9)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0.95</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March 25, 2024</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9,677,077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1.12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1.35</w:t>
            </w:r>
          </w:p>
        </w:tc>
        <w:tc>
          <w:tcPr>
            <w:tcW w:w="530" w:type="dxa"/>
            <w:tcBorders/>
            <w:vAlign w:val="bottom"/>
          </w:tcPr>
          <w:p>
            <w:pPr>
              <w:pStyle w:val="TableContents"/>
              <w:bidi w:val="0"/>
              <w:spacing w:before="0" w:after="283"/>
              <w:jc w:val="left"/>
              <w:rPr/>
            </w:pPr>
            <w:r>
              <w:rPr/>
              <w:t> </w:t>
            </w:r>
            <w:r>
              <w:rPr>
                <w:rFonts w:ascii="Times New Roman" w:hAnsi="Times New Roman"/>
              </w:rPr>
              <w:t>(10)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1.06</w:t>
            </w:r>
          </w:p>
        </w:tc>
        <w:tc>
          <w:tcPr>
            <w:tcW w:w="65" w:type="dxa"/>
            <w:tcBorders/>
            <w:vAlign w:val="bottom"/>
          </w:tcPr>
          <w:p>
            <w:pPr>
              <w:pStyle w:val="TableContents"/>
              <w:bidi w:val="0"/>
              <w:spacing w:before="0" w:after="283"/>
              <w:jc w:val="left"/>
              <w:rPr/>
            </w:pPr>
            <w:r>
              <w:rPr/>
              <w:t> </w:t>
            </w:r>
          </w:p>
        </w:tc>
      </w:tr>
      <w:tr>
        <w:trPr/>
        <w:tc>
          <w:tcPr>
            <w:tcW w:w="1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25, 2024</w:t>
            </w:r>
          </w:p>
        </w:tc>
        <w:tc>
          <w:tcPr>
            <w:tcW w:w="133"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35,000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1.35</w:t>
            </w:r>
          </w:p>
        </w:tc>
        <w:tc>
          <w:tcPr>
            <w:tcW w:w="530" w:type="dxa"/>
            <w:tcBorders/>
            <w:shd w:fill="CCEEFF" w:val="clear"/>
            <w:vAlign w:val="bottom"/>
          </w:tcPr>
          <w:p>
            <w:pPr>
              <w:pStyle w:val="TableContents"/>
              <w:bidi w:val="0"/>
              <w:spacing w:before="0" w:after="283"/>
              <w:jc w:val="left"/>
              <w:rPr/>
            </w:pPr>
            <w:r>
              <w:rPr/>
              <w:t> </w:t>
            </w:r>
            <w:r>
              <w:rPr>
                <w:rFonts w:ascii="Times New Roman" w:hAnsi="Times New Roman"/>
              </w:rPr>
              <w:t>(11) </w:t>
            </w:r>
          </w:p>
        </w:tc>
        <w:tc>
          <w:tcPr>
            <w:tcW w:w="7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1.22</w:t>
            </w:r>
          </w:p>
        </w:tc>
        <w:tc>
          <w:tcPr>
            <w:tcW w:w="65" w:type="dxa"/>
            <w:tcBorders/>
            <w:shd w:fill="CCEEFF" w:val="clear"/>
            <w:vAlign w:val="bottom"/>
          </w:tcPr>
          <w:p>
            <w:pPr>
              <w:pStyle w:val="TableContents"/>
              <w:bidi w:val="0"/>
              <w:spacing w:before="0" w:after="283"/>
              <w:jc w:val="left"/>
              <w:rPr/>
            </w:pPr>
            <w:r>
              <w:rPr/>
              <w:t> </w:t>
            </w:r>
          </w:p>
        </w:tc>
      </w:tr>
      <w:tr>
        <w:trPr/>
        <w:tc>
          <w:tcPr>
            <w:tcW w:w="1261" w:type="dxa"/>
            <w:tcBorders/>
          </w:tcPr>
          <w:p>
            <w:pPr>
              <w:pStyle w:val="TableContents"/>
              <w:bidi w:val="0"/>
              <w:spacing w:before="0" w:after="0"/>
              <w:jc w:val="left"/>
              <w:rPr>
                <w:rFonts w:ascii="Times New Roman" w:hAnsi="Times New Roman"/>
                <w:sz w:val="20"/>
              </w:rPr>
            </w:pPr>
            <w:r>
              <w:rPr>
                <w:rFonts w:ascii="Times New Roman" w:hAnsi="Times New Roman"/>
                <w:sz w:val="20"/>
              </w:rPr>
              <w:t>May 7, 2024</w:t>
            </w:r>
          </w:p>
        </w:tc>
        <w:tc>
          <w:tcPr>
            <w:tcW w:w="133"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center"/>
              <w:rPr>
                <w:rFonts w:ascii="Times New Roman" w:hAnsi="Times New Roman"/>
              </w:rPr>
            </w:pPr>
            <w:r>
              <w:rPr>
                <w:rFonts w:ascii="Times New Roman" w:hAnsi="Times New Roman"/>
              </w:rPr>
              <w:t>Option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790,000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1.35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320" w:type="dxa"/>
            <w:tcBorders/>
            <w:vAlign w:val="bottom"/>
          </w:tcPr>
          <w:p>
            <w:pPr>
              <w:pStyle w:val="TableContents"/>
              <w:bidi w:val="0"/>
              <w:spacing w:before="0" w:after="283"/>
              <w:jc w:val="right"/>
              <w:rPr>
                <w:rFonts w:ascii="Times New Roman" w:hAnsi="Times New Roman"/>
              </w:rPr>
            </w:pPr>
            <w:r>
              <w:rPr>
                <w:rFonts w:ascii="Times New Roman" w:hAnsi="Times New Roman"/>
              </w:rPr>
              <w:t>1.35</w:t>
            </w:r>
          </w:p>
        </w:tc>
        <w:tc>
          <w:tcPr>
            <w:tcW w:w="53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578" w:type="dxa"/>
            <w:tcBorders/>
            <w:vAlign w:val="bottom"/>
          </w:tcPr>
          <w:p>
            <w:pPr>
              <w:pStyle w:val="TableContents"/>
              <w:bidi w:val="0"/>
              <w:spacing w:before="0" w:after="283"/>
              <w:jc w:val="right"/>
              <w:rPr>
                <w:rFonts w:ascii="Times New Roman" w:hAnsi="Times New Roman"/>
              </w:rPr>
            </w:pPr>
            <w:r>
              <w:rPr>
                <w:rFonts w:ascii="Times New Roman" w:hAnsi="Times New Roman"/>
              </w:rPr>
              <w:t>1.06</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restricted stock grants from November 28, 2022 to January 30, 2023, our board of directors determined that the fair value of our common stock of $0.001 per share reasonably reflected the fair value of our common stock as of the grant date. However, as described below, the fair value of our common stock as of the dates of these grants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restricted stock grants from February 6, 2023 to February 14, 2023, our board of directors determined that the fair value of our common stock of $0.01 per share reasonably reflected the fair value of our common stock as of the grant date. However, as described below, the fair value of our common stock as of the date of these grants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grant was legally issued on December 2, 2022, but not considered granted for accounting purposes until March 1, 2023, when the grantees began providing services to us. At the time of the restricted stock grant on December 2, 2022, our board of directors determined that the fair value of our common stock of $0.001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restricted stock grant on May 19, 2023, our board of directors determined that the fair value of our common stock of $0.01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restricted stock grant on September 7, 2023, our board of directors determined that the fair value of our common stock of $0.01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option grant to employees on December 6, 2023, our board of directors determined that the fair value of our common stock of $0.21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option grant to consultants on December 6, 2023, our board of directors determined that the fair value of our common stock of $0.21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option grant on January 13, 2024, our board of directors determined that the fair value of our common stock of $0.21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option grant on February 7, 2024, our board of directors determined that the fair value of our common stock of $0.52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option grant to employees on March 25, 2024, our board of directors determined that the fair value of our common stock of $1.12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option grant to consultants on March 25, 2024, our board of directors determined that the fair value of our common stock of $1.12 per share reasonably reflected the fair value of our common stock as of the grant date. However, as described below, the fair value of our common stock as of the date of this grant was adjusted in connection with a retrospective fair value assessment for accounting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our common stock of $0.34 per share from November 28, 2022 to February 14, 2023 was determined by us, based, in part, on the $0.34 per share value indicated in the retrospective third-party valuation prepared as of December 9, 2022. In particular, the retrospective valuation determined our equity value using an OPM back-solve approach that was primarily based on the $1.00 price per share paid by new and existing investors in the first closing of our Series A convertible preferred stock on December 9, 2022 less the value of the anticipated additional Series A tranche closings, which were treated as call options for the purposes of allocating value to the various equity. A discount for lack of marketability (DLOM) of the common stock was then applied to arrive at an indication of value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our common stock of $0.53 per share from March 1, 2023 to May 19, 2023 was determined by us, based, in part, on the $0.53 per share value indicated in the retrospective third-party valuation prepared as of February 17, 2023. In particular, the retrospective valuation determined our equity value using an OPM back-solve approach that was primarily based on the $1.00 price per share paid by new and existing investor in the second and third closing of our Series A convertible preferred stock on February 21, 2023. A DLOM of the common stock was then applied to arrive at an indication of value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our common stock of $0.62 per share on September 7, 2023 was determined by us, based, in part, on the $0.62 per share value indicated in the retrospective third-party valuation prepared as of August 7, 2023. In particular, the retrospective valuation determined our equity value using an OPM back-solve approach that was primarily based on the $1.67727 per share paid by new and existing investors in the first closings of our Series B convertible preferred stock in August 2023, less the value of the anticipated additional Series B tranche closings, which were treated as call options for the purposes of allocating value to the various equity. A DLOM of the common stock was then applied to arrive at an indication of value for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our common stock of $0.74 per share on December 6, 2023 was determined by us, based, in part, on the $0.74 per share value indicated in the retrospective third-party valuation prepared as of December 31, 2023. In particular, the retrospective valuation determined our enterprise value using the hybrid method, which included a PWERM, with an IPO scenario, and a sale scenario. Our enterprise value in the IPO scenario was based on guideline IPO transactions identified within the last one to three years, which was adjusted by a risk-adjusted discount rate. The IPO scenario also assumed an estimated timeline for the IPO to occur. Our enterprise value for the sale scenario was based on an OPM market-adjusted back-solve method based on the $1.67727 price per share paid by new and existing investors in the closing of our Series B convertible preferred stock in August 2023. The market adjustment applied to the equity value considered the performance of guideline public companies and the biotech indices since the most recent sale of our convertible preferred stock through the valuation date. A DLOM of the common stock was then applied to arrive at an indication of value for our common stock. In addition, we determined that the fair value of our common stock remained at $0.74 per share through January 13, 2024.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our common stock of $1.12 per share on February 7, 2024, was determined by us, in part, on the $1.12 per share value indicated in the retrospective third-party valuation prepared as of February 26, 2024. </w:t>
      </w:r>
    </w:p>
    <w:p>
      <w:pPr>
        <w:pStyle w:val="TextBody"/>
        <w:bidi w:val="0"/>
        <w:spacing w:before="240" w:after="0"/>
        <w:jc w:val="left"/>
        <w:rPr>
          <w:rFonts w:ascii="Times New Roman" w:hAnsi="Times New Roman"/>
          <w:sz w:val="20"/>
        </w:rPr>
      </w:pPr>
      <w:r>
        <w:rPr>
          <w:rFonts w:ascii="Times New Roman" w:hAnsi="Times New Roman"/>
          <w:sz w:val="20"/>
        </w:rPr>
        <w:t xml:space="preserve">The valuation as of February 26, 2024 determined our enterprise value using the hybrid method, which included a PWERM scenario-based approach, with an IPO scenario, and a continued operation scenario. Our enterprise value in the IPO scenario was based on guideline IPO transactions identified within the last one to three years, which was adjusted by a risk-adjusted discount rate. The probabilities assigned to each scenario reflected the progress we made towards an IPO event since December 31, 2023. Our enterprise value for the continued operation scenario reflected the market adjustment to our equity value since December 31, 2023, based on consideration given to the performance of guideline public companies and the biotech indices as well as our entity specific factors. A DLOM of the common stock was then applied to arrive at an indication of value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our common stock of $1.35 per share on March 25, 2024, was determined by us, in part, on the $1.35 per share value indicated in the retrospective third-party valuation prepared as of March 31, 2024. The valuation as of March 31, 2024 determined our enterprise value using the hybrid method, which included a PWERM scenario-based approach, with an IPO scenario, and a continued operation scenario. Our enterprise value in the IPO scenario was based on guideline IPO transactions identified within the last one to three years, which was adjusted by a risk-adjusted discount rate. The probabilities assigned to each scenario reflected the progress we made towards an IPO event since February 26, 2024. Our enterprise value for the continued operation scenario reflected the market adjustment to our equity value since February 26, 2024, based on consideration given to the performance of guideline public companies and the biotech indices as well as our entity specific factors. A DLOM of the common stock was then applied to arrive at an indication of value for our common stock. In addition, the board of directors determined that the fair value of our common stock remained at $1.35 per share through May 7, 2024, as the board of directors did not identify any significant events that would have had a material change on the fair value of our common stock between March 31, 2024 and May 7, 2024.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preparing for this offering, we applied the fair values of our common stock from our retrospective fair value assessments in December 2022, February 2023, August 2023, December 2023, February 2024 and March 2024 to determine the fair value of each of the November 2022, December 2022, January 2023, February 2023, March 2023, May 2023, September 2023, December 2023, January 2024, February 2024, and March 2024 awards as of the respective grant date and calculated stock-based compensation expense for accounting purposes based on applicable fair values. </w:t>
      </w:r>
    </w:p>
    <w:p>
      <w:pPr>
        <w:pStyle w:val="TextBody"/>
        <w:bidi w:val="0"/>
        <w:spacing w:before="240" w:after="0"/>
        <w:jc w:val="left"/>
        <w:rPr>
          <w:rFonts w:ascii="Times New Roman" w:hAnsi="Times New Roman"/>
          <w:sz w:val="20"/>
        </w:rPr>
      </w:pPr>
      <w:r>
        <w:rPr>
          <w:rFonts w:ascii="Times New Roman" w:hAnsi="Times New Roman"/>
          <w:sz w:val="20"/>
        </w:rPr>
        <w:t xml:space="preserve">We used different expected term to estimate the fair value of options granted to employees and nonemployees, resulting in a difference in the grant-date fair value of the options issued on December 6, 2023 and March 25,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Valuation of Preferred Stock Tranche Liability </w:t>
      </w:r>
    </w:p>
    <w:p>
      <w:pPr>
        <w:pStyle w:val="TextBody"/>
        <w:bidi w:val="0"/>
        <w:spacing w:before="120" w:after="0"/>
        <w:jc w:val="left"/>
        <w:rPr>
          <w:rFonts w:ascii="Times New Roman" w:hAnsi="Times New Roman"/>
          <w:sz w:val="20"/>
        </w:rPr>
      </w:pPr>
      <w:r>
        <w:rPr>
          <w:rFonts w:ascii="Times New Roman" w:hAnsi="Times New Roman"/>
          <w:sz w:val="20"/>
        </w:rPr>
        <w:t xml:space="preserve">Our Series A and Series B convertible preferred stock purchase agreements obligated the Series A and Series B investors to participate in a subsequent offering of Series A and Series B convertible preferred stock upon certain conditions being met, which we refer to as the preferred stock tranche rights. We determined that the preferred stock tranche rights were required to be recorded as liabilities because they are freestanding financial instruments that would require us to transfer assets upon exercises of the right. The preferred stock tranche rights met the definition of a freestanding financial instrument because they are legally detachable and separately exercisable from the Series A and Series B convertible preferred stock. The preferred stock tranche rights were classified as a liability and initially recorded at fair value upon the issuance date of the right. The liabilities are remeasured to fair value at each reporting date until settled, and changes in the fair value of the preferred stock tranche right liabilities are recognized as a component of other income (expense) in our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in conjunction with the amendment to the Series A convertible preferred stock purchase agreement, our existing Series A convertible preferred stockholders voted to waive the second and third tranche milestones and exercised their tranche right. As a result, an aggregate of 50,000,000 shares of Series A convertible preferred stock were issued and sold at a price of $1.00 per share, resulting in total cash proceeds of $50 million, less $61 thousand of issuance costs. As a result of this issuance, the Series A preferred stock tranche right liability, with a then fair value of $11.5 million immediately prior to the amendment and waiver, was settled in full and recognized 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In August 2023 and concurrent with the original issuance of the Series B convertible preferred stock, two stockholders exercised their right to early exercise the Series B preferred stock tranche right and purchased 10,731,725 shares. Consequently, we recognized $1.2 million in additional paid-in capital associated with the simultaneous original issuance and early exercise. Additionally, the investors paid a premium of $1.7 million for these shares over their fair value which was also recorded 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original issuance, one stockholder exercised its right to early exercise the Series B preferred stock tranche right and purchased 4,769,655 shares of Series B convertible preferred stock for cash proceeds of $8.0 million. The fair value of the associated tranche right liability that was settled at the time of the sale of $0.5 million was recognized in additional paid-in capital. Additionally, the investor paid a premium of $0.8 million for these shares over their fair value which was also recorded 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our Series B convertible preferred stockholders voted to waive the second tranche milestones and purchase the remaining Series B milestone tranche shares. Immediately prior to the waiver, we remeasured the Series B tranche right liability to be $11.6 million and recognized $7.4 million in other expense for the change in the fair value of the Series B tranche right liability during the period. As a result of the waiver, we remeasured the Series B tranche right liability to be $4.2 million and recognized the change in fair value of $7.4 million in additional paid-in capital as a capital contribution. In conjunction with the closing that occurred in March 2024, an aggregate of 38,157,240 shares of Series B convertible preferred stock were issued at a price of $1.67727 per share, resulting in total cash proceeds of $64.0 million, less $87 thousand of issuance costs. As a result of this issuance, the Series B preferred stock tranche right liability with a then fair value of $4.2 million was settled in full and recognized as part of the carrying value of the Series B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tranche right liabilities was determined based on significant inputs not observable in the market, which represented a Level 3 measurement within the fair value hierarchy. The fair value of the tranche right liabilities was determined using a Contingent Forward Analysis, which is a scenario-based lattice model that accounts for the different possible milestone scenarios and their associated probabilities, as estimated by us. The valuation model considered the probability of closing the tranche, the estimated future value of the convertible preferred stock to be issued at each closing and the investment required at each closing. Future values were converted to present value using a discount rate appropriate for probability-adjusted cash flows. The most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assumptions in the Contingent Forward Analysis impacting the fair value of the preferred stock tranche rights were the fair value of the Series A and Series B convertible preferred stock as of each remeasurement date, the estimated remaining term of the tranche right as of each remeasurement date, and the probabilities of success for each tranche milestone as of each measurement date. We determined the fair value per share of the underlying convertible preferred stock by taking into consideration the most recent sales of our convertible preferred stock as well as additional factors that we deemed relevant. We assessed these assumptions and estimates on a quarterly basis as additional information impacting the assumptions was obtained. The risk-free rate was determined by reference to the U.S. Treasury yield curve for time periods approximately equal to the remaining estimated time to each tranche closing.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fair value of each Series A convertible preferred stock was $0.74 per share. The risk-free interest rate is determined by reference to the U.S. Treasury yield curve for time periods approximately equal to the remaining estimated time period of achievement of the specified milestones underlying the preferred stock tranche right. As of December 31, 2022, an immediate 10 percent increase in the fair value of our Series A convertible preferred stock would have resulted in a $2.9 million increase, and in the case of a 10 percent decrease, a $2.9 million decrease to the fair value of the preferred stock tranche right liability.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fair value of each Series B convertible preferred stock was $1.68 per share. The risk-free interest rate is determined by reference to the U.S. Treasury yield curve for time periods approximately equal to the remaining estimated time period of achievement of the specified milestones underlying the preferred stock tranche right. As of December 31, 2023, an immediate 10 percent increase in the fair value of our Series B convertible preferred stock would have resulted in a $0.9 million increase, and in the case of a 10 percent decrease, a $0.9 million decrease to the fair value of the preferred stock tranche right liability. </w:t>
      </w:r>
    </w:p>
    <w:p>
      <w:pPr>
        <w:pStyle w:val="TextBody"/>
        <w:bidi w:val="0"/>
        <w:spacing w:before="240" w:after="0"/>
        <w:jc w:val="left"/>
        <w:rPr>
          <w:rFonts w:ascii="Times New Roman" w:hAnsi="Times New Roman"/>
          <w:sz w:val="20"/>
        </w:rPr>
      </w:pPr>
      <w:r>
        <w:rPr>
          <w:rFonts w:ascii="Times New Roman" w:hAnsi="Times New Roman"/>
          <w:sz w:val="20"/>
        </w:rPr>
        <w:t>The fair value of each share of Series B convertible preferred stock was estimated to be $1.79 per share on February 26, 2024 and March 19, 2024.</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we had $193.2 million in cash, cash equivalents and short-term investments, excluding our restricted cash, which consisted of cash, money market funds, and government securities. Our cash and cash equivalents are primarily maintained in accounts with multiple financial institutions in the United States. At times, we may maintain cash and cash equivalent balances in excess of Federal Deposit Insurance Corporation (FDIC)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Inflation generally affects us by increasing our cost of labor and research and development contract costs. We do not believe inflation has had a material effect on our results of operations during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Emerging Growth Company and Smaller Reporting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As a result of this election, our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A description of recently issued accounting pronouncements that may potentially impact our financial position and results of operations is disclosed in Note 2</w:t>
      </w:r>
      <w:r>
        <w:rPr>
          <w:rFonts w:ascii="Times New Roman" w:hAnsi="Times New Roman"/>
          <w:i/>
          <w:sz w:val="20"/>
        </w:rPr>
        <w:t>Summary of Significant Accounting Policies</w:t>
      </w:r>
      <w:r>
        <w:rPr>
          <w:rFonts w:ascii="Times New Roman" w:hAnsi="Times New Roman"/>
          <w:sz w:val="20"/>
        </w:rPr>
        <w:t xml:space="preserve"> to our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803738_9"/>
      <w:bookmarkEnd w:id="11"/>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becoming the leader in precision neuroscience through discovery and development of transformational small molecule medicines for patients suffering from central nervous system (CNS) disorders. Our foundational science has elucidated complexities of neuronal receptor biology and enables us to map and target certain neuronal receptor complexes. Neuronal receptors are complex assemblies of proteins, comprising receptor principal subunits and their receptor associated proteins (RAPs), the latter of which play crucial roles in regulating receptor expression and function. We believe that our deep expertise in RAP biology provides an opportunity for us to interrogate previously inaccessible targets and develop CNS drugs that are specific for receptor variants and neuroanatomical regions associated with certain diseases. Most neuroactive drugs lack this specificity, often resulting in undesired and intolerable side effects. Leveraging our expertise, we are developing a portfolio of precision product candidates that we believe has the potential to transform the standard of care of many CNS disorders. </w:t>
      </w:r>
    </w:p>
    <w:p>
      <w:pPr>
        <w:pStyle w:val="TextBody"/>
        <w:bidi w:val="0"/>
        <w:spacing w:before="240" w:after="0"/>
        <w:jc w:val="left"/>
        <w:rPr>
          <w:rFonts w:ascii="Times New Roman" w:hAnsi="Times New Roman"/>
          <w:sz w:val="20"/>
        </w:rPr>
      </w:pPr>
      <w:r>
        <w:rPr>
          <w:rFonts w:ascii="Times New Roman" w:hAnsi="Times New Roman"/>
          <w:sz w:val="20"/>
        </w:rPr>
        <w:t>Our founders have made pioneering discoveries related to RAP function and structure. Their findings form the basis of our RAP technology platform, which enables a differentiated approach to generate precision small molecule product candidates. RAP-219, our most advanced product candidate, is an AMPA receptor (AMPAR) negative allosteric modulator (NAM). RAP-219 is designed to achieve neuroanatomical specificity through its selective targeting of a RAP known as TARP</w:t>
      </w:r>
      <w:r>
        <w:rPr>
          <w:rFonts w:ascii="SYMBOL" w:hAnsi="SYMBOL"/>
          <w:sz w:val="20"/>
        </w:rPr>
        <w:t>g</w:t>
      </w:r>
      <w:r>
        <w:rPr>
          <w:rFonts w:ascii="Times New Roman" w:hAnsi="Times New Roman"/>
          <w:sz w:val="20"/>
        </w:rPr>
        <w:t>8, which is associated with the neuronal AMPAR, a clinically validated target for epilepsy. Whereas AMPARs are distributed widely in the CNS, TARP</w:t>
      </w:r>
      <w:r>
        <w:rPr>
          <w:rFonts w:ascii="SYMBOL" w:hAnsi="SYMBOL"/>
          <w:sz w:val="20"/>
        </w:rPr>
        <w:t>g</w:t>
      </w:r>
      <w:r>
        <w:rPr>
          <w:rFonts w:ascii="Times New Roman" w:hAnsi="Times New Roman"/>
          <w:sz w:val="20"/>
        </w:rPr>
        <w:t>8 is expressed only in discrete regions, including the hippocampus, a key site involved in focal epilepsy. We believe this provides RAP-219 with a high level of neuroanatomical specificity. We completed our Phase 1 trials in healthy adults to assess the safety and tolerability of RAP-219, and we intend to initiate a Phase 2a proof-of-concept trial in adult patients with drug-resistant focal epilepsy in the second or third quarter of (mid) 2024, with topline results expected in mid 2025. We believe RAP-219 also has therapeutic potential in peripheral neuropathic pain and bipolar disorder, and we intend to initiate Phase 2a trials in these indications in the second half of 2024 and in 2025, respectively. We have also identified another TARP</w:t>
      </w:r>
      <w:r>
        <w:rPr>
          <w:rFonts w:ascii="SYMBOL" w:hAnsi="SYMBOL"/>
          <w:sz w:val="20"/>
        </w:rPr>
        <w:t>g</w:t>
      </w:r>
      <w:r>
        <w:rPr>
          <w:rFonts w:ascii="Times New Roman" w:hAnsi="Times New Roman"/>
          <w:sz w:val="20"/>
        </w:rPr>
        <w:t xml:space="preserve">8 targeted molecule with differentiated chemical and pharmacokinetic properties, RAP-199, for which we expect to initiate a Phase 1 trial in the first half of 2025. </w:t>
      </w:r>
    </w:p>
    <w:p>
      <w:pPr>
        <w:pStyle w:val="TextBody"/>
        <w:bidi w:val="0"/>
        <w:spacing w:before="240" w:after="0"/>
        <w:jc w:val="left"/>
        <w:rPr>
          <w:rFonts w:ascii="Times New Roman" w:hAnsi="Times New Roman"/>
          <w:sz w:val="20"/>
        </w:rPr>
      </w:pPr>
      <w:r>
        <w:rPr>
          <w:rFonts w:ascii="Times New Roman" w:hAnsi="Times New Roman"/>
          <w:sz w:val="20"/>
        </w:rPr>
        <w:t>Beyond TARP</w:t>
      </w:r>
      <w:r>
        <w:rPr>
          <w:rFonts w:ascii="SYMBOL" w:hAnsi="SYMBOL"/>
          <w:sz w:val="20"/>
        </w:rPr>
        <w:t>g</w:t>
      </w:r>
      <w:r>
        <w:rPr>
          <w:rFonts w:ascii="Times New Roman" w:hAnsi="Times New Roman"/>
          <w:sz w:val="20"/>
        </w:rPr>
        <w:t xml:space="preserve">8, we have two advanced discovery-stage nicotinic acetylcholine receptor (nAChR) programs stemming from our RAP technology platform. Our first discovery-stage nAChR program comprises modulators of </w:t>
      </w:r>
      <w:r>
        <w:rPr>
          <w:rFonts w:ascii="SYMBOL" w:hAnsi="SYMBOL"/>
          <w:sz w:val="20"/>
        </w:rPr>
        <w:t>a</w:t>
      </w:r>
      <w:r>
        <w:rPr>
          <w:rFonts w:ascii="Times New Roman" w:hAnsi="Times New Roman"/>
          <w:sz w:val="20"/>
        </w:rPr>
        <w:t xml:space="preserve">6 nAChRs that we are developing for the treatment of chronic pain. Our second discovery-stage nAChR program comprises modulators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nAChRs that we are developing for the treatment of hearing disorders. Third-party genetic data suggest that these nAChR subtypes could be attractive drug targets for these diseases. We continue to leverage our RAP technology platform to discover additional product candidates that we believe have the potential to provide a transformative benefit for large patient populations in CNS diseases with significant unmet need.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120" w:after="0"/>
        <w:jc w:val="left"/>
        <w:rPr>
          <w:rFonts w:ascii="Times New Roman" w:hAnsi="Times New Roman"/>
          <w:sz w:val="20"/>
        </w:rPr>
      </w:pPr>
      <w:r>
        <w:rPr>
          <w:rFonts w:ascii="Times New Roman" w:hAnsi="Times New Roman"/>
          <w:sz w:val="20"/>
        </w:rPr>
        <w:t xml:space="preserve">Our current portfolio of programs from our RAP technology platform is summarized in the pipeline chart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520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 cy="2520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to RAP-219 </w:t>
      </w:r>
    </w:p>
    <w:p>
      <w:pPr>
        <w:pStyle w:val="TextBody"/>
        <w:bidi w:val="0"/>
        <w:spacing w:before="120" w:after="0"/>
        <w:jc w:val="left"/>
        <w:rPr>
          <w:rFonts w:ascii="Times New Roman" w:hAnsi="Times New Roman"/>
          <w:sz w:val="20"/>
        </w:rPr>
      </w:pPr>
      <w:r>
        <w:rPr>
          <w:rFonts w:ascii="Times New Roman" w:hAnsi="Times New Roman"/>
          <w:sz w:val="20"/>
        </w:rPr>
        <w:t>RAP-219 is an investigational small molecule that is designed to inhibit TARP</w:t>
      </w:r>
      <w:r>
        <w:rPr>
          <w:rFonts w:ascii="SYMBOL" w:hAnsi="SYMBOL"/>
          <w:sz w:val="20"/>
        </w:rPr>
        <w:t>g</w:t>
      </w:r>
      <w:r>
        <w:rPr>
          <w:rFonts w:ascii="Times New Roman" w:hAnsi="Times New Roman"/>
          <w:sz w:val="20"/>
        </w:rPr>
        <w:t xml:space="preserve">8-containing AMPARs with picomolar (pM) affinity, which implies tight binding. Given RAP-219s mechanism of action, neuroanatomical specificity and target potency observed to date in preclinical studies, we believe it has the potential to be a differentiated therapy for focal epilepsy and other CNS disorders, including peripheral neuropathic pain and bipolar disorder. </w:t>
      </w:r>
    </w:p>
    <w:p>
      <w:pPr>
        <w:pStyle w:val="TextBody"/>
        <w:bidi w:val="0"/>
        <w:spacing w:before="240" w:after="0"/>
        <w:jc w:val="left"/>
        <w:rPr>
          <w:rFonts w:ascii="Times New Roman" w:hAnsi="Times New Roman"/>
          <w:sz w:val="20"/>
        </w:rPr>
      </w:pPr>
      <w:r>
        <w:rPr>
          <w:rFonts w:ascii="Times New Roman" w:hAnsi="Times New Roman"/>
          <w:sz w:val="20"/>
        </w:rPr>
        <w:t xml:space="preserve">Epilepsy is estimated to affect 50 million people worldwide, including approximately 3.0 million adults in the United States. In 2022, the total branded market for epilepsy was approximately $2.8 billion, and this is expected to grow to approximately $3.6 billion by 2028. There are an estimated 1.8 million people in the United States who suffer from focal epilepsy, accounting for approximately 60 percent of patients with epilepsy. Focal epilepsy is characterized by seizures caused by intermittent abnormal electrical activity originating in specific areas of the brain. The hippocampus, located within the temporal lobe, is commonly associated with focal epilepsy, with approximately 50 percent of all seizures originating in or around this area. The cerebral cortex is another common site of focal onset seizure initiation, originating up to 50 percent of all seizures. However, the hippocampus often plays a role in these seizures as well, with the abnormal electrical brain activity that arises in the cerebral cortex often traveling to and being perpetuated by the hippocampus. </w:t>
      </w:r>
    </w:p>
    <w:p>
      <w:pPr>
        <w:pStyle w:val="TextBody"/>
        <w:bidi w:val="0"/>
        <w:spacing w:before="240" w:after="0"/>
        <w:jc w:val="left"/>
        <w:rPr>
          <w:rFonts w:ascii="Times New Roman" w:hAnsi="Times New Roman"/>
          <w:sz w:val="20"/>
        </w:rPr>
      </w:pPr>
      <w:r>
        <w:rPr>
          <w:rFonts w:ascii="Times New Roman" w:hAnsi="Times New Roman"/>
          <w:sz w:val="20"/>
        </w:rPr>
        <w:t xml:space="preserve">Epilepsy has profound negative impacts on a patients quality of life, including limitations on social engagement, physical activity and independence. Recent studies have also found that epilepsy can result in cognitive impairment. The treatment goal for all patients with epilepsy, including focal epilepsy, is complete freedom from seizures. Despite there being more than 20 antiseizure medications (ASMs) approved by the U.S. Food and Drug Administration (FDA), 30 to 40 percent of patients with epilepsy continue to experience recurring seizures despite taking two or more ASMs. This is termed drug-resistant epilepsy. In addition to providing sub-optimal efficacy, ASMs are commonly associated with risks of intolerable and debilitating adverse events (AEs). These side effects, such as cognitive impairment, sedation, ataxia and dizziness, are believed to result from drug actions in brain regions unrelated to epilepsy. These AEs often lead to dosing adjustments and patient nonadherence, both of which can limit efficacy. We believe tolerability, adherence and clinical benefit can be improved with RAP-219, an investigational therapy that is designed to precisely modulate only diseased brain regions.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with epilepsy commonly take ASM combinations, which is referred to as polypharmacy. Drug-drug interactions make polypharmacy complex and add a further challenge to managing persistent seizures in epilepsy. When a physician adds a drug to a patients regimen, they typically prioritize one with a differentiated mechanism of action, an approach referred to as rational polypharmacy. Therefore, there is a critical need for therapies with new mechanisms of action, fewer AEs and a mitigated risk of drug-drug interaction for the treatment of focal epilepsy. </w:t>
      </w:r>
    </w:p>
    <w:p>
      <w:pPr>
        <w:pStyle w:val="TextBody"/>
        <w:bidi w:val="0"/>
        <w:spacing w:before="240" w:after="0"/>
        <w:jc w:val="left"/>
        <w:rPr>
          <w:rFonts w:ascii="Times New Roman" w:hAnsi="Times New Roman"/>
          <w:sz w:val="20"/>
        </w:rPr>
      </w:pPr>
      <w:r>
        <w:rPr>
          <w:rFonts w:ascii="Times New Roman" w:hAnsi="Times New Roman"/>
          <w:sz w:val="20"/>
        </w:rPr>
        <w:t>AMPAR inhibition is a clinically validated approach for the treatment of epilepsy, with perampanel (marketed as FYCOMPA) approved by the FDA in 2012 for the treatment of both focal and generalized epilepsy. Whereas perampanel binds to AMPARs throughout the CNS and periphery, preclinical studies have shown that RAP-219 actions on AMPARs are restricted to those few specific regions where TARP</w:t>
      </w:r>
      <w:r>
        <w:rPr>
          <w:rFonts w:ascii="SYMBOL" w:hAnsi="SYMBOL"/>
          <w:sz w:val="20"/>
        </w:rPr>
        <w:t>g</w:t>
      </w:r>
      <w:r>
        <w:rPr>
          <w:rFonts w:ascii="Times New Roman" w:hAnsi="Times New Roman"/>
          <w:sz w:val="20"/>
        </w:rPr>
        <w:t xml:space="preserve">8 is expressed, most notably the hippocampus. This leads us to believe that the tolerability profile of RAP-219 could be significantly differentiated from that of perampanel and other currently available ASMs. </w:t>
      </w:r>
    </w:p>
    <w:p>
      <w:pPr>
        <w:pStyle w:val="TextBody"/>
        <w:bidi w:val="0"/>
        <w:spacing w:before="240" w:after="0"/>
        <w:jc w:val="left"/>
        <w:rPr>
          <w:rFonts w:ascii="Times New Roman" w:hAnsi="Times New Roman"/>
          <w:sz w:val="20"/>
        </w:rPr>
      </w:pPr>
      <w:r>
        <w:rPr>
          <w:rFonts w:ascii="Times New Roman" w:hAnsi="Times New Roman"/>
          <w:sz w:val="20"/>
        </w:rPr>
        <w:t>TARP</w:t>
      </w:r>
      <w:r>
        <w:rPr>
          <w:rFonts w:ascii="SYMBOL" w:hAnsi="SYMBOL"/>
          <w:sz w:val="20"/>
        </w:rPr>
        <w:t>g</w:t>
      </w:r>
      <w:r>
        <w:rPr>
          <w:rFonts w:ascii="Times New Roman" w:hAnsi="Times New Roman"/>
          <w:sz w:val="20"/>
        </w:rPr>
        <w:t>8 is expressed in specific brain regions, being most enriched in the hippocampus and other forebrain structures, which are key sites associated with focal onset seizures. As brain regions with TAPR</w:t>
      </w:r>
      <w:r>
        <w:rPr>
          <w:rFonts w:ascii="SYMBOL" w:hAnsi="SYMBOL"/>
          <w:sz w:val="20"/>
        </w:rPr>
        <w:t>g</w:t>
      </w:r>
      <w:r>
        <w:rPr>
          <w:rFonts w:ascii="Times New Roman" w:hAnsi="Times New Roman"/>
          <w:sz w:val="20"/>
        </w:rPr>
        <w:t>8 expression closely overlay with the brain sites most often involved with the pathophysiology of focal epilepsy, we believe that RAP-219, which has been shown in preclinical studies to bind to TARP</w:t>
      </w:r>
      <w:r>
        <w:rPr>
          <w:rFonts w:ascii="SYMBOL" w:hAnsi="SYMBOL"/>
          <w:sz w:val="20"/>
        </w:rPr>
        <w:t>g</w:t>
      </w:r>
      <w:r>
        <w:rPr>
          <w:rFonts w:ascii="Times New Roman" w:hAnsi="Times New Roman"/>
          <w:sz w:val="20"/>
        </w:rPr>
        <w:t>8, has potential to provide a differentiated profile. Furthermore, preclinical studies also demonstrated TARP</w:t>
      </w:r>
      <w:r>
        <w:rPr>
          <w:rFonts w:ascii="SYMBOL" w:hAnsi="SYMBOL"/>
          <w:sz w:val="20"/>
        </w:rPr>
        <w:t>g</w:t>
      </w:r>
      <w:r>
        <w:rPr>
          <w:rFonts w:ascii="Times New Roman" w:hAnsi="Times New Roman"/>
          <w:sz w:val="20"/>
        </w:rPr>
        <w:t xml:space="preserve">8 expression is enriched in the hippocampus, amygdala, cerebral cortex and striatum and has minimal or no expression in certain other areas that are critical for normal brain functions, including the cerebellum and brainstem. In contrast to the precision mechanism of RAP-219, the majority of ASMs, including perampanel, bind their target receptors throughout the brain, and we believe this lack of anatomical specificity may contribute to their side effect profiles. We believe that RAP-219, as compared to currently available ASMs, has the potential to have a greater therapeutic index, meaning a wider range of doses at which it is likely to be effective without causing unacceptable AEs. If RAP-219 is approved, this could have important clinical utility for the management of focal epilepsy. </w:t>
      </w:r>
    </w:p>
    <w:p>
      <w:pPr>
        <w:pStyle w:val="TextBody"/>
        <w:bidi w:val="0"/>
        <w:spacing w:before="240" w:after="0"/>
        <w:jc w:val="left"/>
        <w:rPr>
          <w:rFonts w:ascii="Times New Roman" w:hAnsi="Times New Roman"/>
          <w:sz w:val="20"/>
        </w:rPr>
      </w:pPr>
      <w:r>
        <w:rPr>
          <w:rFonts w:ascii="Times New Roman" w:hAnsi="Times New Roman"/>
          <w:sz w:val="20"/>
        </w:rPr>
        <w:t xml:space="preserve">We have completed two Phase 1 trials evaluating RAP-219 in healthy adult volunteers to assess its safety, tolerability and pharmacokinetics. We observed RAP-219 to be generally well tolerated in these trials. The plasma concentrations of RAP-219 measured during those trials suggested that once-daily oral administration with a simple dosing schedule could achieve our targeted therapeutic exposures (3 ng/mL to 7 ng/mL). For our Phase 2a proof-of-concept trial, we plan to enroll adult patients with drug-resistant focal epilepsy who have an implanted responsive neurostimulation (RNS) system, an FDA approved device for refractory focal onset epilepsy. The RNS system includes an electrode that continually monitors intracranial brain waves and detects the magnitude, duration and frequency of electrographic activity, which are recorded as intracranial electroencephalography (iEEG) data. We plan to use these iEEG data as the biomarker-based primary endpoint in our proof-of-concept trial. We believe these data could be translatable to a clinical seizure endpoint in future registrational trials. We intend to initiate this Phase 2a proof-of-concept trial in focal epilepsy in mid 2024, with topline results expected in mid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treating seizures, we believe RAP-219 has the potential to provide therapeutic benefit in additional CNS indications such as peripheral neuropathic pain and bipolar disorder. We intend to initiate proof-of-concept clinical trials of RAP-219 in peripheral neuropathic pain and bipolar disorder in the second half of 2024 and in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to Our Discovery-Stage Nicotinic Acetylcholine Receptor Programs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RAP-219, we have two discovery-stage programs stemming from our RAP technology platform. Our </w:t>
      </w:r>
      <w:r>
        <w:rPr>
          <w:rFonts w:ascii="SYMBOL" w:hAnsi="SYMBOL"/>
          <w:sz w:val="20"/>
        </w:rPr>
        <w:t>a</w:t>
      </w:r>
      <w:r>
        <w:rPr>
          <w:rFonts w:ascii="Times New Roman" w:hAnsi="Times New Roman"/>
          <w:sz w:val="20"/>
        </w:rPr>
        <w:t xml:space="preserve">6 nAChR and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programs were both enabled by our discovery of RAPs that drive the assembly of functional versions of these receptors in cell lines. Based on third-party genetic data, we believe each of these nAChR subtypes could be attractive drug targets. However, it was not until our identification of these RAPs that it became possible to create cell lines for </w:t>
      </w:r>
      <w:r>
        <w:rPr>
          <w:rFonts w:ascii="Times New Roman" w:hAnsi="Times New Roman"/>
          <w:i/>
          <w:sz w:val="20"/>
        </w:rPr>
        <w:t>in vitro</w:t>
      </w:r>
      <w:r>
        <w:rPr>
          <w:rFonts w:ascii="Times New Roman" w:hAnsi="Times New Roman"/>
          <w:sz w:val="20"/>
        </w:rPr>
        <w:t xml:space="preserve"> compound screening and optimization against these important targets.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pursuing agonists and positive allosteric modulators (PAMs) of the </w:t>
      </w:r>
      <w:r>
        <w:rPr>
          <w:rFonts w:ascii="SYMBOL" w:hAnsi="SYMBOL"/>
          <w:sz w:val="20"/>
        </w:rPr>
        <w:t>a</w:t>
      </w:r>
      <w:r>
        <w:rPr>
          <w:rFonts w:ascii="Times New Roman" w:hAnsi="Times New Roman"/>
          <w:sz w:val="20"/>
        </w:rPr>
        <w:t xml:space="preserve">6 nAChR for the treatment of chronic pain. Gain-of-function variants in the gene encoding the </w:t>
      </w:r>
      <w:r>
        <w:rPr>
          <w:rFonts w:ascii="SYMBOL" w:hAnsi="SYMBOL"/>
          <w:sz w:val="20"/>
        </w:rPr>
        <w:t>a</w:t>
      </w:r>
      <w:r>
        <w:rPr>
          <w:rFonts w:ascii="Times New Roman" w:hAnsi="Times New Roman"/>
          <w:sz w:val="20"/>
        </w:rPr>
        <w:t xml:space="preserve">6 subunit is responsible for attenuated pain levels. A previous third-party investigational pan-nAChR agonist demonstrated clinical activity in a randomized placebo controlled study in painful diabetic neuropathy but this experimental therapeutic was associated with intolerable side effects that led to the discontinuation of its development. We believe that these side effects were primarily due to the non-selective nature of that agonist. Through our ability to functionally express and pharmacologically screen for </w:t>
      </w:r>
      <w:r>
        <w:rPr>
          <w:rFonts w:ascii="SYMBOL" w:hAnsi="SYMBOL"/>
          <w:sz w:val="20"/>
        </w:rPr>
        <w:t>a</w:t>
      </w:r>
      <w:r>
        <w:rPr>
          <w:rFonts w:ascii="Times New Roman" w:hAnsi="Times New Roman"/>
          <w:sz w:val="20"/>
        </w:rPr>
        <w:t xml:space="preserve">6 nAChR modulators, we have identified small molecule agonists and PAMs that showed </w:t>
      </w:r>
      <w:r>
        <w:rPr>
          <w:rFonts w:ascii="SYMBOL" w:hAnsi="SYMBOL"/>
          <w:sz w:val="20"/>
        </w:rPr>
        <w:t>a</w:t>
      </w:r>
      <w:r>
        <w:rPr>
          <w:rFonts w:ascii="Times New Roman" w:hAnsi="Times New Roman"/>
          <w:sz w:val="20"/>
        </w:rPr>
        <w:t xml:space="preserve">6 nAChR selectivity as well as beneficial activity in a preclinical model of neuropathic pain. We are optimizing these molecules in anticipation of selecting candidates to advance into the clinic. </w:t>
      </w:r>
    </w:p>
    <w:p>
      <w:pPr>
        <w:pStyle w:val="TextBody"/>
        <w:bidi w:val="0"/>
        <w:spacing w:before="240" w:after="0"/>
        <w:jc w:val="left"/>
        <w:rPr>
          <w:rFonts w:ascii="Times New Roman" w:hAnsi="Times New Roman"/>
          <w:sz w:val="20"/>
        </w:rPr>
      </w:pPr>
      <w:r>
        <w:rPr>
          <w:rFonts w:ascii="Times New Roman" w:hAnsi="Times New Roman"/>
          <w:sz w:val="20"/>
        </w:rPr>
        <w:t xml:space="preserve">Our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program focuses on the discovery of small molecule modulators of this receptor as potential therapies for hearing disorders. Third-party studies observed a loss-of-function mutation of the gene for the </w:t>
      </w:r>
      <w:r>
        <w:rPr>
          <w:rFonts w:ascii="SYMBOL" w:hAnsi="SYMBOL"/>
          <w:sz w:val="20"/>
        </w:rPr>
        <w:t>a</w:t>
      </w:r>
      <w:r>
        <w:rPr>
          <w:rFonts w:ascii="Times New Roman" w:hAnsi="Times New Roman"/>
          <w:sz w:val="20"/>
        </w:rPr>
        <w:t xml:space="preserve">9 subunit in mice associated with increased sensitivity to noise-induced hearing loss. Conversely, we observed a gain-in-function mutation in </w:t>
      </w:r>
      <w:r>
        <w:rPr>
          <w:rFonts w:ascii="SYMBOL" w:hAnsi="SYMBOL"/>
          <w:sz w:val="20"/>
        </w:rPr>
        <w:t>a</w:t>
      </w:r>
      <w:r>
        <w:rPr>
          <w:rFonts w:ascii="Times New Roman" w:hAnsi="Times New Roman"/>
          <w:sz w:val="20"/>
        </w:rPr>
        <w:t xml:space="preserve">9 protected against hearing loss. We have identified small molecule modulators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and are now optimizing these molecules in anticipation of selecting candidates to advance into the clinic.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Companys History and Our Team </w:t>
      </w:r>
    </w:p>
    <w:p>
      <w:pPr>
        <w:pStyle w:val="TextBody"/>
        <w:bidi w:val="0"/>
        <w:spacing w:before="120" w:after="0"/>
        <w:jc w:val="left"/>
        <w:rPr>
          <w:rFonts w:ascii="Times New Roman" w:hAnsi="Times New Roman"/>
          <w:sz w:val="20"/>
        </w:rPr>
      </w:pPr>
      <w:r>
        <w:rPr>
          <w:rFonts w:ascii="Times New Roman" w:hAnsi="Times New Roman"/>
          <w:sz w:val="20"/>
        </w:rPr>
        <w:t xml:space="preserve">Rapport was formed in February 2022, with founding support from Third Rock Ventures and Johnson &amp; Johnson Innovation-JJDC, to advance the discovery and development of RAP-targeted precision neuromedicines. Our scientific founder and Chief Scientific Officer, David Bredt, M.D., Ph.D., pioneered the discovery of RAPs and their targeting by small molecules while serving as Global Head of Neuroscience Discovery at Janssen Pharmaceutica NV (Janssen) and prior to that as Vice President of Neuroscience at Eli Lilly and Company and as a Professor of Physiology at the University of California, San Francisco. Dr. Bredt was subsequently joined at Rapport by additional scientists who previously worked on the RAP platform at Janssen. </w:t>
      </w:r>
    </w:p>
    <w:p>
      <w:pPr>
        <w:pStyle w:val="TextBody"/>
        <w:bidi w:val="0"/>
        <w:spacing w:before="240" w:after="0"/>
        <w:jc w:val="left"/>
        <w:rPr>
          <w:rFonts w:ascii="Times New Roman" w:hAnsi="Times New Roman"/>
          <w:sz w:val="20"/>
        </w:rPr>
      </w:pPr>
      <w:r>
        <w:rPr>
          <w:rFonts w:ascii="Times New Roman" w:hAnsi="Times New Roman"/>
          <w:sz w:val="20"/>
        </w:rPr>
        <w:t>In August 2022, we entered into a license agreement with Janssen (the Janssen License) for the research, development and commercialization of certain TARP</w:t>
      </w:r>
      <w:r>
        <w:rPr>
          <w:rFonts w:ascii="SYMBOL" w:hAnsi="SYMBOL"/>
          <w:sz w:val="20"/>
        </w:rPr>
        <w:t>g</w:t>
      </w:r>
      <w:r>
        <w:rPr>
          <w:rFonts w:ascii="Times New Roman" w:hAnsi="Times New Roman"/>
          <w:sz w:val="20"/>
        </w:rPr>
        <w:t>8 products, including RAP-219 and RAP-199, and nAChR products created by Dr. Bredt and his colleagues at Janssen. We are furthering development of these assets and extending discovery efforts into novel areas. Under the terms of the Janssen License, certain TARP</w:t>
      </w:r>
      <w:r>
        <w:rPr>
          <w:rFonts w:ascii="SYMBOL" w:hAnsi="SYMBOL"/>
          <w:sz w:val="20"/>
        </w:rPr>
        <w:t>g</w:t>
      </w:r>
      <w:r>
        <w:rPr>
          <w:rFonts w:ascii="Times New Roman" w:hAnsi="Times New Roman"/>
          <w:sz w:val="20"/>
        </w:rPr>
        <w:t xml:space="preserve">8 and nAChR patents, materials and know-how were transferred to us. All discovery and development efforts related to our pipeline programs are herein referred to as ours, although some of these preclinical efforts were completed at Janssen prior to the Janssen License. In many cases, these efforts were made by certain of the same personnel who have since joined Rapport.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Dr. Bredt, we have a seasoned leadership team with deep expertise in building novel therapeutic platforms, bringing therapeutics to market and supporting the growth of public biopharmaceutical companies. Abraham N. Ceesay, M.B.A., our Chief Executive Officer and a member of our board of directors, has extensive biopharmaceutical leadership experience, most recently as President of Cerevel Therapeutics Holdings, Inc. and prior to that as Chief Executive Officer of Tiburio Therapeutics, Inc. Bradley S. Galer, M.D., our Chief Medical Officer, has over twenty years of experience leading and building global drug development and medical affairs teams in epilepsy and pain, including as Executive Vice President and Chief Medical Officer at Zogenix, Inc. Dr. Galer was involved in the clinical development of fenfluramine (Fintepla), lidocaine patch (Lidoderm), gabapentin (Neurontin) and pregabalin (Lyrica) and previously acted as an academic key opinion leader in neuropathic pain. Troy Ignelzi, our Chief Financial Officer, has served in a similar role for several biopharmaceutical companies, most recently as Chief Financial Officer at Karuna Therapeutics, Inc. (Karuna). Cheryl Gault, our Chief Operating Officer, has over twenty years of biopharmaceutical experience, most recently serving as Chief Operating Officer at Cyclerion Therapeutics, Inc. Swamy Yeleswaram, Ph.D., our Chief Development Officer was a founding scientist at Incyte Corporation, most recently serving as Group Vice President of Drug Metabolism, Pharmacokinetics and Clinical Pharmacology. Kathy Wilkinson, our Chief People Officer, has previously served in similar roles at public companies, including 2seventy bio, Inc. and bluebird bio, Inc. Karina Chmielewski, our Chief Information Officer, previously served as Vice President, Platform Operations at Third Rock Ventures.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is composed of accomplished leaders in the life sciences industry, including board chair Steven M. Paul, M.D., former President and Chief Executive Officer of Karuna, Terry-Ann Burrell, M.B.A., Chief Financial Officer of Beam Therapeutics, Inc., James I. Healy, M.D., Ph.D., Managing Partner of Sofinnova Investments, Inc., Reid Huber, Ph.D., Partner of Third Rock Ventures, Raymond Kelleher, M.D., Ph.D., Managing Director at Cormorant Asset Management LLC, John Maraganore, Ph.D., former founding Chief Executive Officer of Alnylam Pharmaceuticals, Inc. and Venture Partner at both ARCH Venture Partners and Atlas Ventures, Jeffery K. Tong, Ph.D., Partner of Third Rock Ventures, and Mr. Ceesay, our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We have also assembled a scientific advisory board, composed of leading experts, who have made significant contributions in the fields of neuroscience, pain and pharmaceutical chemistry. Our scientific advisory board includes co-chairs David Julius, Ph.D., Chair of Physiology at the University of California San Francisco and 2021 Nobel Prize laureate in physiology or medicine, and Sir David MacMillan, Ph.D., Professor of Chemistry at Princeton University and 2021 Nobel Prize laureate in chemistry, as well as members Allan Basbaum, Ph.D., FRS, Chair of Anatomy at the University of California San Francisco, David Clapham, M.D., Ph.D., Professor of Cardiovascular Research and Professor Emeritus of Neurobiology at Harvard Medical School, Jeffrey L. Noebels, M.D., Ph.D., Chair in Neurogenetics and Professor of Neurology, Neuroscience and Molecular and Human Genetics at Baylor College of Medicine, and Wendy Young, Ph.D., an advisor at Google Ventures who previously served as senior vice president, small molecule drug discovery at Genentech, Inc. where she actively built and led the research and discovery organization.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raised approximately $250 million in equity capital from our syndicate of premier life sciences investors. Potential investors should not consider investments made by our existing investors as a factor when making a decision to purchase shares in this offering since our existing investors likely have different risk tolerances and paid significantly less per share than the price at which the shares are being offered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Leveraging our RAP technology platform, we strive to become a leader in precision neuroscience through the discovery and development of transformational small molecule medicines for patients suffering from CNS disorders. As key elements of our strategy, we intend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 RAP-219 clinical development for the treatment of focal epilepsy. </w:t>
            </w:r>
            <w:r>
              <w:rPr>
                <w:rFonts w:ascii="Times New Roman" w:hAnsi="Times New Roman"/>
                <w:sz w:val="20"/>
              </w:rPr>
              <w:t>RAP-219 is designed as a highly potent and selective NAM of TARP</w:t>
            </w:r>
            <w:r>
              <w:rPr>
                <w:rFonts w:ascii="SYMBOL" w:hAnsi="SYMBOL"/>
                <w:sz w:val="20"/>
              </w:rPr>
              <w:t>g</w:t>
            </w:r>
            <w:r>
              <w:rPr>
                <w:rFonts w:ascii="Times New Roman" w:hAnsi="Times New Roman"/>
                <w:sz w:val="20"/>
              </w:rPr>
              <w:t xml:space="preserve">8-AMPAR which has demonstrated antiseizure activity in preclinical epilepsy models without evidence of motoric impairment or sedation characteristic of many approved ASMs. We conducted two Phase 1 trials where RAP-219 was observed to be well tolerated in healthy adults with once-daily dosing. We anticipate initiating a Phase 2a proof-of-concept trial of RAP-219 in mid 2024 in adult patients with drug-resistant focal epilepsy.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Expand the potential of RAP-219 in additional neurological indications</w:t>
            </w:r>
            <w:r>
              <w:rPr>
                <w:rFonts w:ascii="Times New Roman" w:hAnsi="Times New Roman"/>
                <w:sz w:val="20"/>
              </w:rPr>
              <w:t xml:space="preserve">. We believe that RAP-219s ability to precisely modulate the activity of AMPAR within specific CNS regions, as demonstrated in preclinical studies, provides the potential for clinical applications in neurological indications beyond focal epilepsy. We intend to initiate a proof-of-concept clinical trial in peripheral neuropathic pain in the second half of 2024 and in bipolar disorder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Extend the life cycle of RAP-219 and expand the TARP</w:t>
            </w:r>
            <w:r>
              <w:rPr>
                <w:rFonts w:ascii="SYMBOL" w:hAnsi="SYMBOL"/>
                <w:sz w:val="20"/>
              </w:rPr>
              <w:t>g</w:t>
            </w:r>
            <w:r>
              <w:rPr>
                <w:rFonts w:ascii="Times New Roman" w:hAnsi="Times New Roman"/>
                <w:b/>
                <w:sz w:val="20"/>
              </w:rPr>
              <w:t xml:space="preserve">8 franchise. </w:t>
            </w:r>
            <w:r>
              <w:rPr>
                <w:rFonts w:ascii="Times New Roman" w:hAnsi="Times New Roman"/>
                <w:sz w:val="20"/>
              </w:rPr>
              <w:t>We are exploring a long-acting injectable formulation of RAP-219, which we believe will expand the potential clinical utility across all RAP-219s indications and potentially extend the molecules lifecycle. We have also nominated another TARP</w:t>
            </w:r>
            <w:r>
              <w:rPr>
                <w:rFonts w:ascii="SYMBOL" w:hAnsi="SYMBOL"/>
                <w:sz w:val="20"/>
              </w:rPr>
              <w:t>g</w:t>
            </w:r>
            <w:r>
              <w:rPr>
                <w:rFonts w:ascii="Times New Roman" w:hAnsi="Times New Roman"/>
                <w:sz w:val="20"/>
              </w:rPr>
              <w:t xml:space="preserve">8 targeting molecule, RAP-199, as a development candidate. This molecule has demonstrated differentiated chemical and pharmacokinetic properties in preclinical studies and may be suitable for additional indications beyond those being pursued with RAP-219, which we intend to evaluate in a Phase 1 trial to be initiated in the first half of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development of our RAP-enabled nAChR programs.</w:t>
            </w:r>
            <w:r>
              <w:rPr>
                <w:rFonts w:ascii="Times New Roman" w:hAnsi="Times New Roman"/>
                <w:sz w:val="20"/>
              </w:rPr>
              <w:t xml:space="preserve"> Our RAP platform has enabled identification of small molecules specific for nAChR drug targets we find compelling. We believe that our </w:t>
            </w:r>
            <w:r>
              <w:rPr>
                <w:rFonts w:ascii="SYMBOL" w:hAnsi="SYMBOL"/>
                <w:sz w:val="20"/>
              </w:rPr>
              <w:t>a</w:t>
            </w:r>
            <w:r>
              <w:rPr>
                <w:rFonts w:ascii="Times New Roman" w:hAnsi="Times New Roman"/>
                <w:sz w:val="20"/>
              </w:rPr>
              <w:t xml:space="preserve">6 nAChR program may deliver clinical benefits in chronic pain while avoiding the AEs associated with non-selective nAChR agonists. We believe that compounds specific to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receptor could provide therapeutic benefit in hearing disorders and are optimizing molecules for both programs, in anticipation of selecting lead candidates to advance into the clinic.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Fortify our leadership position in RAP-enabled drug discovery to expand our pipeline of transformative precision neuroscience therapies for patients.</w:t>
            </w:r>
            <w:r>
              <w:rPr>
                <w:rFonts w:ascii="Times New Roman" w:hAnsi="Times New Roman"/>
                <w:sz w:val="20"/>
              </w:rPr>
              <w:t xml:space="preserve"> We believe the science underpinning our RAP technology platform can serve as the foundation for a broad portfolio of precision neuroscience product candidates that have the potential to transform the current treatment armamentarium for many CNS disorders. We are committed to leveraging our expertise in RAP biology to develop a portfolio of small molecule therapies to deliver potentially more effective, better tolerated and safer treatments to large and underserved CNS patient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Pursue strategic partnerships opportunistically</w:t>
            </w:r>
            <w:r>
              <w:rPr>
                <w:rFonts w:ascii="Times New Roman" w:hAnsi="Times New Roman"/>
                <w:sz w:val="20"/>
              </w:rPr>
              <w:t xml:space="preserve">. We currently have exclusive global rights to use our technology platform and commercialize our product candidates. If we believe that partnerships can accelerate the development or maximize the market potential of our product candidates, we will consider entering into product, target and/or geographic specific strategic partnerships on an opportunistic basis.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RAP Technology Platform </w:t>
      </w:r>
    </w:p>
    <w:p>
      <w:pPr>
        <w:pStyle w:val="TextBody"/>
        <w:bidi w:val="0"/>
        <w:spacing w:before="120" w:after="0"/>
        <w:jc w:val="left"/>
        <w:rPr>
          <w:rFonts w:ascii="Times New Roman" w:hAnsi="Times New Roman"/>
          <w:sz w:val="20"/>
        </w:rPr>
      </w:pPr>
      <w:r>
        <w:rPr>
          <w:rFonts w:ascii="Times New Roman" w:hAnsi="Times New Roman"/>
          <w:sz w:val="20"/>
        </w:rPr>
        <w:t xml:space="preserve">Our founders are pioneers of RAP biology who have made key discoveries related to RAP function. Their findings form the basis of our RAP technology platform, which can potentially provide a differentiated approach to generate precision small molecule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Due to the complexities of studying drugs directly in the brain, the standard approach to discovery and optimization of neurology drugs is through </w:t>
      </w:r>
      <w:r>
        <w:rPr>
          <w:rFonts w:ascii="Times New Roman" w:hAnsi="Times New Roman"/>
          <w:i/>
          <w:sz w:val="20"/>
        </w:rPr>
        <w:t>in vitro</w:t>
      </w:r>
      <w:r>
        <w:rPr>
          <w:rFonts w:ascii="Times New Roman" w:hAnsi="Times New Roman"/>
          <w:sz w:val="20"/>
        </w:rPr>
        <w:t xml:space="preserve"> cellular assays involving recombinant receptors. This approach often fails to amplify the function of relevant targets in their natural contexts and has resulted in the approval of neurology drugs that are not designed to be selective for specific forms of their targets, which can contribute to unwanted toxicities and limit therapeutic indexes.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leveraging RAPs can overcome many limitations of conventional neurology drug discovery. RAPs have defining characteristics that we believe make them ideal tools in the development of precision neuromedicines. First, because RAPs play critical roles in modulating receptor assembly and function, understanding RAP biology provides powerful insights into neuronal signaling. Second, because RAPs can be differentially expressed in specific brain regions, we believe they can serve as drug targets with neuroanatomical specificity. </w:t>
      </w:r>
    </w:p>
    <w:p>
      <w:pPr>
        <w:pStyle w:val="TextBody"/>
        <w:bidi w:val="0"/>
        <w:spacing w:before="240" w:after="0"/>
        <w:jc w:val="left"/>
        <w:rPr>
          <w:rFonts w:ascii="Times New Roman" w:hAnsi="Times New Roman"/>
          <w:sz w:val="20"/>
        </w:rPr>
      </w:pPr>
      <w:r>
        <w:rPr>
          <w:rFonts w:ascii="Times New Roman" w:hAnsi="Times New Roman"/>
          <w:sz w:val="20"/>
        </w:rPr>
        <w:t>Using two distinct strategies, we are leveraging our expertise in RAP biology to develop a portfolio of precision neuroscience product candidates that we believe will transform the treatment of many CNS disorders. One strategy uses a RAP as a direct target, which can be more precise than drugging a receptor itself. RAP-219 exemplifies this, as it has been shown in preclinical studies to bind to an AMPA RAP, TARP</w:t>
      </w:r>
      <w:r>
        <w:rPr>
          <w:rFonts w:ascii="SYMBOL" w:hAnsi="SYMBOL"/>
          <w:sz w:val="20"/>
        </w:rPr>
        <w:t>g</w:t>
      </w:r>
      <w:r>
        <w:rPr>
          <w:rFonts w:ascii="Times New Roman" w:hAnsi="Times New Roman"/>
          <w:sz w:val="20"/>
        </w:rPr>
        <w:t xml:space="preserve">8, which is enriched in brain regions that initiate or perpetuate seizures in focal epilepsy. </w:t>
      </w:r>
    </w:p>
    <w:p>
      <w:pPr>
        <w:pStyle w:val="TextBody"/>
        <w:bidi w:val="0"/>
        <w:spacing w:before="240" w:after="0"/>
        <w:jc w:val="left"/>
        <w:rPr>
          <w:rFonts w:ascii="Times New Roman" w:hAnsi="Times New Roman"/>
          <w:sz w:val="20"/>
        </w:rPr>
      </w:pPr>
      <w:r>
        <w:rPr>
          <w:rFonts w:ascii="Times New Roman" w:hAnsi="Times New Roman"/>
          <w:sz w:val="20"/>
        </w:rPr>
        <w:t xml:space="preserve">A second strategy uses RAPs to unlock receptors for potentially first-in-class drug discovery programs. Many receptors cannot function without their RAPs, and such receptors have therefore been inaccessible to study </w:t>
      </w:r>
      <w:r>
        <w:rPr>
          <w:rFonts w:ascii="Times New Roman" w:hAnsi="Times New Roman"/>
          <w:i/>
          <w:sz w:val="20"/>
        </w:rPr>
        <w:t>in vitro</w:t>
      </w:r>
      <w:r>
        <w:rPr>
          <w:rFonts w:ascii="Times New Roman" w:hAnsi="Times New Roman"/>
          <w:sz w:val="20"/>
        </w:rPr>
        <w:t xml:space="preserve">. Our discovery platform integrates cutting-edge genetics with functional proteomics to discover RAPs that are regionally localized and involved in disease-related signaling. We have designed our platform to prosecute a wide range of validated therapeutic targets. This second strategy enabled our discovery stage nAChR programs, which focus on </w:t>
      </w:r>
      <w:r>
        <w:rPr>
          <w:rFonts w:ascii="SYMBOL" w:hAnsi="SYMBOL"/>
          <w:sz w:val="20"/>
        </w:rPr>
        <w:t>a</w:t>
      </w:r>
      <w:r>
        <w:rPr>
          <w:rFonts w:ascii="Times New Roman" w:hAnsi="Times New Roman"/>
          <w:sz w:val="20"/>
        </w:rPr>
        <w:t xml:space="preserve">6 and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RAP-219, Our TARP</w:t>
      </w:r>
      <w:r>
        <w:rPr>
          <w:rFonts w:ascii="SYMBOL" w:hAnsi="SYMBOL"/>
          <w:sz w:val="20"/>
        </w:rPr>
        <w:t>g</w:t>
      </w:r>
      <w:r>
        <w:rPr>
          <w:rFonts w:ascii="Times New Roman" w:hAnsi="Times New Roman"/>
          <w:b/>
          <w:sz w:val="20"/>
        </w:rPr>
        <w:t xml:space="preserve">8 Specific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The ionotropic receptors for glutamate (iGluR) are ligand gated ion channels activated by the neurotransmitter glutamate. These receptors mediate the majority of excitatory synaptic transmission throughout the CNS. iGluRs comprise four subtypes based on their ligand binding properties: AMPARs, kainate receptors, N-methyl-D-aspartate (NMDA) receptors and delta receptors. There are many FDA approved drugs that block the glutamate signaling pathway, which are approved for indications such as epilepsy, schizophrenia, Alzheimers disease and Parkinsons disease. However, these drugs are associated with numerous side effects, such as sedation, ataxia, cognitive impairment and neuropsychiatric symptoms. These undesired effects can be exacerbated by broad interactions of these drugs with glutamate receptors throughout the brain. </w:t>
      </w:r>
    </w:p>
    <w:p>
      <w:pPr>
        <w:pStyle w:val="TextBody"/>
        <w:bidi w:val="0"/>
        <w:spacing w:before="240" w:after="0"/>
        <w:jc w:val="left"/>
        <w:rPr>
          <w:rFonts w:ascii="Times New Roman" w:hAnsi="Times New Roman"/>
          <w:sz w:val="20"/>
        </w:rPr>
      </w:pPr>
      <w:r>
        <w:rPr>
          <w:rFonts w:ascii="Times New Roman" w:hAnsi="Times New Roman"/>
          <w:sz w:val="20"/>
        </w:rPr>
        <w:t>AMPARs are cation, or positively charged ion, channels that permit influx of sodium ions (Na+) to depolarize postsynaptic membranes. Our lead asset, RAP-219, is an investigational small molecule that is designed to potently and specifically inhibit activity of TARP</w:t>
      </w:r>
      <w:r>
        <w:rPr>
          <w:rFonts w:ascii="SYMBOL" w:hAnsi="SYMBOL"/>
          <w:sz w:val="20"/>
        </w:rPr>
        <w:t>g</w:t>
      </w:r>
      <w:r>
        <w:rPr>
          <w:rFonts w:ascii="Times New Roman" w:hAnsi="Times New Roman"/>
          <w:sz w:val="20"/>
        </w:rPr>
        <w:t>8-containing AMPARs. Because TARP</w:t>
      </w:r>
      <w:r>
        <w:rPr>
          <w:rFonts w:ascii="SYMBOL" w:hAnsi="SYMBOL"/>
          <w:sz w:val="20"/>
        </w:rPr>
        <w:t>g</w:t>
      </w:r>
      <w:r>
        <w:rPr>
          <w:rFonts w:ascii="Times New Roman" w:hAnsi="Times New Roman"/>
          <w:sz w:val="20"/>
        </w:rPr>
        <w:t xml:space="preserve">8 expression is restricted to specific brain regions such as the hippocampus, which is often involved in focal epilepsies, we believe RAP-219 has the potential to provide a differentiated clinical profile, including improved activity and tolerability along with a higher therapeutic index, potentially providing more patients with sustained therapeutic benefit without intolerable side effects, as compared to traditional ASMs. </w:t>
      </w:r>
    </w:p>
    <w:p>
      <w:pPr>
        <w:pStyle w:val="TextBody"/>
        <w:bidi w:val="0"/>
        <w:spacing w:before="240" w:after="0"/>
        <w:jc w:val="left"/>
        <w:rPr>
          <w:rFonts w:ascii="Times New Roman" w:hAnsi="Times New Roman"/>
          <w:sz w:val="20"/>
        </w:rPr>
      </w:pPr>
      <w:r>
        <w:rPr>
          <w:rFonts w:ascii="Times New Roman" w:hAnsi="Times New Roman"/>
          <w:sz w:val="20"/>
        </w:rPr>
        <w:t xml:space="preserve">In preclinical epilepsy models, RAP-219 significantly reduced seizures without inducing sedation or motoric impairment, which are side effects that plague most existing ASMs. In addition, we believe that RAP-219 has the potential to provide therapeutic benefit in other indications, such as peripheral neuropathic pain and bipolar disorder, and we are actively exploring these opportunities. The initial formulation of RAP-219 is planned to be a once-per-day oral tablet. We are also developing a long-acting injectable formulation for once every month or less frequent dosing, which we believe will result in better compliance and patient outcomes. We have conducted two Phase 1 trials in healthy adults to assess RAP-219s safety and pharmacokinetic profile, and we expect to initiate a Phase 2a proof-of-concept trial in mid 2024 in adult patients with drug-resistant focal epilepsy, with topline results expected in mid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to Focal Epilepsy </w:t>
      </w:r>
    </w:p>
    <w:p>
      <w:pPr>
        <w:pStyle w:val="TextBody"/>
        <w:bidi w:val="0"/>
        <w:spacing w:before="120" w:after="0"/>
        <w:jc w:val="left"/>
        <w:rPr>
          <w:rFonts w:ascii="Times New Roman" w:hAnsi="Times New Roman"/>
          <w:sz w:val="20"/>
        </w:rPr>
      </w:pPr>
      <w:r>
        <w:rPr>
          <w:rFonts w:ascii="Times New Roman" w:hAnsi="Times New Roman"/>
          <w:sz w:val="20"/>
        </w:rPr>
        <w:t xml:space="preserve">Epilepsy is a chronic neurological disorder characterized by spontaneous recurrence of sudden abnormal bursts of brain electrical activity that disrupt brain function and cause seizures. Epilepsy is estimated to affect 50 million people worldwide including 3.0 million adults in the United States. Epilepsy is the third most common neurological disorder, with almost 10 percent of people experiencing a seizure during their lives. The annual direct costs, including outpatient, inpatient, emergency care and treatment costs, of epilepsy in the United States are estimated to be $28 billion. </w:t>
      </w:r>
    </w:p>
    <w:p>
      <w:pPr>
        <w:pStyle w:val="TextBody"/>
        <w:bidi w:val="0"/>
        <w:spacing w:before="240" w:after="0"/>
        <w:jc w:val="left"/>
        <w:rPr>
          <w:rFonts w:ascii="Times New Roman" w:hAnsi="Times New Roman"/>
          <w:sz w:val="20"/>
        </w:rPr>
      </w:pPr>
      <w:r>
        <w:rPr>
          <w:rFonts w:ascii="Times New Roman" w:hAnsi="Times New Roman"/>
          <w:sz w:val="20"/>
        </w:rPr>
        <w:t xml:space="preserve">Epilepsy can be divided into subgroups defined by the types of seizures that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Generalized epilepsy is characterized by seizures affecting broad areas of the brain. The most severe type is known as tonic-clonic seizures, which involve sudden loss of consciousness, body stiffening, twitching and shaking. In other cases, these patients can experience subsets of these symptoms. Generalized seizures account for 40 percent of all epilepsies.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Focal epilepsy is characterized by seizures affecting more restricted areas of the brain. Focal epilepsy, which sometimes results in loss of consciousness or awareness, can lead to changes in the way things look, smell, feel, taste or sound. These seizures may be accompanied by involuntary jerking of a body part or by repetitive movements such as hand rubbing, chewing, or swallowing. Focal epilepsies account for 60 percent of all epilepsies. Figure 1 below illustrates the prevalence of focal epilepsy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493395" cy="2139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93395" cy="2139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 The prevalence of focal epilepsy in the United States is estimated to be 1.8 million patients. </w:t>
      </w:r>
    </w:p>
    <w:p>
      <w:pPr>
        <w:pStyle w:val="TextBody"/>
        <w:bidi w:val="0"/>
        <w:spacing w:before="240" w:after="0"/>
        <w:jc w:val="left"/>
        <w:rPr>
          <w:rFonts w:ascii="Times New Roman" w:hAnsi="Times New Roman"/>
          <w:sz w:val="20"/>
        </w:rPr>
      </w:pPr>
      <w:r>
        <w:rPr>
          <w:rFonts w:ascii="Times New Roman" w:hAnsi="Times New Roman"/>
          <w:sz w:val="20"/>
        </w:rPr>
        <w:t xml:space="preserve">The unpredictable nature of epilepsy has a profound negative impact on patient quality of life. Patients often limit their social engagement and physical activity for fear of seizures. Epilepsy also limits patients ability to function independently. For instance, in some U.S. states, individuals with epilepsy are required to have a record of being seizure-free for 3 to 12 months in order to drive. Epilepsy is often associated with depression, anxiety and psychosis and doubles the incidence of mental health disorders. Furthermore, epilepsy also presents serious mortality risk with approximately one percent of patients suffering sudden unexpected death in epilepsy (SUDEP). Having uncontrolled seizures increases the risk of SUDEP. Both treatment and indirect costs for individuals with uncontrolled epilepsy are significantly higher than for those with stable epilepsy. </w:t>
      </w:r>
    </w:p>
    <w:p>
      <w:pPr>
        <w:pStyle w:val="TextBody"/>
        <w:bidi w:val="0"/>
        <w:spacing w:before="360" w:after="0"/>
        <w:jc w:val="left"/>
        <w:rPr>
          <w:rFonts w:ascii="Times New Roman" w:hAnsi="Times New Roman"/>
          <w:i/>
          <w:sz w:val="20"/>
        </w:rPr>
      </w:pPr>
      <w:r>
        <w:rPr>
          <w:rFonts w:ascii="Times New Roman" w:hAnsi="Times New Roman"/>
          <w:i/>
          <w:sz w:val="20"/>
        </w:rPr>
        <w:t xml:space="preserve">Current Standard of Care and Limitations </w:t>
      </w:r>
    </w:p>
    <w:p>
      <w:pPr>
        <w:pStyle w:val="TextBody"/>
        <w:bidi w:val="0"/>
        <w:spacing w:before="120" w:after="0"/>
        <w:jc w:val="left"/>
        <w:rPr>
          <w:rFonts w:ascii="Times New Roman" w:hAnsi="Times New Roman"/>
          <w:sz w:val="20"/>
        </w:rPr>
      </w:pPr>
      <w:r>
        <w:rPr>
          <w:rFonts w:ascii="Times New Roman" w:hAnsi="Times New Roman"/>
          <w:sz w:val="20"/>
        </w:rPr>
        <w:t xml:space="preserve">Treatment strategies for focal epilepsy can include both medical and surgical options, which strive to achieve seizure control with minimal AEs. Although there are over 20 FDA approved ASMs, 30 to 40 percent of patients have drug-resistant epilepsy and continue to experience uncontrolled seizures despite taking two or more ASMs. First-line treatment for focal epilepsy is monotherapy, prescribing one ASM which is selected based on a patients seizure type, medical history and their physicians experience with a drugs efficacy, tolerability and convenience. </w:t>
      </w:r>
    </w:p>
    <w:p>
      <w:pPr>
        <w:pStyle w:val="TextBody"/>
        <w:bidi w:val="0"/>
        <w:spacing w:before="240" w:after="0"/>
        <w:jc w:val="left"/>
        <w:rPr>
          <w:rFonts w:ascii="Times New Roman" w:hAnsi="Times New Roman"/>
          <w:sz w:val="20"/>
        </w:rPr>
      </w:pPr>
      <w:r>
        <w:rPr>
          <w:rFonts w:ascii="Times New Roman" w:hAnsi="Times New Roman"/>
          <w:sz w:val="20"/>
        </w:rPr>
        <w:t xml:space="preserve">Approved ASMs have many mechanisms of action, and most work by either inhibiting neuronal excitation or augmenting neuronal inhibition. Some ASMs blunt excitation by inhibiting voltage sensitive sodium or calcium channels or by blocking excitatory AMPA or NMDA receptors. Alternatively, some ASMs augment inhibition by enhancing </w:t>
      </w:r>
      <w:r>
        <w:rPr>
          <w:rFonts w:ascii="SYMBOL" w:hAnsi="SYMBOL"/>
          <w:sz w:val="20"/>
        </w:rPr>
        <w:t>g</w:t>
      </w:r>
      <w:r>
        <w:rPr>
          <w:rFonts w:ascii="Times New Roman" w:hAnsi="Times New Roman"/>
          <w:sz w:val="20"/>
        </w:rPr>
        <w:t xml:space="preserve">-aminobutyric acid type A (GABAA) receptors or voltage-gated potassium channels. In addition, there are some ASMs for which the precise mechanism of action is not known and some which engage multiple targets. Most ASMs bind to targets expressed throughout the brain, and we believe this broad pharmacology can drive their side effects. </w:t>
      </w:r>
    </w:p>
    <w:p>
      <w:pPr>
        <w:pStyle w:val="TextBody"/>
        <w:bidi w:val="0"/>
        <w:spacing w:before="240" w:after="0"/>
        <w:jc w:val="left"/>
        <w:rPr>
          <w:rFonts w:ascii="Times New Roman" w:hAnsi="Times New Roman"/>
          <w:sz w:val="20"/>
        </w:rPr>
      </w:pPr>
      <w:r>
        <w:rPr>
          <w:rFonts w:ascii="Times New Roman" w:hAnsi="Times New Roman"/>
          <w:sz w:val="20"/>
        </w:rPr>
        <w:t xml:space="preserve">If a single ASM fails to prevent seizures, physicians often prescribe a different ASM or begin polypharmacy. When a prescribing physician decides which ASM to add to a refractory patients drug regimen, one important factor is the desire to add a new ASM with a different mechanism of action from those ASMs the patient is already taking. The process of polypharmacy involves trial and error which can elevate risk of AEs and drug-drug interactions. Tolerability issues can lead patients to take suboptimal doses to minimize side effects or can lead to treatment discontinuation, which occurs in 30 to 40 percent of patients. AEs commonly reported with ASMs include systemic effects such as nausea and vomiting, neurologic effects such as sedation, cognitive effects, ataxia and dizziness. In addition, some ASMs are associated with severe medical safety risks, for example, rare idiosyncratic reactions such as the life-threatening multi-organ hypersensitivity reaction known as Drug Rash with Eosinophilia and Systemic Symptoms (DRESS), serious skin reactions such as Stevens-Johnson syndrome and toxic epidermal necrolysis, bone marrow suppression, significant liver and kidney abnormalities, and cardiac arrhythmias.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Antiseizure Therapy Through Modulation of Glutamate Signaling </w:t>
      </w:r>
    </w:p>
    <w:p>
      <w:pPr>
        <w:pStyle w:val="TextBody"/>
        <w:bidi w:val="0"/>
        <w:spacing w:before="120" w:after="0"/>
        <w:jc w:val="left"/>
        <w:rPr>
          <w:rFonts w:ascii="Times New Roman" w:hAnsi="Times New Roman"/>
          <w:sz w:val="20"/>
        </w:rPr>
      </w:pPr>
      <w:r>
        <w:rPr>
          <w:rFonts w:ascii="Times New Roman" w:hAnsi="Times New Roman"/>
          <w:sz w:val="20"/>
        </w:rPr>
        <w:t xml:space="preserve">Glutamate is the major excitatory neurotransmitter in the brain. Both glutamates release from presynaptic nerve terminals and its activation of postsynaptic receptors are critical for neurotransmission. Correspondingly, processes associated with glutamate release and its downstream signaling are highly regulated. Elevation in extracellular glutamate levels can lead to seizures, and many ASMs target this pathway. </w:t>
      </w:r>
    </w:p>
    <w:p>
      <w:pPr>
        <w:pStyle w:val="TextBody"/>
        <w:bidi w:val="0"/>
        <w:spacing w:before="240" w:after="0"/>
        <w:jc w:val="left"/>
        <w:rPr>
          <w:rFonts w:ascii="Times New Roman" w:hAnsi="Times New Roman"/>
          <w:sz w:val="20"/>
        </w:rPr>
      </w:pPr>
      <w:r>
        <w:rPr>
          <w:rFonts w:ascii="Times New Roman" w:hAnsi="Times New Roman"/>
          <w:sz w:val="20"/>
        </w:rPr>
        <w:t xml:space="preserve">ASMs can blunt glutamate-dependent signaling through diverse mechanisms. Drugs such as phenytoin, carbamazepine, lamotrigine and lacosamide molecule voltage-gated sodium channels and inhibit action potentials from reaching the glutamate release machinery within the presynaptic nerve terminal. Other drugs such as ethosuximide and ezogabine modulate voltage-gated calcium and potassium channels, respectively, which also can prevent the presynaptic release of glutamate. Figure 2 below shows the mechanisms of currently approved ASMs, including many that modulate glutamate signaling.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4051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850" cy="4051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16"/>
        </w:rPr>
      </w:pPr>
      <w:r>
        <w:rPr>
          <w:rFonts w:ascii="Times New Roman" w:hAnsi="Times New Roman"/>
          <w:sz w:val="16"/>
        </w:rPr>
        <w:t xml:space="preserve">Source: Created with Biorender.com. Bialer M, White HS. (2010). Key factors in the discovery and development of new antiepileptic drugs. Nature Reviews Drug Discovery, 9(1):6882. doi: 10.1038/nrd2997. Löscher W, Klein P. (2021). The Pharmacology and Clinical Efficacy of Antiseizure Medications: From Bromide Salts to Cenobamate and Beyond. CNS Drugs (2021) 35:935 -963. doi: 10.1007/s40263-021-00827-8.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2. Mechanistic cartography of currently approved ASMs acting on the excitatory synapse (Left) and the inhibitor synapse (Right). </w:t>
      </w:r>
    </w:p>
    <w:p>
      <w:pPr>
        <w:pStyle w:val="TextBody"/>
        <w:bidi w:val="0"/>
        <w:spacing w:before="240" w:after="0"/>
        <w:jc w:val="left"/>
        <w:rPr>
          <w:rFonts w:ascii="Times New Roman" w:hAnsi="Times New Roman"/>
          <w:sz w:val="20"/>
        </w:rPr>
      </w:pPr>
      <w:r>
        <w:rPr>
          <w:rFonts w:ascii="Times New Roman" w:hAnsi="Times New Roman"/>
          <w:sz w:val="20"/>
        </w:rPr>
        <w:t xml:space="preserve">After being released into the synaptic cleft, glutamate can bind to AMPARs on postsynaptic neurons. This process permeates sodium and other cations, triggering a series of events that can ultimately lead to the generation of an action potential and the propagation of neuronal signals. Perampanel directly blocks the gating of all AMPARs, while other drugs, such as phenobarbital and tiagabine, oppose glutamate signaling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increasing the activity of inhibitory synaptic signaling driven by the GABAA receptors. Figure 2 above shows the mechanistic cartography of existing ASMs, including many that modulate glutamate signaling in the excitatory synapse. </w:t>
      </w:r>
    </w:p>
    <w:p>
      <w:pPr>
        <w:pStyle w:val="TextBody"/>
        <w:bidi w:val="0"/>
        <w:spacing w:before="360" w:after="0"/>
        <w:jc w:val="left"/>
        <w:rPr>
          <w:rFonts w:ascii="Times New Roman" w:hAnsi="Times New Roman"/>
          <w:i/>
          <w:sz w:val="20"/>
        </w:rPr>
      </w:pPr>
      <w:r>
        <w:rPr>
          <w:rFonts w:ascii="Times New Roman" w:hAnsi="Times New Roman"/>
          <w:i/>
          <w:sz w:val="20"/>
        </w:rPr>
        <w:t xml:space="preserve">Validation of AMPAR as a Target for the Treatment of Epilepsy </w:t>
      </w:r>
    </w:p>
    <w:p>
      <w:pPr>
        <w:pStyle w:val="TextBody"/>
        <w:bidi w:val="0"/>
        <w:spacing w:before="120" w:after="0"/>
        <w:jc w:val="left"/>
        <w:rPr>
          <w:rFonts w:ascii="Times New Roman" w:hAnsi="Times New Roman"/>
          <w:sz w:val="20"/>
        </w:rPr>
      </w:pPr>
      <w:r>
        <w:rPr>
          <w:rFonts w:ascii="Times New Roman" w:hAnsi="Times New Roman"/>
          <w:sz w:val="20"/>
        </w:rPr>
        <w:t xml:space="preserve">Perampanel, developed by Eisai Co. Ltd. and currently marketed as FYCOMPA by Catalyst Pharmaceuticals, Inc., is an FDA approved ASM that directly antagonizes all AMPARs throughout the brain. In three clinical trials of patients with drug-resistant focal epilepsy, perampanel reduced the frequency of partial onset (focal) seizures by 31 to 34 percent compared to 10 to 21 percent in the placebo group. However, perampanels efficacy was accompanied by frequent AEs consistent with its pan-AMPAR activity. At the highest recommended dose of perampanel (12 mg per day), over 40 percent of patients experienced dizziness, 18 percent reported somnolence, and at least 10 percent reported headaches, irritability, fatigue and falls. Perampanels FDA approval label is accompanied by a black box warning for serious psychiatric and behavioral reactions, including aggression, hostility and homicidal ideation and threats. Furthermore, significant drug-drug interactions were reported for perampanel. The concomitant use with the other ASMs carbamazepine, phenytoin and oxcarbazepine decreased plasma levels of perampanel by approximately 50 to 67 percent. In addition, perampanel at a dose of 12 mg per day reduced exposure of levonorgestrel, an oral contraceptive, by approximately 40 percent.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there are at least three critical differences between perampanel and RAP-219. First, their chemical structures are completely different. Second, perampanel and RAP-219 have entirely distinct binding sites. Whereas perampanel binds directly to AMPAR GluA subunits, RAP-219 is designed to interact with </w:t>
      </w:r>
      <w:r>
        <w:rPr>
          <w:rFonts w:ascii="SYMBOL" w:hAnsi="SYMBOL"/>
          <w:sz w:val="20"/>
        </w:rPr>
        <w:t>g</w:t>
      </w:r>
      <w:r>
        <w:rPr>
          <w:rFonts w:ascii="Times New Roman" w:hAnsi="Times New Roman"/>
          <w:sz w:val="20"/>
        </w:rPr>
        <w:t>8, but not other TARP subtypes, and only when TARP</w:t>
      </w:r>
      <w:r>
        <w:rPr>
          <w:rFonts w:ascii="SYMBOL" w:hAnsi="SYMBOL"/>
          <w:sz w:val="20"/>
        </w:rPr>
        <w:t>g</w:t>
      </w:r>
      <w:r>
        <w:rPr>
          <w:rFonts w:ascii="Times New Roman" w:hAnsi="Times New Roman"/>
          <w:sz w:val="20"/>
        </w:rPr>
        <w:t>8 is associated with GluA proteins. Third, whereas perampanel blocks AMPARs throughout the brain and body, RAP-219 activity on AMPARs has been observed to be restricted to those specific neurons that express TARP</w:t>
      </w:r>
      <w:r>
        <w:rPr>
          <w:rFonts w:ascii="SYMBOL" w:hAnsi="SYMBOL"/>
          <w:sz w:val="20"/>
        </w:rPr>
        <w:t>g</w:t>
      </w:r>
      <w:r>
        <w:rPr>
          <w:rFonts w:ascii="Times New Roman" w:hAnsi="Times New Roman"/>
          <w:sz w:val="20"/>
        </w:rPr>
        <w:t xml:space="preserve">8, which are primarily located in the select forebrain regions. As such, we believe the tolerability profile of RAP-219 will be differentiated from that of perampanel, and may not induce the intolerable side effects associated with perampanel, such as dizziness, somnolence, fatigue, falls and vertigo.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Supportive of RAP-219 </w:t>
      </w:r>
    </w:p>
    <w:p>
      <w:pPr>
        <w:pStyle w:val="TextBody"/>
        <w:bidi w:val="0"/>
        <w:spacing w:before="120" w:after="0"/>
        <w:jc w:val="left"/>
        <w:rPr>
          <w:rFonts w:ascii="Times New Roman" w:hAnsi="Times New Roman"/>
          <w:sz w:val="20"/>
        </w:rPr>
      </w:pPr>
      <w:r>
        <w:rPr>
          <w:rFonts w:ascii="Times New Roman" w:hAnsi="Times New Roman"/>
          <w:sz w:val="20"/>
        </w:rPr>
        <w:t>Preclinical studies have demonstrated RAP-219s pharmacology and pharmacodynamic properties, as summarized below. In addition, preclinical studies have been conducted with third-party and earlier generation TARP</w:t>
      </w:r>
      <w:r>
        <w:rPr>
          <w:rFonts w:ascii="SYMBOL" w:hAnsi="SYMBOL"/>
          <w:sz w:val="20"/>
        </w:rPr>
        <w:t>g</w:t>
      </w:r>
      <w:r>
        <w:rPr>
          <w:rFonts w:ascii="Times New Roman" w:hAnsi="Times New Roman"/>
          <w:sz w:val="20"/>
        </w:rPr>
        <w:t>8 NAMs by us and third-parties, the results of which we believe are supportive of RAP-219 because these third-party and earlier generation TARP</w:t>
      </w:r>
      <w:r>
        <w:rPr>
          <w:rFonts w:ascii="SYMBOL" w:hAnsi="SYMBOL"/>
          <w:sz w:val="20"/>
        </w:rPr>
        <w:t>g</w:t>
      </w:r>
      <w:r>
        <w:rPr>
          <w:rFonts w:ascii="Times New Roman" w:hAnsi="Times New Roman"/>
          <w:sz w:val="20"/>
        </w:rPr>
        <w:t xml:space="preserve">8 NAMs share the same binding site and have similar pharmacological effects as RAP-219. </w:t>
      </w:r>
    </w:p>
    <w:p>
      <w:pPr>
        <w:pStyle w:val="TextBody"/>
        <w:bidi w:val="0"/>
        <w:spacing w:before="360" w:after="0"/>
        <w:jc w:val="left"/>
        <w:rPr>
          <w:rFonts w:ascii="Times New Roman" w:hAnsi="Times New Roman"/>
          <w:sz w:val="20"/>
        </w:rPr>
      </w:pPr>
      <w:r>
        <w:rPr>
          <w:rFonts w:ascii="Times New Roman" w:hAnsi="Times New Roman"/>
          <w:i/>
          <w:sz w:val="20"/>
        </w:rPr>
        <w:t>TARP</w:t>
      </w:r>
      <w:r>
        <w:rPr>
          <w:rFonts w:ascii="SYMBOL" w:hAnsi="SYMBOL"/>
          <w:i/>
          <w:sz w:val="20"/>
        </w:rPr>
        <w:t>g</w:t>
      </w:r>
      <w:r>
        <w:rPr>
          <w:rFonts w:ascii="Times New Roman" w:hAnsi="Times New Roman"/>
          <w:i/>
          <w:sz w:val="20"/>
        </w:rPr>
        <w:t xml:space="preserve">8 Expression is Localized </w:t>
      </w:r>
    </w:p>
    <w:p>
      <w:pPr>
        <w:pStyle w:val="TextBody"/>
        <w:bidi w:val="0"/>
        <w:spacing w:before="120" w:after="0"/>
        <w:jc w:val="left"/>
        <w:rPr>
          <w:rFonts w:ascii="Times New Roman" w:hAnsi="Times New Roman"/>
          <w:sz w:val="20"/>
        </w:rPr>
      </w:pPr>
      <w:r>
        <w:rPr>
          <w:rFonts w:ascii="Times New Roman" w:hAnsi="Times New Roman"/>
          <w:sz w:val="20"/>
        </w:rPr>
        <w:t>TARP</w:t>
      </w:r>
      <w:r>
        <w:rPr>
          <w:rFonts w:ascii="SYMBOL" w:hAnsi="SYMBOL"/>
          <w:sz w:val="20"/>
        </w:rPr>
        <w:t>g</w:t>
      </w:r>
      <w:r>
        <w:rPr>
          <w:rFonts w:ascii="Times New Roman" w:hAnsi="Times New Roman"/>
          <w:sz w:val="20"/>
        </w:rPr>
        <w:t>8 is expressed in specific brain regions, being most enriched in the hippocampus, and also present in the amygdala and cortex. In a study completed by Janssen, radiolabeled TARP</w:t>
      </w:r>
      <w:r>
        <w:rPr>
          <w:rFonts w:ascii="SYMBOL" w:hAnsi="SYMBOL"/>
          <w:sz w:val="20"/>
        </w:rPr>
        <w:t>g</w:t>
      </w:r>
      <w:r>
        <w:rPr>
          <w:rFonts w:ascii="Times New Roman" w:hAnsi="Times New Roman"/>
          <w:sz w:val="20"/>
        </w:rPr>
        <w:t>8 ligands, such as [3H]JNJ-56022486 (an earlier generation TARP</w:t>
      </w:r>
      <w:r>
        <w:rPr>
          <w:rFonts w:ascii="SYMBOL" w:hAnsi="SYMBOL"/>
          <w:sz w:val="20"/>
        </w:rPr>
        <w:t>g</w:t>
      </w:r>
      <w:r>
        <w:rPr>
          <w:rFonts w:ascii="Times New Roman" w:hAnsi="Times New Roman"/>
          <w:sz w:val="20"/>
        </w:rPr>
        <w:t>8 NAM), were shown to bind selectively to regions of the mouse brain in a distribution that overlapped TARP</w:t>
      </w:r>
      <w:r>
        <w:rPr>
          <w:rFonts w:ascii="SYMBOL" w:hAnsi="SYMBOL"/>
          <w:sz w:val="20"/>
        </w:rPr>
        <w:t>g</w:t>
      </w:r>
      <w:r>
        <w:rPr>
          <w:rFonts w:ascii="Times New Roman" w:hAnsi="Times New Roman"/>
          <w:sz w:val="20"/>
        </w:rPr>
        <w:t>8 protein expression. The highest radioactive [3H]JNJ-56022486 density occurred in the hippocampus, which is also the region where the majority of focal seizures originate and the brain region where focal seizures originating in the cortex often spread. Radioligand binding of [3H]JNJ-56022486 also occurred in other brain regions that contain TARP</w:t>
      </w:r>
      <w:r>
        <w:rPr>
          <w:rFonts w:ascii="SYMBOL" w:hAnsi="SYMBOL"/>
          <w:sz w:val="20"/>
        </w:rPr>
        <w:t>g</w:t>
      </w:r>
      <w:r>
        <w:rPr>
          <w:rFonts w:ascii="Times New Roman" w:hAnsi="Times New Roman"/>
          <w:sz w:val="20"/>
        </w:rPr>
        <w:t xml:space="preserve">8, including the amygdala, cerebral cortex and striatum, which can also be involved in seizure initiation and propagation. Importantly, the spread of seizures from the hippocampus into the amygdala has been shown in a third-party study to increase the risk of SUDEP in patients. </w:t>
      </w:r>
    </w:p>
    <w:p>
      <w:pPr>
        <w:pStyle w:val="TextBody"/>
        <w:bidi w:val="0"/>
        <w:spacing w:before="240" w:after="0"/>
        <w:jc w:val="left"/>
        <w:rPr>
          <w:rFonts w:ascii="Times New Roman" w:hAnsi="Times New Roman"/>
          <w:sz w:val="20"/>
        </w:rPr>
      </w:pPr>
      <w:r>
        <w:rPr>
          <w:rFonts w:ascii="Times New Roman" w:hAnsi="Times New Roman"/>
          <w:sz w:val="20"/>
        </w:rPr>
        <w:t>Figure 3 below illustrates the enrichment of TARP</w:t>
      </w:r>
      <w:r>
        <w:rPr>
          <w:rFonts w:ascii="SYMBOL" w:hAnsi="SYMBOL"/>
          <w:sz w:val="20"/>
        </w:rPr>
        <w:t>g</w:t>
      </w:r>
      <w:r>
        <w:rPr>
          <w:rFonts w:ascii="Times New Roman" w:hAnsi="Times New Roman"/>
          <w:sz w:val="20"/>
        </w:rPr>
        <w:t>8 in mouse hippocampus. The left image derives from the Allen Brain Atlas, a publicly available database of gene expression in the brain, and depicts in red high levels of TARP</w:t>
      </w:r>
      <w:r>
        <w:rPr>
          <w:rFonts w:ascii="SYMBOL" w:hAnsi="SYMBOL"/>
          <w:sz w:val="20"/>
        </w:rPr>
        <w:t>g</w:t>
      </w:r>
      <w:r>
        <w:rPr>
          <w:rFonts w:ascii="Times New Roman" w:hAnsi="Times New Roman"/>
          <w:sz w:val="20"/>
        </w:rPr>
        <w:t xml:space="preserve">8 messenger ribonucleic acid detected by </w:t>
      </w:r>
      <w:r>
        <w:rPr>
          <w:rFonts w:ascii="Times New Roman" w:hAnsi="Times New Roman"/>
          <w:i/>
          <w:sz w:val="20"/>
        </w:rPr>
        <w:t>in situ</w:t>
      </w:r>
      <w:r>
        <w:rPr>
          <w:rFonts w:ascii="Times New Roman" w:hAnsi="Times New Roman"/>
          <w:sz w:val="20"/>
        </w:rPr>
        <w:t xml:space="preserve"> hybridization. The right image depicts with yellow and orange high levels of [3H]JNJ-56022486 binding detected by autoradiography.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3521710" cy="12852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521710" cy="12852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3. TARP</w:t>
      </w:r>
      <w:r>
        <w:rPr>
          <w:rFonts w:ascii="SYMBOL" w:hAnsi="SYMBOL"/>
          <w:i/>
          <w:sz w:val="20"/>
        </w:rPr>
        <w:t>g</w:t>
      </w:r>
      <w:r>
        <w:rPr>
          <w:rFonts w:ascii="Times New Roman" w:hAnsi="Times New Roman"/>
          <w:i/>
          <w:sz w:val="20"/>
        </w:rPr>
        <w:t xml:space="preserve">8 is expressed in the mouse hippocampus. </w:t>
      </w:r>
    </w:p>
    <w:p>
      <w:pPr>
        <w:pStyle w:val="TextBody"/>
        <w:bidi w:val="0"/>
        <w:spacing w:before="360" w:after="0"/>
        <w:jc w:val="left"/>
        <w:rPr>
          <w:rFonts w:ascii="Times New Roman" w:hAnsi="Times New Roman"/>
          <w:sz w:val="20"/>
        </w:rPr>
      </w:pPr>
      <w:r>
        <w:rPr>
          <w:rFonts w:ascii="Times New Roman" w:hAnsi="Times New Roman"/>
          <w:i/>
          <w:sz w:val="20"/>
        </w:rPr>
        <w:t>TARP</w:t>
      </w:r>
      <w:r>
        <w:rPr>
          <w:rFonts w:ascii="SYMBOL" w:hAnsi="SYMBOL"/>
          <w:i/>
          <w:sz w:val="20"/>
        </w:rPr>
        <w:t>g</w:t>
      </w:r>
      <w:r>
        <w:rPr>
          <w:rFonts w:ascii="Times New Roman" w:hAnsi="Times New Roman"/>
          <w:i/>
          <w:sz w:val="20"/>
        </w:rPr>
        <w:t xml:space="preserve">8 Ligands are Highly Selective Inhibitors of AMPAR </w:t>
      </w:r>
    </w:p>
    <w:p>
      <w:pPr>
        <w:pStyle w:val="TextBody"/>
        <w:bidi w:val="0"/>
        <w:spacing w:before="120" w:after="0"/>
        <w:jc w:val="left"/>
        <w:rPr>
          <w:rFonts w:ascii="Times New Roman" w:hAnsi="Times New Roman"/>
          <w:sz w:val="20"/>
        </w:rPr>
      </w:pPr>
      <w:r>
        <w:rPr>
          <w:rFonts w:ascii="Times New Roman" w:hAnsi="Times New Roman"/>
          <w:sz w:val="20"/>
        </w:rPr>
        <w:t>Structural analyses performed by a third party using cryogenic electron microscopy (Cryo-EM) have shown that a TARP</w:t>
      </w:r>
      <w:r>
        <w:rPr>
          <w:rFonts w:ascii="SYMBOL" w:hAnsi="SYMBOL"/>
          <w:sz w:val="20"/>
        </w:rPr>
        <w:t>g</w:t>
      </w:r>
      <w:r>
        <w:rPr>
          <w:rFonts w:ascii="Times New Roman" w:hAnsi="Times New Roman"/>
          <w:sz w:val="20"/>
        </w:rPr>
        <w:t>8 AMPAR NAM, JNJ-55511118 (an earlier generation TARP</w:t>
      </w:r>
      <w:r>
        <w:rPr>
          <w:rFonts w:ascii="SYMBOL" w:hAnsi="SYMBOL"/>
          <w:sz w:val="20"/>
        </w:rPr>
        <w:t>g</w:t>
      </w:r>
      <w:r>
        <w:rPr>
          <w:rFonts w:ascii="Times New Roman" w:hAnsi="Times New Roman"/>
          <w:sz w:val="20"/>
        </w:rPr>
        <w:t>8 NAM), binds to an interface between TARP</w:t>
      </w:r>
      <w:r>
        <w:rPr>
          <w:rFonts w:ascii="SYMBOL" w:hAnsi="SYMBOL"/>
          <w:sz w:val="20"/>
        </w:rPr>
        <w:t>g</w:t>
      </w:r>
      <w:r>
        <w:rPr>
          <w:rFonts w:ascii="Times New Roman" w:hAnsi="Times New Roman"/>
          <w:sz w:val="20"/>
        </w:rPr>
        <w:t>8 and AMPAR, which leads to alterations in the structure of the AMPAR, thereby negatively modulating receptor function and its ability to respond to glutamate. Third-party structural studies indicated that all TARP</w:t>
      </w:r>
      <w:r>
        <w:rPr>
          <w:rFonts w:ascii="SYMBOL" w:hAnsi="SYMBOL"/>
          <w:sz w:val="20"/>
        </w:rPr>
        <w:t>g</w:t>
      </w:r>
      <w:r>
        <w:rPr>
          <w:rFonts w:ascii="Times New Roman" w:hAnsi="Times New Roman"/>
          <w:sz w:val="20"/>
        </w:rPr>
        <w:t>8 AMPAR NAMs tested bind in a similar mode, suggesting the potential for RAP-219 to also bind in this pocket between GluA and TARP</w:t>
      </w:r>
      <w:r>
        <w:rPr>
          <w:rFonts w:ascii="SYMBOL" w:hAnsi="SYMBOL"/>
          <w:sz w:val="20"/>
        </w:rPr>
        <w:t>g</w:t>
      </w:r>
      <w:r>
        <w:rPr>
          <w:rFonts w:ascii="Times New Roman" w:hAnsi="Times New Roman"/>
          <w:sz w:val="20"/>
        </w:rPr>
        <w:t>8. Figure 4 illustrates TARP</w:t>
      </w:r>
      <w:r>
        <w:rPr>
          <w:rFonts w:ascii="SYMBOL" w:hAnsi="SYMBOL"/>
          <w:sz w:val="20"/>
        </w:rPr>
        <w:t>g</w:t>
      </w:r>
      <w:r>
        <w:rPr>
          <w:rFonts w:ascii="Times New Roman" w:hAnsi="Times New Roman"/>
          <w:sz w:val="20"/>
        </w:rPr>
        <w:t>8 ligands binding to the interface between TARP</w:t>
      </w:r>
      <w:r>
        <w:rPr>
          <w:rFonts w:ascii="SYMBOL" w:hAnsi="SYMBOL"/>
          <w:sz w:val="20"/>
        </w:rPr>
        <w:t>g</w:t>
      </w:r>
      <w:r>
        <w:rPr>
          <w:rFonts w:ascii="Times New Roman" w:hAnsi="Times New Roman"/>
          <w:sz w:val="20"/>
        </w:rPr>
        <w:t xml:space="preserve">8 and AMPAR. </w:t>
      </w:r>
    </w:p>
    <w:p>
      <w:pPr>
        <w:pStyle w:val="TextBody"/>
        <w:bidi w:val="0"/>
        <w:spacing w:before="0" w:after="0"/>
        <w:jc w:val="left"/>
        <w:rPr/>
      </w:pPr>
      <w:r>
        <w:rPr/>
        <w:t> </w:t>
      </w:r>
    </w:p>
    <w:p>
      <w:pPr>
        <w:pStyle w:val="TextBody"/>
        <w:bidi w:val="0"/>
        <w:spacing w:before="0" w:after="0"/>
        <w:jc w:val="center"/>
        <w:rPr/>
      </w:pPr>
      <w:r>
        <w:rPr/>
        <w:drawing>
          <wp:inline distT="0" distB="0" distL="0" distR="0">
            <wp:extent cx="2539365" cy="25641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39365" cy="25641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4. TARP</w:t>
      </w:r>
      <w:r>
        <w:rPr>
          <w:rFonts w:ascii="SYMBOL" w:hAnsi="SYMBOL"/>
          <w:i/>
          <w:sz w:val="20"/>
        </w:rPr>
        <w:t>g</w:t>
      </w:r>
      <w:r>
        <w:rPr>
          <w:rFonts w:ascii="Times New Roman" w:hAnsi="Times New Roman"/>
          <w:i/>
          <w:sz w:val="20"/>
        </w:rPr>
        <w:t>8 ligands bind to the interface between TARP</w:t>
      </w:r>
      <w:r>
        <w:rPr>
          <w:rFonts w:ascii="SYMBOL" w:hAnsi="SYMBOL"/>
          <w:i/>
          <w:sz w:val="20"/>
        </w:rPr>
        <w:t>g</w:t>
      </w:r>
      <w:r>
        <w:rPr>
          <w:rFonts w:ascii="Times New Roman" w:hAnsi="Times New Roman"/>
          <w:i/>
          <w:sz w:val="20"/>
        </w:rPr>
        <w:t xml:space="preserve">8 and AMPAR.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RAP-219 Was Observed to Be a Potent TARP</w:t>
      </w:r>
      <w:r>
        <w:rPr>
          <w:rFonts w:ascii="SYMBOL" w:hAnsi="SYMBOL"/>
          <w:i/>
          <w:sz w:val="20"/>
        </w:rPr>
        <w:t>g</w:t>
      </w:r>
      <w:r>
        <w:rPr>
          <w:rFonts w:ascii="Times New Roman" w:hAnsi="Times New Roman"/>
          <w:i/>
          <w:sz w:val="20"/>
        </w:rPr>
        <w:t xml:space="preserve">8-Specific Inhibitor of AMPAR </w:t>
      </w:r>
    </w:p>
    <w:p>
      <w:pPr>
        <w:pStyle w:val="TextBody"/>
        <w:bidi w:val="0"/>
        <w:spacing w:before="120" w:after="0"/>
        <w:jc w:val="left"/>
        <w:rPr>
          <w:rFonts w:ascii="Times New Roman" w:hAnsi="Times New Roman"/>
          <w:sz w:val="20"/>
        </w:rPr>
      </w:pPr>
      <w:r>
        <w:rPr>
          <w:rFonts w:ascii="Times New Roman" w:hAnsi="Times New Roman"/>
          <w:sz w:val="20"/>
        </w:rPr>
        <w:t>Janssen tested RAP-219s effect on recombinant human GluA1-TARP</w:t>
      </w:r>
      <w:r>
        <w:rPr>
          <w:rFonts w:ascii="SYMBOL" w:hAnsi="SYMBOL"/>
          <w:sz w:val="20"/>
        </w:rPr>
        <w:t>g</w:t>
      </w:r>
      <w:r>
        <w:rPr>
          <w:rFonts w:ascii="Times New Roman" w:hAnsi="Times New Roman"/>
          <w:sz w:val="20"/>
        </w:rPr>
        <w:t>8 complexes in mice and rats. The study found that RAP-219 inhibited the function of GluA1-TARP</w:t>
      </w:r>
      <w:r>
        <w:rPr>
          <w:rFonts w:ascii="SYMBOL" w:hAnsi="SYMBOL"/>
          <w:sz w:val="20"/>
        </w:rPr>
        <w:t>g</w:t>
      </w:r>
      <w:r>
        <w:rPr>
          <w:rFonts w:ascii="Times New Roman" w:hAnsi="Times New Roman"/>
          <w:sz w:val="20"/>
        </w:rPr>
        <w:t xml:space="preserve">8 receptors with half maximal effect, referred to as the IC50, at a concentration of approximately 100 pM, demonstrating RAP-219s potency. By contrast, as exemplified in Figure 5 below, RAP-219 was found to be far less potent on complexes of GluA1 with other relevant TARP isoforms, including </w:t>
      </w:r>
      <w:r>
        <w:rPr>
          <w:rFonts w:ascii="SYMBOL" w:hAnsi="SYMBOL"/>
          <w:sz w:val="20"/>
        </w:rPr>
        <w:t>g</w:t>
      </w:r>
      <w:r>
        <w:rPr>
          <w:rFonts w:ascii="Times New Roman" w:hAnsi="Times New Roman"/>
          <w:sz w:val="20"/>
        </w:rPr>
        <w:t xml:space="preserve">2, </w:t>
      </w:r>
      <w:r>
        <w:rPr>
          <w:rFonts w:ascii="SYMBOL" w:hAnsi="SYMBOL"/>
          <w:sz w:val="20"/>
        </w:rPr>
        <w:t>g</w:t>
      </w:r>
      <w:r>
        <w:rPr>
          <w:rFonts w:ascii="Times New Roman" w:hAnsi="Times New Roman"/>
          <w:sz w:val="20"/>
        </w:rPr>
        <w:t xml:space="preserve">3, </w:t>
      </w:r>
      <w:r>
        <w:rPr>
          <w:rFonts w:ascii="SYMBOL" w:hAnsi="SYMBOL"/>
          <w:sz w:val="20"/>
        </w:rPr>
        <w:t>g</w:t>
      </w:r>
      <w:r>
        <w:rPr>
          <w:rFonts w:ascii="Times New Roman" w:hAnsi="Times New Roman"/>
          <w:sz w:val="20"/>
        </w:rPr>
        <w:t xml:space="preserve">4 or </w:t>
      </w:r>
      <w:r>
        <w:rPr>
          <w:rFonts w:ascii="SYMBOL" w:hAnsi="SYMBOL"/>
          <w:sz w:val="20"/>
        </w:rPr>
        <w:t>g</w:t>
      </w:r>
      <w:r>
        <w:rPr>
          <w:rFonts w:ascii="Times New Roman" w:hAnsi="Times New Roman"/>
          <w:sz w:val="20"/>
        </w:rPr>
        <w:t xml:space="preserve">7 or on other receptor types, such as NMDA receptors, G protein-coupled receptors (GPCRs), enzymes or and kinases.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92760" cy="2425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92760" cy="2425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5. RAP-219 observed to be a highly selective inhibitor of TARP</w:t>
      </w:r>
      <w:r>
        <w:rPr>
          <w:rFonts w:ascii="SYMBOL" w:hAnsi="SYMBOL"/>
          <w:i/>
          <w:sz w:val="20"/>
        </w:rPr>
        <w:t>g</w:t>
      </w:r>
      <w:r>
        <w:rPr>
          <w:rFonts w:ascii="Times New Roman" w:hAnsi="Times New Roman"/>
          <w:i/>
          <w:sz w:val="20"/>
        </w:rPr>
        <w:t xml:space="preserve">8 AMPAR. </w:t>
      </w:r>
    </w:p>
    <w:p>
      <w:pPr>
        <w:pStyle w:val="TextBody"/>
        <w:bidi w:val="0"/>
        <w:spacing w:before="360" w:after="0"/>
        <w:jc w:val="left"/>
        <w:rPr>
          <w:rFonts w:ascii="Times New Roman" w:hAnsi="Times New Roman"/>
          <w:i/>
          <w:sz w:val="20"/>
        </w:rPr>
      </w:pPr>
      <w:r>
        <w:rPr>
          <w:rFonts w:ascii="Times New Roman" w:hAnsi="Times New Roman"/>
          <w:i/>
          <w:sz w:val="20"/>
        </w:rPr>
        <w:t xml:space="preserve">RAP-219 Was Observed to Be Bioavailable and CNS Penetrant in Animal Models </w:t>
      </w:r>
    </w:p>
    <w:p>
      <w:pPr>
        <w:pStyle w:val="TextBody"/>
        <w:bidi w:val="0"/>
        <w:spacing w:before="120" w:after="0"/>
        <w:jc w:val="left"/>
        <w:rPr>
          <w:rFonts w:ascii="Times New Roman" w:hAnsi="Times New Roman"/>
          <w:sz w:val="20"/>
        </w:rPr>
      </w:pPr>
      <w:r>
        <w:rPr>
          <w:rFonts w:ascii="Times New Roman" w:hAnsi="Times New Roman"/>
          <w:sz w:val="20"/>
        </w:rPr>
        <w:t>Oral doses of RAP-219 were rapidly absorbed with over 80 percent bioavailability in mice, rats, dogs and non-human primates. In these animal studies, completed by Janssen, RAP-219 had a half-life of 17.8 to 38.3 hours and was observed to distribute into the brain with a brain-to-plasma ratio of 0.96 in rats. Figure 6 below shows that oral doses of 0.02 mg/kg in the mouse and 0.01 mg/kg in the rat resulted in 50 percent TARP</w:t>
      </w:r>
      <w:r>
        <w:rPr>
          <w:rFonts w:ascii="SYMBOL" w:hAnsi="SYMBOL"/>
          <w:sz w:val="20"/>
        </w:rPr>
        <w:t>g</w:t>
      </w:r>
      <w:r>
        <w:rPr>
          <w:rFonts w:ascii="Times New Roman" w:hAnsi="Times New Roman"/>
          <w:sz w:val="20"/>
        </w:rPr>
        <w:t xml:space="preserve">8-receptor/AMPAR occupancy for RAP-219 in the hippocampus, referred to as ED50. </w:t>
      </w:r>
    </w:p>
    <w:p>
      <w:pPr>
        <w:pStyle w:val="TextBody"/>
        <w:bidi w:val="0"/>
        <w:spacing w:before="0" w:after="0"/>
        <w:jc w:val="left"/>
        <w:rPr/>
      </w:pPr>
      <w:r>
        <w:rPr/>
        <w:t> </w:t>
      </w:r>
    </w:p>
    <w:p>
      <w:pPr>
        <w:pStyle w:val="TextBody"/>
        <w:bidi w:val="0"/>
        <w:spacing w:before="0" w:after="0"/>
        <w:jc w:val="center"/>
        <w:rPr/>
      </w:pPr>
      <w:r>
        <w:rPr/>
        <w:drawing>
          <wp:inline distT="0" distB="0" distL="0" distR="0">
            <wp:extent cx="564515" cy="2076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4515" cy="2076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6. Dose dependent receptor occupancy of RAP-219. Following oral dosing of RAP-219, AMPAR occupancy was quantified in the hippocampus of the mouse (A) at 24 hours and rat (B) at 4 hours after dosing using ex-vivo autoradiography.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RAP-219 has the Potential for Reduced Drug-Drug Interactions Versus Approved ASMs </w:t>
      </w:r>
    </w:p>
    <w:p>
      <w:pPr>
        <w:pStyle w:val="TextBody"/>
        <w:bidi w:val="0"/>
        <w:spacing w:before="120" w:after="0"/>
        <w:jc w:val="left"/>
        <w:rPr>
          <w:rFonts w:ascii="Times New Roman" w:hAnsi="Times New Roman"/>
          <w:sz w:val="20"/>
        </w:rPr>
      </w:pPr>
      <w:r>
        <w:rPr>
          <w:rFonts w:ascii="Times New Roman" w:hAnsi="Times New Roman"/>
          <w:sz w:val="20"/>
        </w:rPr>
        <w:t xml:space="preserve">RAP-219 is neither a substrate nor an inhibitor of cytochrome P450 (CYP) enzymes. CYPs comprise a large and diverse family of enzymes, responsible for the detoxification of many drugs, including ASMs. Drug-drug interactions with CYPs can decrease or increase ASM blood levels, which can reduce drug effectiveness or increase relevant drug side effects, respectively. RAP-219 has not been observed to induce or inhibit or be metabolized by any evaluated CYPs at clinically relevant concentrations. RAP-219 has been shown to be metabolized </w:t>
      </w:r>
      <w:r>
        <w:rPr>
          <w:rFonts w:ascii="Times New Roman" w:hAnsi="Times New Roman"/>
          <w:i/>
          <w:sz w:val="20"/>
        </w:rPr>
        <w:t>in vitro</w:t>
      </w:r>
      <w:r>
        <w:rPr>
          <w:rFonts w:ascii="Times New Roman" w:hAnsi="Times New Roman"/>
          <w:sz w:val="20"/>
        </w:rPr>
        <w:t xml:space="preserve"> primarily by an enzyme in a different family, termed UDP-glucuronosyltransferase1A4 (UGT1A4). We believe that RAP-219s lack of interaction with the CYP pathway has the potential to reduce drug-drug interactions, which would serve as an advantage given the widespread use of polypharmacy in focal epilepsy, peripheral neuropathic pain and bipolar disorder.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RAP-219 Preclinical Trials in Focal Epilepsy </w:t>
      </w:r>
    </w:p>
    <w:p>
      <w:pPr>
        <w:pStyle w:val="TextBody"/>
        <w:bidi w:val="0"/>
        <w:spacing w:before="120" w:after="0"/>
        <w:jc w:val="left"/>
        <w:rPr>
          <w:rFonts w:ascii="Times New Roman" w:hAnsi="Times New Roman"/>
          <w:sz w:val="20"/>
        </w:rPr>
      </w:pPr>
      <w:r>
        <w:rPr>
          <w:rFonts w:ascii="Times New Roman" w:hAnsi="Times New Roman"/>
          <w:sz w:val="20"/>
        </w:rPr>
        <w:t xml:space="preserve">Multiple preclinical epilepsy models were used by Janssen to assess the potential of ASMs. In the pentylenetetrazol (PTZ) infusion mouse model of acute seizures, RAP-219 administration was associated with an increased seizure threshold. PTZ is a GABAA receptor antagonist, which causes acute severe seizures in animals when infused at a high dose. As shown in Figure 7 below, RAP-219 led to a dose-dependent increase in the threshold concentration required to trigger both twitch and clonus in the Metrazol mouse model. Significant differences compared to vehicle treatment were detected in 0.1 and 1 mg/kg doses (P&lt;0.01) for both twitch and clonus. ED50 values were 0.02 mg/kg for both twitch and clonus responses.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844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7850" cy="2844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7. RAP-219 led to a dose dependent increase in the threshold concentration required to trigger both twitch and clonus responses in the IV Metrazol model. </w:t>
      </w:r>
    </w:p>
    <w:p>
      <w:pPr>
        <w:pStyle w:val="TextBody"/>
        <w:bidi w:val="0"/>
        <w:spacing w:before="240" w:after="0"/>
        <w:jc w:val="left"/>
        <w:rPr>
          <w:rFonts w:ascii="Times New Roman" w:hAnsi="Times New Roman"/>
          <w:sz w:val="20"/>
        </w:rPr>
      </w:pPr>
      <w:r>
        <w:rPr>
          <w:rFonts w:ascii="Times New Roman" w:hAnsi="Times New Roman"/>
          <w:sz w:val="20"/>
        </w:rPr>
        <w:t xml:space="preserve">The corneal kindling induced seizure model in mice is considered to be a valid model in focal epilepsy. In this model studied by Janssen, repeated application of an electrical stimulus, which is initially subconvulsive, resulted in alterations in brain function that led to progressive sensitization to seizures. As illustrated in Figure 8 below, in fully kindled mice, oral administration of a single dose of RAP-219 at doses of 0.02 mg/kg to 3 mg/kg prevented seizures with an estimated half maximal effective concentration (EC50) occurring at 2.3 ng/mL plasma concentration. Immediately prior to the corneal kindling test, the same mice were assessed with a rotarod test. This is a performance test widely used to assess motor impairment and sedation in rodents. The lack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motoric impairment with RAP-219, even at approximately 100-fold higher exposures, is consistent with the lack of expression of TARP</w:t>
      </w:r>
      <w:r>
        <w:rPr>
          <w:rFonts w:ascii="SYMBOL" w:hAnsi="SYMBOL"/>
          <w:sz w:val="20"/>
        </w:rPr>
        <w:t>g</w:t>
      </w:r>
      <w:r>
        <w:rPr>
          <w:rFonts w:ascii="Times New Roman" w:hAnsi="Times New Roman"/>
          <w:sz w:val="20"/>
        </w:rPr>
        <w:t xml:space="preserve">8 in brain regions involved in motor coordination and sedation, such as the hindbrain.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09905" cy="4051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9905" cy="4051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8. RAP-219 had an estimated EC50 of 2.3 ng/mL in the corneal kindling mouse model of focal epilepsy. </w:t>
      </w:r>
    </w:p>
    <w:p>
      <w:pPr>
        <w:pStyle w:val="TextBody"/>
        <w:bidi w:val="0"/>
        <w:spacing w:before="240" w:after="0"/>
        <w:jc w:val="left"/>
        <w:rPr>
          <w:rFonts w:ascii="Times New Roman" w:hAnsi="Times New Roman"/>
          <w:sz w:val="20"/>
        </w:rPr>
      </w:pPr>
      <w:r>
        <w:rPr>
          <w:rFonts w:ascii="Times New Roman" w:hAnsi="Times New Roman"/>
          <w:sz w:val="20"/>
        </w:rPr>
        <w:t xml:space="preserve">Maximal seizure protection, based on the percentage of responding animals, was observed at a plasma concentration of approximately 10 ng/mL, and significant seizure reduction was seen at a plasma concentration of approximately 7 ng/mL. This corresponds to a projected receptor occupancy of approximately 50 to 70 percent based on data generated in rats as measured by ex-vivo autoradiography, as shown in Figure 9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53085" cy="4686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3085" cy="4686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9. A plasma concentration of 7 ng/mL of RAP-219 corresponded to approximately a 70 percent receptor occupancy in rats. </w:t>
      </w:r>
    </w:p>
    <w:p>
      <w:pPr>
        <w:pStyle w:val="TextBody"/>
        <w:bidi w:val="0"/>
        <w:spacing w:before="240" w:after="0"/>
        <w:jc w:val="left"/>
        <w:rPr>
          <w:rFonts w:ascii="Times New Roman" w:hAnsi="Times New Roman"/>
          <w:sz w:val="20"/>
        </w:rPr>
      </w:pPr>
      <w:r>
        <w:rPr>
          <w:rFonts w:ascii="Times New Roman" w:hAnsi="Times New Roman"/>
          <w:sz w:val="20"/>
        </w:rPr>
        <w:t>Data from a separate study completed by us, in fully kindled mice, suggests that oral administration of RTX-1738 (a TARP</w:t>
      </w:r>
      <w:r>
        <w:rPr>
          <w:rFonts w:ascii="SYMBOL" w:hAnsi="SYMBOL"/>
          <w:sz w:val="20"/>
        </w:rPr>
        <w:t>g</w:t>
      </w:r>
      <w:r>
        <w:rPr>
          <w:rFonts w:ascii="Times New Roman" w:hAnsi="Times New Roman"/>
          <w:sz w:val="20"/>
        </w:rPr>
        <w:t xml:space="preserve">8 NAM licensed to us under the same patent as RAP-219) at 3 mg/kg prevented seizures after either a single administration or after seven consecutive days of dosing, indicating that antiseizure activity was maintained with repeat dosing, i.e. no tolerance to the antiseizure activity was observed.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one potential advantage of the precision targeting observed with RAP-219 in preclinical models is a wide therapeutic index that may be achieved by avoiding AMPAR modulation in the hindbrain. The therapeutic index measures the general tolerability of a drug, reflecting the range of doses at which a medication is effective without causing unacceptable adverse effects. Drugs with narrow therapeutic indexes have a lesser difference between doses that produce therapeutic effects and doses that cause adverse effects. In preclinical animal studies, we found the ratio between doses of RAP-219 that did not produce a toxic effect in 50 percent of the population (TD50) on the rotarod test were greater than 150 higher than those with ED50 for beneficial activity in the corneal kindling test. This compares favorably to that same ratio derived from preclinical animal models for other approved and widely prescribed ASMs which range from 1.3 for phenytoin to greater than 44 for levetiracetam. Thus, we believe RAP-219s potentially wider therapeutic index could translate to patients, providing sustained therapeutic benefit without intolerable side effects, improving upon the traditional ASMs.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RAP-219 Preclinical Toxicity Studies </w:t>
      </w:r>
    </w:p>
    <w:p>
      <w:pPr>
        <w:pStyle w:val="TextBody"/>
        <w:bidi w:val="0"/>
        <w:spacing w:before="120" w:after="0"/>
        <w:jc w:val="left"/>
        <w:rPr>
          <w:rFonts w:ascii="Times New Roman" w:hAnsi="Times New Roman"/>
          <w:sz w:val="20"/>
        </w:rPr>
      </w:pPr>
      <w:r>
        <w:rPr>
          <w:rFonts w:ascii="Times New Roman" w:hAnsi="Times New Roman"/>
          <w:i/>
          <w:sz w:val="20"/>
        </w:rPr>
        <w:t>In vivo</w:t>
      </w:r>
      <w:r>
        <w:rPr>
          <w:rFonts w:ascii="Times New Roman" w:hAnsi="Times New Roman"/>
          <w:sz w:val="20"/>
        </w:rPr>
        <w:t xml:space="preserve"> GLP and non-GLP toxicology studies have also been conducted with RAP-219. In a 28-day GLP toxicology study in rats completed by Janssen, once-daily administration of RAP-219 was generally well-tolerated and no adverse effects were observed at any dose. Non-adverse effects including clinical signs were observed, and all non-adverse findings appeared to be reversible following completion of the 28-day recovery period. In a 28-day GLP toxicology study in dogs, once-daily administration of RAP-219 at doses of up to 10 mg/kg per day yielded overall exposures approximately 100-fold higher than those required to inhibit seizures in the mouse corneal kindling model. RAP-219 was generally well-tolerated and no adverse effects were observed at any dose. The non-adverse effects included CNS-related clinical signs, minor changes in a limited number of clinical pathology parameters, as well as minimal microscopic changes in the adrenal gland and thymus. All drug related RAP-219 effects observed either reversed completely or were in the process of reversing following the 28-day recovery period. Similar results were observed in 13-week toxicology studies in rats and dogs completed by us. Based on the preclinical toxicology data collected to date across these models, we believe RAP-219 has a low genotoxic potential and a favorable tolerability profile. These data supported further development through clinical investigation for once-daily oral dosing of RAP-219 up to three months. </w:t>
      </w:r>
    </w:p>
    <w:p>
      <w:pPr>
        <w:pStyle w:val="TextBody"/>
        <w:bidi w:val="0"/>
        <w:spacing w:before="240" w:after="0"/>
        <w:jc w:val="left"/>
        <w:rPr>
          <w:rFonts w:ascii="Times New Roman" w:hAnsi="Times New Roman"/>
          <w:sz w:val="20"/>
        </w:rPr>
      </w:pPr>
      <w:r>
        <w:rPr>
          <w:rFonts w:ascii="Times New Roman" w:hAnsi="Times New Roman"/>
          <w:sz w:val="20"/>
        </w:rPr>
        <w:t xml:space="preserve">Additional toxicology studies including a chronic (6-months in rats and 9-months in dogs) study as well as reproduction toxicology studies (in rats and rabbits) are ongoing to support longer-term dosing and dosing women of childbearing potential in subsequent clinical trials. In these ongoing studies, convulsion was observed in two instances. A female rabbit dosed at 40 mg/kg per day showed convulsion on the last day of the 10-day pilot tolerability or range finding study to enable GLP reproduction toxicology study. This dose level was considered not tolerated. The no observed effect level (NOEL) dose for convulsion was 30 mg/kg per day. A male dog in the ongoing 9-month chronic toxicology study developed convulsion following the first dose of 20 mg/kg. As demonstrated in the 28-day GLP toxicology study in dogs, the highest dose level tested in dogs and the NOEL dose for convulsion was 10 mg/kg per day. The margins for the mean maximum exposures (Cmax) from the Phase 2a proof-of-concept trial dose (0.75 mg per day for 5 days followed by 1.25 mg per day) over that from the NOEL in rabbits and dogs were greater than 700-fold and 500-fold, respectively. To deal with convulsion in nonclinical studies, we plan to use one-tenth of the exposure from the no-effect dose level for convulsion as the highest exposure for clinical trials. Using this approach, we expect the margins will be greater than 70-fold and 50-fold in rabbits and dogs, respectively. Therefore, we believe the potential for convulsion risk to patients is 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RAP-219 Phase 1 Trials in Healthy Volunteers </w:t>
      </w:r>
    </w:p>
    <w:p>
      <w:pPr>
        <w:pStyle w:val="TextBody"/>
        <w:bidi w:val="0"/>
        <w:spacing w:before="120" w:after="0"/>
        <w:jc w:val="left"/>
        <w:rPr>
          <w:rFonts w:ascii="Times New Roman" w:hAnsi="Times New Roman"/>
          <w:sz w:val="20"/>
        </w:rPr>
      </w:pPr>
      <w:r>
        <w:rPr>
          <w:rFonts w:ascii="Times New Roman" w:hAnsi="Times New Roman"/>
          <w:sz w:val="20"/>
        </w:rPr>
        <w:t xml:space="preserve">We have conducted two Phase 1 trials in healthy adult volunteers to assess the safety, tolerability and pharmacokinetics of RAP-219. The first Phase 1 trial had two parts. Part 1 was a randomized, double-blind and placebo-controlled single ascending dose (SAD) trial that evaluated doses from 0.25 mg to 3 mg and Part 2 was an open label single cohort evaluation of the effect of a high-fat meal on the pharmacokinetics of a 1 mg single dose of RAP-219. The second Phase 1 trial was a randomized, double-blind and placebo-controlled multiple ascending dose (MAD) trial that evaluated once-daily doses ranging from 0.25 mg to 1.25 mg over two or four weeks. Each cohort for the SAD Part 1 and MAD trials consisted of six subjects receiving RAP-219 and two subjects receiving a placebo. In Part 2 of the SAD trial, there were six subjects who all received RAP-219. </w:t>
      </w:r>
    </w:p>
    <w:p>
      <w:pPr>
        <w:pStyle w:val="TextBody"/>
        <w:bidi w:val="0"/>
        <w:spacing w:before="240" w:after="0"/>
        <w:jc w:val="left"/>
        <w:rPr>
          <w:rFonts w:ascii="Times New Roman" w:hAnsi="Times New Roman"/>
          <w:sz w:val="20"/>
        </w:rPr>
      </w:pPr>
      <w:r>
        <w:rPr>
          <w:rFonts w:ascii="Times New Roman" w:hAnsi="Times New Roman"/>
          <w:sz w:val="20"/>
        </w:rPr>
        <w:t xml:space="preserve">For both Phase 1 trials, no clinically meaningful abnormal changes in laboratory values or electrocardiograms (ECG) were observed, nor were there any relevant vital sign changes. In the SAD Part 1 trial, all doses were well tolerated with no serious adverse events (SAEs), and all drug related treatment-emergent adverse events (TEAEs) were rated as mild (grade 1) or moderate (grade 2). All moderate drug-related TEAEs observed were at the two highest doses (2 mg and 3 mg) and were generally consistent with the effects seen in nonclinical toxicology studies with RAP-219. These included agitation and amnesia, each reported in two subjects, and anxiety, dizziness, visual hallucination, sinus tachycardia and hypertension, each reported in one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five cohorts in the Phase 1 SAD trial. The pharmacokinetics of RAP-219 in the SAD Part 1 trial were consistent with the observations from the nonclinical studies, characterized by low clearance and a long terminal elimination half-life of approximately 8 to 14 days. The maximum exposures (Cmax) at the 2 mg and 3 mg doses corresponded to approximately 50 percent receptor occupancy, based on data from preclinical studies. In the SAD Part 2 trial, a modest increase in overall exposure (25 percent increase in area under the curve) and maximum exposure (42 percent increase in Cmax) were observed when RAP-219 was dosed with a high-fat, high-calorie meal. Based on the emerging safety profile and the observed food effect, we believe RAP-219 can be dosed without regard to food. </w:t>
      </w:r>
    </w:p>
    <w:p>
      <w:pPr>
        <w:pStyle w:val="TextBody"/>
        <w:bidi w:val="0"/>
        <w:spacing w:before="240" w:after="0"/>
        <w:jc w:val="left"/>
        <w:rPr>
          <w:rFonts w:ascii="Times New Roman" w:hAnsi="Times New Roman"/>
          <w:sz w:val="20"/>
        </w:rPr>
      </w:pPr>
      <w:r>
        <w:rPr>
          <w:rFonts w:ascii="Times New Roman" w:hAnsi="Times New Roman"/>
          <w:sz w:val="20"/>
        </w:rPr>
        <w:t xml:space="preserve">There were five cohorts in the Phase 1 MAD trial. In the MAD trial, all doses were well tolerated with no SAEs, all drug related TEAEs were rated as mild (grade 1), and no dose response was observed with regards to drug-related TEAEs. The most common TEAEs (without regard for determinations of relatedness) and those occurring in two or more of thirty subjects who received RAP-219 across the five cohorts included sinus tachycardia (4 subjects, or 13.3%), headache (3 subjects, or 10%), insomnia (3 subjects, or 10%), medical device site reactions (3 subjects, or 10%), dizziness (2 subjects, or 6.7%), contact dermatitis (2 subjects, or 6.7%), atrial tachycardia (2 subjects, or 6.7%), chills (2 subjects, or 6.7%), constipation (2 subjects, or 6.7%) and vomiting (2 subjects, or 6.7%). The most common TEAEs reported as drug-related were sinus tachycardia (4 subjects, or 13.3%), dizziness (2 subjects, or 6.7%) and atrial tachycardia (2 subjects, or 6.7%). The highest dose cohort (0.75 mg per day for 5 days followed by 1.25mg per day for 23 days) had no treatment related TEAEs. The TEAEs that were observed in individuals who received placebo were each observed in one of ten patients (10%) across all five cohorts, and included dizziness, second degree atrioventricular (AV) block (in a subject who had first-degree AV block at baseline), medical device site reaction, constipation and abdominal pain. </w:t>
      </w:r>
    </w:p>
    <w:p>
      <w:pPr>
        <w:pStyle w:val="TextBody"/>
        <w:bidi w:val="0"/>
        <w:spacing w:before="240" w:after="0"/>
        <w:jc w:val="left"/>
        <w:rPr>
          <w:rFonts w:ascii="Times New Roman" w:hAnsi="Times New Roman"/>
          <w:sz w:val="20"/>
        </w:rPr>
      </w:pPr>
      <w:r>
        <w:rPr>
          <w:rFonts w:ascii="Times New Roman" w:hAnsi="Times New Roman"/>
          <w:sz w:val="20"/>
        </w:rPr>
        <w:t>Figure 10 below shows the pharmacokinetic profile of RAP-219 following the two highest single doses from the SAD trial and following the last dose (Day 28) of the two highest dose levels (Cohorts 4 and 5) in the MAD trial. Cohort 4 of the MAD trial was dosed at 0.75 mg per day for 28 days and achieved projected receptor occupancy of 70 percent at day 28 trough. Cohort 5 of the MAD trial was dosed at 0.75 mg per day for 5 days followed by 1.25 mg per day for 23 days. Data from Cohort 5 indicated maximum exposures (Cmax) up to 3-fold higher than those achieved following the highest single dose (3 mg) in the Phase 1 SAD trial (see Figure 10 below). Furthermore, in Cohort 5, 50 percent projected receptor occupancy first occurred at approximately day 6 of dosing (at trough). No drug related TEAEs were observed in any subject in Cohort 5. Based on these results, the dosing regimen used in Cohort 5 has been chosen as the proposed dose for our Phase 2a proof-of-concept trial. These observations from the MAD trial, notably the absence of any drug related CNS AEs in Cohort 5, are consistent with the targeted action of RAP-219 to regions of the CNS where TARP</w:t>
      </w:r>
      <w:r>
        <w:rPr>
          <w:rFonts w:ascii="SYMBOL" w:hAnsi="SYMBOL"/>
          <w:sz w:val="20"/>
        </w:rPr>
        <w:t>g</w:t>
      </w:r>
      <w:r>
        <w:rPr>
          <w:rFonts w:ascii="Times New Roman" w:hAnsi="Times New Roman"/>
          <w:sz w:val="20"/>
        </w:rPr>
        <w:t xml:space="preserve">8 AMPAR is present, in contrast to the effects of other approved ASMs.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41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7850" cy="241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10. SAD Exposures vs. MAD Exposures.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Development Plan of RAP-219 in Focal Epilepsy </w:t>
      </w:r>
    </w:p>
    <w:p>
      <w:pPr>
        <w:pStyle w:val="TextBody"/>
        <w:bidi w:val="0"/>
        <w:spacing w:before="120" w:after="0"/>
        <w:jc w:val="left"/>
        <w:rPr>
          <w:rFonts w:ascii="Times New Roman" w:hAnsi="Times New Roman"/>
          <w:sz w:val="20"/>
        </w:rPr>
      </w:pPr>
      <w:r>
        <w:rPr>
          <w:rFonts w:ascii="Times New Roman" w:hAnsi="Times New Roman"/>
          <w:sz w:val="20"/>
        </w:rPr>
        <w:t xml:space="preserve">We intend to initiate a Phase 2a proof-of-concept, open label trial of RAP-219 in adults with drug-resistant focal epilepsy in mid 2024. The planned Phase 2a proof-of-concept trial will enroll approximately 20 participants who have previously been implanted with an intracranial RNS system, marketed by NeuroPace, Inc. (NeuroPace), to monitor and manage their epilepsy. Additional key participant eligibility criteria include implantation of the RNS system at least 15 months before screening, stable device configuration, stimulation and detection settings (including the duration of long episodes (LEs) recorded by the RNS system) for at least eight weeks before screening, at least an average of eight LEs per 4-week interval and at least one clinical seizure in the 8-week retrospective eligibility period, treatment with a maximum of four concomitant medications and no generalized onset seizures in the past ten years. Participants in this trial will receive a dose of 0.75 mg per day for 5 days, followed by 1.25 mg per day for the remainder of the treatment period. Our Phase 2a proof-of-concept trial design is further detailed in Figure 11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429500" cy="1866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429500" cy="1866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11. Phase 2a Proof-of-Concept Trial Schema.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of our Phase 2a proof-of-concept trial will be a reduction in frequency of LEs recorded by the RNS system, specifically the change in LE frequency during the second 4-week interval of the treatment period (weeks 5-8) compared to baseline frequency (frequency per 28 days determined across 8-week retrospective and 4-week prospective baseline intervals). The key secondary endpoints of this proof-of-concept trial include change in clinical seizure frequency (measured using the RNS system and patient-recorded paper diaries), change in electrographic biomarkers (including spike frequency, detection frequency, episode duration, saturation frequency, and other RNS system data outputs) and number and percent of participants who achieve any improvement as assessed by the investigator (measured by Clinical Global Impression of Change scores of minimally, much or very much improved).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we established a collaboration with NeuroPace to leverage the RNS systems data to track responses of patients receiving RAP-219 in our Phase 2a proof-of-concept trial. We believe this collaboration will allow us to more rapidly identify study sites and efficiently screen appropriate patients in the recruitment of our Phase 2a proof-of-concept trial. In addition, we believe access to NeuroPaces data collection and analysis capabilities will enable us to efficiently prepare our proof-of-concept data package. </w:t>
      </w:r>
    </w:p>
    <w:p>
      <w:pPr>
        <w:pStyle w:val="TextBody"/>
        <w:bidi w:val="0"/>
        <w:spacing w:before="240" w:after="0"/>
        <w:jc w:val="left"/>
        <w:rPr>
          <w:rFonts w:ascii="Times New Roman" w:hAnsi="Times New Roman"/>
          <w:sz w:val="20"/>
        </w:rPr>
      </w:pPr>
      <w:r>
        <w:rPr>
          <w:rFonts w:ascii="Times New Roman" w:hAnsi="Times New Roman"/>
          <w:sz w:val="20"/>
        </w:rPr>
        <w:t xml:space="preserve">The RNS system is FDA approved for the treatment of refractory focal epilepsy. The RNS system involves a surgeon implanting a small battery-powered device called a responsive neurostimulator in the patients skull. The neurostimulator is connected to thin wires, or electrodes, that the surgeon places in areas of the brain where the patients seizures originate. The device continuously monitors and records the brains abnormal electrical activity. Abnormal brain electrical activity detected by the RNS system that could likely lead to a seizure is referred to as a LE. When a LE is detected, the device delivers a pulse of electrical stimulation that may halt the seizure and prevent it from spreading to other brain regions. As of December 31, 2023, over 5,000 patients have been implanted with the RNS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with the implanted RNS system typically also receive ASMs, and additional oral therapies may be prescribed to optimize treatment since many patients continue to have seizures after implantation of the device. Two retrospective studies published in peer reviewed epilepsy journals have demonstrated that when new ASMs are added to an RNS system patients treatment regimen, LE changes detected by the RNS system within one to four weeks of new ASM treatment initiation are predictive of long-term clinical response (i.e., a clinically meaningful reduction in focal seizures) to the new ASM. In addition, other iEEG measures obtained from the RNS system have also been shown to be predictive of clinical response, such as spike frequency and spectral power, and will be used as secondary endpoints in this trial. </w:t>
      </w:r>
    </w:p>
    <w:p>
      <w:pPr>
        <w:pStyle w:val="TextBody"/>
        <w:bidi w:val="0"/>
        <w:spacing w:before="240" w:after="0"/>
        <w:jc w:val="left"/>
        <w:rPr>
          <w:rFonts w:ascii="Times New Roman" w:hAnsi="Times New Roman"/>
          <w:sz w:val="20"/>
        </w:rPr>
      </w:pPr>
      <w:r>
        <w:rPr>
          <w:rFonts w:ascii="Times New Roman" w:hAnsi="Times New Roman"/>
          <w:sz w:val="20"/>
        </w:rPr>
        <w:t xml:space="preserve">Testing RAP-219 in patients with the RNS system provides the opportunity to objectively quantify changes in LE frequency as a potential biomarker of efficacy. Because LEs have been shown to provide an early and objective indicator of clinical response to an ASM, and because the population of patients with the RNS system is representative of the refractory focal epilepsy population that will be the focus of future registrational trials, quantifying LEs after the addition of RAP-219 may provide a clearer perspective on the potential of RAP-219 to provide clinical benefit in future focal epilepsy trials. We intend to enroll patients who have been treated with an RNS system for at least 15 months, have stable device configuration settings, stimulation and detection settings (including LE duration) for at least eight weeks before screening and continue to have seizures while also on a stable ASM regimen. Due to an increasing number of patients in the United States implanted with an RNS system for their focal epilepsy, the support from NeuroPace in identifying patients eligible for our Phase 2a proof-of-concept trial and RAP-219s minimal drug-drug interactions observed to date, we expect enrollment in this Phase 2a proof-of-concept trial will be completed in mid 2024 and, if the trial is positive, would provide translatable proof-of-concept for RAP-219. </w:t>
      </w:r>
    </w:p>
    <w:p>
      <w:pPr>
        <w:pStyle w:val="TextBody"/>
        <w:bidi w:val="0"/>
        <w:spacing w:before="240" w:after="0"/>
        <w:jc w:val="left"/>
        <w:rPr>
          <w:rFonts w:ascii="Times New Roman" w:hAnsi="Times New Roman"/>
          <w:sz w:val="20"/>
        </w:rPr>
      </w:pPr>
      <w:r>
        <w:rPr>
          <w:rFonts w:ascii="Times New Roman" w:hAnsi="Times New Roman"/>
          <w:sz w:val="20"/>
        </w:rPr>
        <w:t xml:space="preserve">The RNS proof-of-concept protocol was chosen after discussions with key opinion leaders, consultants, and clinical advisory boards, and it was determined that it provided the best chance of translatability to registrational trial outcomes in focal epilepsy. We considered other clinical models commonly used in proof-of-concept studies in epilepsy. We considered the photosensitive epilepsy proof-of-concept model, where patients with known visually evoked epileptiform discharges are purposely provoked using a strobe light. We believe the photosensitivity model is sub-optimal because it is a single-dose study and its relevance to focal epilepsy is limited since photosensitive discharges are found in patients with generalized epilepsy. We also considered transcranial magnetic stimulation (TMS), where healthy volunteers are subjected to TMS and changes in TMS-evoked potentials are measured to assess cortical excitability. We believe the TMS model has limited relevance to focal epilepsy since it does not evaluate patients with epilepsy. </w:t>
      </w:r>
    </w:p>
    <w:p>
      <w:pPr>
        <w:pStyle w:val="TextBody"/>
        <w:bidi w:val="0"/>
        <w:spacing w:before="240" w:after="0"/>
        <w:jc w:val="left"/>
        <w:rPr>
          <w:rFonts w:ascii="Times New Roman" w:hAnsi="Times New Roman"/>
          <w:sz w:val="20"/>
        </w:rPr>
      </w:pPr>
      <w:r>
        <w:rPr>
          <w:rFonts w:ascii="Times New Roman" w:hAnsi="Times New Roman"/>
          <w:sz w:val="20"/>
        </w:rPr>
        <w:t xml:space="preserve">Assuming a successful outcome of our Phase 2a proof-of-concept clinical trial, we plan to discuss these results with the FDA and initiate registrational clinical trials to assess RAP-219 for the treatment of adults with focal epilepsy. We anticipate the design of these registrational trials and patient population to be studied will be similar to those conducted for other approved therapies and, if RAP-219 is eventually approved, that RAP-219s indication will be similar to currently approved ASMs.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Opportunities to Expand the Potential for RAP-219 in Epilepsy </w:t>
      </w:r>
    </w:p>
    <w:p>
      <w:pPr>
        <w:pStyle w:val="TextBody"/>
        <w:bidi w:val="0"/>
        <w:spacing w:before="120" w:after="0"/>
        <w:jc w:val="left"/>
        <w:rPr>
          <w:rFonts w:ascii="Times New Roman" w:hAnsi="Times New Roman"/>
          <w:sz w:val="20"/>
        </w:rPr>
      </w:pPr>
      <w:r>
        <w:rPr>
          <w:rFonts w:ascii="Times New Roman" w:hAnsi="Times New Roman"/>
          <w:sz w:val="20"/>
        </w:rPr>
        <w:t xml:space="preserve">The ultimate goal of antiseizure therapy is complete freedom from seizures and improvement in patient quality of life. We believe that RAP-219 has the potential to significantly reduce or possibly eliminate focal epilepsy seizures while avoiding many of the common intolerable AEs associated with many approved ASMs. The differentiated target and mechanism of action of RAP-219 in combination with its neuroanatomical precision within the most common seizure onset-zones as demonstrated in preclinical models provides the opportunity for potentially superior clinical activity compared to currently approved ASMs. Certain patients who are refractory to treatment with other ASMs have been found to respond favorably to combination therapies, especially when rational polypharmacy is employed. We believe that the unique proposed mechanism of RAP-219 and its potential for reduced drug-drug interactions, if approved, would make it a drug of choice for rational polypharmacy by improving clinical benefit without changing drug levels of other ASMs.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also exploring the development of a long-acting injectable formulation of RAP-219 with the goal of reducing dosing frequency to once every one or two months, thereby helping to improve adherence. We envision patients would first be stabilized on an oral dose of RAP-219 and then transitioned to the long-acting injectable formulation. For many patients, nonadherence to prescribed ASMs is a major issue in optimizing benefit from pharmacotherapy. This nonadherence rate can be up to approximately 50 percent. One study found that patients who were not adherent to their ASMs had less seizure control as compared with patients who were adherent. We believe that, in addition to the potential reduced side effect profile of RAP-219, its high potency and long half-life, each observed to date in our Phase 1 studies, provide additional opportunities to improve patient adherence. In addition, we believe the potential to dose RAP-219 once per day would be preferred by patients and should improve adherence. A long-acting formulation of RAP-219 has the potential to be the first long-acting injectable ASM. We intend to advance such a formulation into clinical development if and when we establish a tolerable and efficacious once-daily oral formulation. </w:t>
      </w:r>
    </w:p>
    <w:p>
      <w:pPr>
        <w:pStyle w:val="TextBody"/>
        <w:bidi w:val="0"/>
        <w:spacing w:before="360" w:after="0"/>
        <w:jc w:val="left"/>
        <w:rPr>
          <w:rFonts w:ascii="Times New Roman" w:hAnsi="Times New Roman"/>
          <w:sz w:val="20"/>
        </w:rPr>
      </w:pPr>
      <w:r>
        <w:rPr>
          <w:rFonts w:ascii="Times New Roman" w:hAnsi="Times New Roman"/>
          <w:b/>
          <w:sz w:val="20"/>
        </w:rPr>
        <w:t>Other Potential Clinical Applications for RAP-219 and TARP</w:t>
      </w:r>
      <w:r>
        <w:rPr>
          <w:rFonts w:ascii="SYMBOL" w:hAnsi="SYMBOL"/>
          <w:sz w:val="20"/>
        </w:rPr>
        <w:t>g</w:t>
      </w:r>
      <w:r>
        <w:rPr>
          <w:rFonts w:ascii="Times New Roman" w:hAnsi="Times New Roman"/>
          <w:b/>
          <w:sz w:val="20"/>
        </w:rPr>
        <w:t xml:space="preserve">8 Modulators </w:t>
      </w:r>
    </w:p>
    <w:p>
      <w:pPr>
        <w:pStyle w:val="TextBody"/>
        <w:bidi w:val="0"/>
        <w:spacing w:before="120" w:after="0"/>
        <w:jc w:val="left"/>
        <w:rPr>
          <w:rFonts w:ascii="Times New Roman" w:hAnsi="Times New Roman"/>
          <w:sz w:val="20"/>
        </w:rPr>
      </w:pPr>
      <w:r>
        <w:rPr>
          <w:rFonts w:ascii="Times New Roman" w:hAnsi="Times New Roman"/>
          <w:sz w:val="20"/>
        </w:rPr>
        <w:t xml:space="preserve">Many ASMs blunt excitatory neurotransmission in the CNS and some have been shown to provide clinical benefit in other indications, including neuropathic pain and psychiatric diseases. However, the same issues that are problematic in ASMs used to treat epilepsy, such as intolerable AEs and drug-drug interactions, are also present when treating these other indications. Because monotherapy also commonly fails in the treatment of neuropathic pain and psychiatric conditions, polypharmacy is a widespread practice. We believe that RAP-219, with its neuroanatomical specificity and potency, has the potential to provide a differentiated clinical profile in the treatment of peripheral neuropathic pain and bipolar disorder. In the second half of 2024, we intend to initiate a Phase 2a trial evaluating RAP-219 in patients with peripheral neuropathic pain, which may include painful diabetic neuropathy, postherpetic neuralgia, trigeminal neuralgia and idiopathic sensory polyneuropathy. Based on the results from this proof-of-concept trial, we expect to select one or more peripheral neuropathic pain conditions for subsequent development. For our Phase 2a trial in bipolar disorder, which we intend to initiate in 2025, we plan to evaluate RAP-219 in bipolar patients with acute mania.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of Neuropathic Pain and Peripheral Neuropathic Pain </w:t>
      </w:r>
    </w:p>
    <w:p>
      <w:pPr>
        <w:pStyle w:val="TextBody"/>
        <w:bidi w:val="0"/>
        <w:spacing w:before="120" w:after="0"/>
        <w:jc w:val="left"/>
        <w:rPr>
          <w:rFonts w:ascii="Times New Roman" w:hAnsi="Times New Roman"/>
          <w:sz w:val="20"/>
        </w:rPr>
      </w:pPr>
      <w:r>
        <w:rPr>
          <w:rFonts w:ascii="Times New Roman" w:hAnsi="Times New Roman"/>
          <w:sz w:val="20"/>
        </w:rPr>
        <w:t xml:space="preserve">Neuropathic pain is a chronic condition caused by dysfunctional or damaged nerves, classified either as peripheral or central, depending on whether the primary dysfunction or damage is in the peripheral nervous system or in the CNS. Neuropathic pain is a common condition estimated to affect up to 17 percent of the global population. Neuropathic pain is a large market, estimated at $6.6 billion globally in 2021 and forecasted to grow at over four percent annually. Peripheral neuropathic pain indications reflect large patient populations in the United States, including, for example, painful diabetic peripheral neuropathy at approximately 2.8 million, post-herpetic neuralgia at approximately 1.8 million and trigeminal neuralgia at approximately 1.0 million diagnosed patients. </w:t>
      </w:r>
    </w:p>
    <w:p>
      <w:pPr>
        <w:pStyle w:val="TextBody"/>
        <w:bidi w:val="0"/>
        <w:spacing w:before="240" w:after="0"/>
        <w:jc w:val="left"/>
        <w:rPr>
          <w:rFonts w:ascii="Times New Roman" w:hAnsi="Times New Roman"/>
          <w:sz w:val="20"/>
        </w:rPr>
      </w:pPr>
      <w:r>
        <w:rPr>
          <w:rFonts w:ascii="Times New Roman" w:hAnsi="Times New Roman"/>
          <w:sz w:val="20"/>
        </w:rPr>
        <w:t xml:space="preserve">It is generally accepted that peripheral neuropathic pain often begins with an injury to or dysfunction of a peripheral nerve resulting in abnormal, spontaneous activity, known as ectopic discharges, akin to epileptic activity in the brain, that results in abnormal spontaneous pain and abnormal painful and uncomfortable sensations. The ectopic discharges from peripheral nerves travel to the dorsal horn of the spinal cord and then to the brain and can cause sensitization and hyperexcitability in both the spinal cord and the brain. It is hypothesized that inflammation associated with the injury also drives chronic stimulation of neurons, leading to prolonged sensations of pain. Although peripheral neuropathic pain may start with dysfunction or damage in the peripheral nervous system, aberrant signaling into the spinal cord generally progresses with functional chronic changes to the CNS, both in the spinal cord and brain.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unmet need in the treatment of peripheral neuropathic pain, with most available treatments only having moderate efficacy and all having side effects that limit their use. First-line therapy with gabapentin or pregabalin is associated with lethargy, vertigo, cognitive issues and peripheral swelling. Opioid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analgesics are typically not efficacious in peripheral neuropathic pain and are associated with nausea, lethargy, cognitive slowing and constipation. Opiates also have abuse potential that limits widespread use. Nonsteroidal anti-inflammatory drugs are often prescribed but rarely have meaningful efficacy and are associated with gastrointestinal, renal and cardiovascular AEs. </w:t>
      </w:r>
    </w:p>
    <w:p>
      <w:pPr>
        <w:pStyle w:val="TextBody"/>
        <w:bidi w:val="0"/>
        <w:spacing w:before="360" w:after="0"/>
        <w:jc w:val="left"/>
        <w:rPr>
          <w:rFonts w:ascii="Times New Roman" w:hAnsi="Times New Roman"/>
          <w:sz w:val="20"/>
        </w:rPr>
      </w:pPr>
      <w:r>
        <w:rPr>
          <w:rFonts w:ascii="Times New Roman" w:hAnsi="Times New Roman"/>
          <w:b/>
          <w:i/>
          <w:sz w:val="20"/>
        </w:rPr>
        <w:t>Evidence for the Importance of AMPAR and TARP</w:t>
      </w:r>
      <w:r>
        <w:rPr>
          <w:rFonts w:ascii="SYMBOL" w:hAnsi="SYMBOL"/>
          <w:sz w:val="20"/>
        </w:rPr>
        <w:t>g</w:t>
      </w:r>
      <w:r>
        <w:rPr>
          <w:rFonts w:ascii="Times New Roman" w:hAnsi="Times New Roman"/>
          <w:b/>
          <w:i/>
          <w:sz w:val="20"/>
        </w:rPr>
        <w:t xml:space="preserve">8 in Pain </w:t>
      </w:r>
    </w:p>
    <w:p>
      <w:pPr>
        <w:pStyle w:val="TextBody"/>
        <w:bidi w:val="0"/>
        <w:spacing w:before="120" w:after="0"/>
        <w:jc w:val="left"/>
        <w:rPr>
          <w:rFonts w:ascii="Times New Roman" w:hAnsi="Times New Roman"/>
          <w:sz w:val="20"/>
        </w:rPr>
      </w:pPr>
      <w:r>
        <w:rPr>
          <w:rFonts w:ascii="Times New Roman" w:hAnsi="Times New Roman"/>
          <w:sz w:val="20"/>
        </w:rPr>
        <w:t>TARP</w:t>
      </w:r>
      <w:r>
        <w:rPr>
          <w:rFonts w:ascii="SYMBOL" w:hAnsi="SYMBOL"/>
          <w:sz w:val="20"/>
        </w:rPr>
        <w:t>g</w:t>
      </w:r>
      <w:r>
        <w:rPr>
          <w:rFonts w:ascii="Times New Roman" w:hAnsi="Times New Roman"/>
          <w:sz w:val="20"/>
        </w:rPr>
        <w:t>8 is expressed in areas of the CNS associated with pain including the anterior cingulate cortex and the dorsal horn of the spinal cord. It is hypothesized that the anterior cingulate cortex registers the affective aspect of pain while the dorsal horn processes nociceptive inputs from peripheral nerves. TARP</w:t>
      </w:r>
      <w:r>
        <w:rPr>
          <w:rFonts w:ascii="SYMBOL" w:hAnsi="SYMBOL"/>
          <w:sz w:val="20"/>
        </w:rPr>
        <w:t>g</w:t>
      </w:r>
      <w:r>
        <w:rPr>
          <w:rFonts w:ascii="Times New Roman" w:hAnsi="Times New Roman"/>
          <w:sz w:val="20"/>
        </w:rPr>
        <w:t>8 inhibition has demonstrated preclinical activity in third-party pain models. For instance, a TARP</w:t>
      </w:r>
      <w:r>
        <w:rPr>
          <w:rFonts w:ascii="SYMBOL" w:hAnsi="SYMBOL"/>
          <w:sz w:val="20"/>
        </w:rPr>
        <w:t>g</w:t>
      </w:r>
      <w:r>
        <w:rPr>
          <w:rFonts w:ascii="Times New Roman" w:hAnsi="Times New Roman"/>
          <w:sz w:val="20"/>
        </w:rPr>
        <w:t>8 AMPAR selective inhibitor, LY3130481, was found by third-party researchers to suppress excitatory synaptic transmission in pain pathways and significantly reduce pain-related behaviors in mouse models of neuropathic and inflammatory pain without impairing motor function. This study also reported that the magnitude of improved pain behavioral effects were positively correlated with occupancy of TARP</w:t>
      </w:r>
      <w:r>
        <w:rPr>
          <w:rFonts w:ascii="SYMBOL" w:hAnsi="SYMBOL"/>
          <w:sz w:val="20"/>
        </w:rPr>
        <w:t>g</w:t>
      </w:r>
      <w:r>
        <w:rPr>
          <w:rFonts w:ascii="Times New Roman" w:hAnsi="Times New Roman"/>
          <w:sz w:val="20"/>
        </w:rPr>
        <w:t>8 containing AMPARs in the CNS and were lost in TARP</w:t>
      </w:r>
      <w:r>
        <w:rPr>
          <w:rFonts w:ascii="SYMBOL" w:hAnsi="SYMBOL"/>
          <w:sz w:val="20"/>
        </w:rPr>
        <w:t>g</w:t>
      </w:r>
      <w:r>
        <w:rPr>
          <w:rFonts w:ascii="Times New Roman" w:hAnsi="Times New Roman"/>
          <w:sz w:val="20"/>
        </w:rPr>
        <w:t>8 knock-out mice, supporting the dependence of the antinociceptive action of LY3130481 on TARP</w:t>
      </w:r>
      <w:r>
        <w:rPr>
          <w:rFonts w:ascii="SYMBOL" w:hAnsi="SYMBOL"/>
          <w:sz w:val="20"/>
        </w:rPr>
        <w:t>g</w:t>
      </w:r>
      <w:r>
        <w:rPr>
          <w:rFonts w:ascii="Times New Roman" w:hAnsi="Times New Roman"/>
          <w:sz w:val="20"/>
        </w:rPr>
        <w:t xml:space="preserve">8. </w:t>
      </w:r>
    </w:p>
    <w:p>
      <w:pPr>
        <w:pStyle w:val="TextBody"/>
        <w:bidi w:val="0"/>
        <w:spacing w:before="240" w:after="0"/>
        <w:jc w:val="left"/>
        <w:rPr>
          <w:rFonts w:ascii="Times New Roman" w:hAnsi="Times New Roman"/>
          <w:sz w:val="20"/>
        </w:rPr>
      </w:pPr>
      <w:r>
        <w:rPr>
          <w:rFonts w:ascii="Times New Roman" w:hAnsi="Times New Roman"/>
          <w:sz w:val="20"/>
        </w:rPr>
        <w:t xml:space="preserve">Our preclinical studies with RTX-1738 have demonstrated pain behavior improvements in animal models of acute, inflammatory and neuropathic pain. For example, in the rat formalin induced pain model, we observed that RTX-1738 administered 60 minutes before formalin attenuated nocifensive behavior during both phase 1 (acute pain, 0-10 minutes after formalin injection) and phase 2 (persistent pain, 20-60 minutes after formalin injection). In another study, RTX-1738 showed attenuation of tactile allodynia in the spinal nerve ligation (SNL) rat model of neuropathic pain. In this test, RTX-1738 was administered daily 7 days after nerve ligation, and pain behavior was assessed 90 minutes post-dose. Starting at day 16 after surgery, which corresponds to day three of dosing with RTX-1738, paw withdrawal threshold was elevated, reflecting a decrease in pain behavior.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has been encouraging evidence from prior clinical trials of perampanel in neuropathic pain associated with diabetic neuropathy and post-herpetic neuralgia. While the randomized placebo-controlled studies failed to show a significant reduction in pain scores, subjects that tolerated perampanel reported moderate but meaningful pain relief in the subsequent open-label study. We believe that the trials failure to show reduction in pain in the overall population was likely driven by perampanels intolerable AEs. We intend to initiate a Phase 2a trial of RAP-219 in peripheral neuropathic pain in the second half of 2024. </w:t>
      </w:r>
    </w:p>
    <w:p>
      <w:pPr>
        <w:pStyle w:val="TextBody"/>
        <w:bidi w:val="0"/>
        <w:spacing w:before="360" w:after="0"/>
        <w:jc w:val="left"/>
        <w:rPr>
          <w:rFonts w:ascii="Times New Roman" w:hAnsi="Times New Roman"/>
          <w:sz w:val="20"/>
        </w:rPr>
      </w:pPr>
      <w:r>
        <w:rPr>
          <w:rFonts w:ascii="Times New Roman" w:hAnsi="Times New Roman"/>
          <w:b/>
          <w:i/>
          <w:sz w:val="20"/>
        </w:rPr>
        <w:t>Bipolar Disorder Background and TARP</w:t>
      </w:r>
      <w:r>
        <w:rPr>
          <w:rFonts w:ascii="SYMBOL" w:hAnsi="SYMBOL"/>
          <w:sz w:val="20"/>
        </w:rPr>
        <w:t>g</w:t>
      </w:r>
      <w:r>
        <w:rPr>
          <w:rFonts w:ascii="Times New Roman" w:hAnsi="Times New Roman"/>
          <w:b/>
          <w:i/>
          <w:sz w:val="20"/>
        </w:rPr>
        <w:t xml:space="preserve">8 as a Potential Treatment </w:t>
      </w:r>
    </w:p>
    <w:p>
      <w:pPr>
        <w:pStyle w:val="TextBody"/>
        <w:bidi w:val="0"/>
        <w:spacing w:before="120" w:after="0"/>
        <w:jc w:val="left"/>
        <w:rPr>
          <w:rFonts w:ascii="Times New Roman" w:hAnsi="Times New Roman"/>
          <w:sz w:val="20"/>
        </w:rPr>
      </w:pPr>
      <w:r>
        <w:rPr>
          <w:rFonts w:ascii="Times New Roman" w:hAnsi="Times New Roman"/>
          <w:sz w:val="20"/>
        </w:rPr>
        <w:t xml:space="preserve">Bipolar disorder, commonly referred to as manic-depressive illness, is characterized by extreme shifts in mood. Individuals with bipolar disorder have manic episodes characterized by intense feelings of over-excitement, irritability, impulsivity, grandiose beliefs and racing thoughts. Individuals may then experience symptoms of depression, including feelings of tiredness, hopelessness, sadness, distraction and thoughts of suicide. Some people experience both manic and depressive symptoms in a single mixed episode. Severe bipolar disorder can be associated with hallucinations or delusions, which are symptoms of psychosis. </w:t>
      </w:r>
    </w:p>
    <w:p>
      <w:pPr>
        <w:pStyle w:val="TextBody"/>
        <w:bidi w:val="0"/>
        <w:spacing w:before="240" w:after="0"/>
        <w:jc w:val="left"/>
        <w:rPr>
          <w:rFonts w:ascii="Times New Roman" w:hAnsi="Times New Roman"/>
          <w:sz w:val="20"/>
        </w:rPr>
      </w:pPr>
      <w:r>
        <w:rPr>
          <w:rFonts w:ascii="Times New Roman" w:hAnsi="Times New Roman"/>
          <w:sz w:val="20"/>
        </w:rPr>
        <w:t xml:space="preserve">Bipolar disorder affects 2.8 percent of the adult population in the United States, or approximately 7.2 million adults. The global bipolar disorder market was approximately $1.4 billion in 2022, and sales are expected to grow to over $4 billion by 2028. Bipolar disorder is often treated with antipsychotic medications as a monotherapy or in combination with mood stabilizers. The side effects and safety risks associated with antipsychotic drugs in patients with bipolar disorder include dizziness, sedation, weight gain, movement disorders and agitation.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RAP-219 has the potential to provide a clinical benefit to patients with bipolar disorder for multiple reasons. First, there are several ASMs, including valproate, lamotrigine, and carbamazepine, that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shown clinical benefit in epilepsy and bipolar disorder and are FDA approved for both indications. The corneal kindling model of epilepsy is also believed by some experts to be predictive of bipolar treatments. Second, third-party functional neuro-imaging studies in patients with bipolar disorder typically show that the hippocampus, a brain region where TARP</w:t>
      </w:r>
      <w:r>
        <w:rPr>
          <w:rFonts w:ascii="SYMBOL" w:hAnsi="SYMBOL"/>
          <w:sz w:val="20"/>
        </w:rPr>
        <w:t>g</w:t>
      </w:r>
      <w:r>
        <w:rPr>
          <w:rFonts w:ascii="Times New Roman" w:hAnsi="Times New Roman"/>
          <w:sz w:val="20"/>
        </w:rPr>
        <w:t>8 is expressed, exhibits abnormal activation and hyperactivity as well as elevated responses to emotional stimuli, attentional activities and memory tasks. Finally, a third-party genome-wide association study of 40,000 patients with bipolar disorder reported that bipolar disorder risk alleles were enriched in genes in synaptic signaling pathways and brain-expressed genes, particularly those with high specificity of expression in neurons of the prefrontal cortex and hippocampus. We believe that by selective targeting TARP</w:t>
      </w:r>
      <w:r>
        <w:rPr>
          <w:rFonts w:ascii="SYMBOL" w:hAnsi="SYMBOL"/>
          <w:sz w:val="20"/>
        </w:rPr>
        <w:t>g</w:t>
      </w:r>
      <w:r>
        <w:rPr>
          <w:rFonts w:ascii="Times New Roman" w:hAnsi="Times New Roman"/>
          <w:sz w:val="20"/>
        </w:rPr>
        <w:t xml:space="preserve">8 and blunting abnormal hippocampal activity, RAP-219 may normalize these responses and thereby improve the symptoms of bipolar disorder.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intend to conduct a second MAD trial of RAP-219 to assess dosing regimens that may enable reaching therapeutic exposure more quickly than in our first MAD trial. We believe more rapidly reaching therapeutic exposures is important for the treatment of acute mania in bipolar disorder patients, as clinical response is generally expected by such patients within a week or two. Based upon results from our second MAD trial, we will determine the dosing paradigm for our Phase 2a trial in bipolar disorder, which we plan to initiate in 2025, which will evaluate RAP-219 in patients with acute mania.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Phase 1 RAP-219 PET Trial </w:t>
      </w:r>
    </w:p>
    <w:p>
      <w:pPr>
        <w:pStyle w:val="TextBody"/>
        <w:bidi w:val="0"/>
        <w:spacing w:before="120" w:after="0"/>
        <w:jc w:val="left"/>
        <w:rPr>
          <w:rFonts w:ascii="Times New Roman" w:hAnsi="Times New Roman"/>
          <w:sz w:val="20"/>
        </w:rPr>
      </w:pPr>
      <w:r>
        <w:rPr>
          <w:rFonts w:ascii="Times New Roman" w:hAnsi="Times New Roman"/>
          <w:sz w:val="20"/>
        </w:rPr>
        <w:t xml:space="preserve">Concurrent with our Phase 2a proof-of-concept trial in patients with drug-resistant focal epilepsy, we are planning to initiate a Phase 1 human positron emission tomography (PET) trial in healthy adult volunteers. The PET trial will utilize a companion PET radiotracer to confirm brain target receptor occupancy across a range of RAP-219 dosing and exposure levels. This PET trial will be conducted in Belgium at a site experienced with the radiotracer. This trial will initiate in mid 2024, with PET results expected in the first half of 2025. </w:t>
      </w:r>
    </w:p>
    <w:p>
      <w:pPr>
        <w:pStyle w:val="TextBody"/>
        <w:bidi w:val="0"/>
        <w:spacing w:before="360" w:after="0"/>
        <w:jc w:val="left"/>
        <w:rPr>
          <w:rFonts w:ascii="Times New Roman" w:hAnsi="Times New Roman"/>
          <w:b/>
          <w:sz w:val="20"/>
        </w:rPr>
      </w:pPr>
      <w:r>
        <w:rPr>
          <w:rFonts w:ascii="Times New Roman" w:hAnsi="Times New Roman"/>
          <w:b/>
          <w:sz w:val="20"/>
        </w:rPr>
        <w:t xml:space="preserve">Our nAChR Programs </w:t>
      </w:r>
    </w:p>
    <w:p>
      <w:pPr>
        <w:pStyle w:val="TextBody"/>
        <w:bidi w:val="0"/>
        <w:spacing w:before="120" w:after="0"/>
        <w:jc w:val="left"/>
        <w:rPr>
          <w:rFonts w:ascii="Times New Roman" w:hAnsi="Times New Roman"/>
          <w:sz w:val="20"/>
        </w:rPr>
      </w:pPr>
      <w:r>
        <w:rPr>
          <w:rFonts w:ascii="Times New Roman" w:hAnsi="Times New Roman"/>
          <w:sz w:val="20"/>
        </w:rPr>
        <w:t xml:space="preserve">We have a portfolio of discovery projects that leverage RAPs for ion channel targets that we believe have potential for generating product candidates, namely the neuronal nAChRs. Neuronal nAChRs are transmembrane ligand-gated ion channels composed of five subunits from a set of 11 </w:t>
      </w:r>
      <w:r>
        <w:rPr>
          <w:rFonts w:ascii="SYMBOL" w:hAnsi="SYMBOL"/>
          <w:sz w:val="20"/>
        </w:rPr>
        <w:t>a</w:t>
      </w:r>
      <w:r>
        <w:rPr>
          <w:rFonts w:ascii="Times New Roman" w:hAnsi="Times New Roman"/>
          <w:sz w:val="20"/>
        </w:rPr>
        <w:t xml:space="preserve"> or </w:t>
      </w:r>
      <w:r>
        <w:rPr>
          <w:rFonts w:ascii="SYMBOL" w:hAnsi="SYMBOL"/>
          <w:sz w:val="20"/>
        </w:rPr>
        <w:t>b</w:t>
      </w:r>
      <w:r>
        <w:rPr>
          <w:rFonts w:ascii="Times New Roman" w:hAnsi="Times New Roman"/>
          <w:sz w:val="20"/>
        </w:rPr>
        <w:t xml:space="preserve"> types in the human genome. Upon binding to acetylcholine, the nAChR ion channel opens to allow cations to permeate the cell. nAChRs are expressed throughout the CNS as well as the periphery. They have critical roles in diverse aspects of neuronal signaling in the CNS and in the autonomic nervous system. We are optimizing these molecules in anticipation of selecting candidates to advance into the clinic. </w:t>
      </w:r>
    </w:p>
    <w:p>
      <w:pPr>
        <w:pStyle w:val="TextBody"/>
        <w:bidi w:val="0"/>
        <w:spacing w:before="360" w:after="0"/>
        <w:jc w:val="left"/>
        <w:rPr>
          <w:rFonts w:ascii="Times New Roman" w:hAnsi="Times New Roman"/>
          <w:sz w:val="20"/>
        </w:rPr>
      </w:pPr>
      <w:r>
        <w:rPr>
          <w:rFonts w:ascii="Times New Roman" w:hAnsi="Times New Roman"/>
          <w:b/>
          <w:i/>
          <w:sz w:val="20"/>
        </w:rPr>
        <w:t xml:space="preserve">Our </w:t>
      </w:r>
      <w:r>
        <w:rPr>
          <w:rFonts w:ascii="SYMBOL" w:hAnsi="SYMBOL"/>
          <w:sz w:val="20"/>
        </w:rPr>
        <w:t>a</w:t>
      </w:r>
      <w:r>
        <w:rPr>
          <w:rFonts w:ascii="Times New Roman" w:hAnsi="Times New Roman"/>
          <w:b/>
          <w:i/>
          <w:sz w:val="20"/>
        </w:rPr>
        <w:t xml:space="preserve">6 nAChR Program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agonists and PAMs of the </w:t>
      </w:r>
      <w:r>
        <w:rPr>
          <w:rFonts w:ascii="SYMBOL" w:hAnsi="SYMBOL"/>
          <w:sz w:val="20"/>
        </w:rPr>
        <w:t>a</w:t>
      </w:r>
      <w:r>
        <w:rPr>
          <w:rFonts w:ascii="Times New Roman" w:hAnsi="Times New Roman"/>
          <w:sz w:val="20"/>
        </w:rPr>
        <w:t xml:space="preserve">6 nAChR for the treatment of chronic pain, which may include neuropathic pain, inflammatory pain and nociceptive pain. Pan-nAChR agonists have been shown to significantly reduce pain in third-party clinical trials, but these agonists were associated with side effects that have limited their development potential. We believe that our RAP platform technology, which allows identification of agonists and PAMs that are selective for </w:t>
      </w:r>
      <w:r>
        <w:rPr>
          <w:rFonts w:ascii="SYMBOL" w:hAnsi="SYMBOL"/>
          <w:sz w:val="20"/>
        </w:rPr>
        <w:t>a</w:t>
      </w:r>
      <w:r>
        <w:rPr>
          <w:rFonts w:ascii="Times New Roman" w:hAnsi="Times New Roman"/>
          <w:sz w:val="20"/>
        </w:rPr>
        <w:t xml:space="preserve">6 nAChR, has the potential enable the discovery of molecules with clinical activity in pain and improved tolerability. </w:t>
      </w:r>
    </w:p>
    <w:p>
      <w:pPr>
        <w:pStyle w:val="TextBody"/>
        <w:bidi w:val="0"/>
        <w:spacing w:before="360" w:after="0"/>
        <w:jc w:val="left"/>
        <w:rPr>
          <w:rFonts w:ascii="Times New Roman" w:hAnsi="Times New Roman"/>
          <w:sz w:val="20"/>
        </w:rPr>
      </w:pPr>
      <w:r>
        <w:rPr>
          <w:rFonts w:ascii="SYMBOL" w:hAnsi="SYMBOL"/>
          <w:sz w:val="20"/>
        </w:rPr>
        <w:t>a</w:t>
      </w:r>
      <w:r>
        <w:rPr>
          <w:rFonts w:ascii="Times New Roman" w:hAnsi="Times New Roman"/>
          <w:i/>
          <w:sz w:val="20"/>
        </w:rPr>
        <w:t xml:space="preserve">6 nAChR as a Potential Target for the Treatment of Chronic Pain </w:t>
      </w:r>
    </w:p>
    <w:p>
      <w:pPr>
        <w:pStyle w:val="TextBody"/>
        <w:bidi w:val="0"/>
        <w:spacing w:before="120" w:after="0"/>
        <w:jc w:val="left"/>
        <w:rPr>
          <w:rFonts w:ascii="Times New Roman" w:hAnsi="Times New Roman"/>
          <w:sz w:val="20"/>
        </w:rPr>
      </w:pPr>
      <w:r>
        <w:rPr>
          <w:rFonts w:ascii="Times New Roman" w:hAnsi="Times New Roman"/>
          <w:sz w:val="20"/>
        </w:rPr>
        <w:t xml:space="preserve">Nicotine and certain nAChR agonists have analgesic properties, but their development for chronic pain has been unsuccessful. Epibatidine, a naturally occurring compound, is a pan-nAChR agonist with high affinity for </w:t>
      </w:r>
      <w:r>
        <w:rPr>
          <w:rFonts w:ascii="SYMBOL" w:hAnsi="SYMBOL"/>
          <w:sz w:val="20"/>
        </w:rPr>
        <w:t>a</w:t>
      </w:r>
      <w:r>
        <w:rPr>
          <w:rFonts w:ascii="Times New Roman" w:hAnsi="Times New Roman"/>
          <w:sz w:val="20"/>
        </w:rPr>
        <w:t>4</w:t>
      </w:r>
      <w:r>
        <w:rPr>
          <w:rFonts w:ascii="SYMBOL" w:hAnsi="SYMBOL"/>
          <w:sz w:val="20"/>
        </w:rPr>
        <w:t>b</w:t>
      </w:r>
      <w:r>
        <w:rPr>
          <w:rFonts w:ascii="Times New Roman" w:hAnsi="Times New Roman"/>
          <w:sz w:val="20"/>
        </w:rPr>
        <w:t xml:space="preserve">2 and </w:t>
      </w:r>
      <w:r>
        <w:rPr>
          <w:rFonts w:ascii="SYMBOL" w:hAnsi="SYMBOL"/>
          <w:sz w:val="20"/>
        </w:rPr>
        <w:t>a</w:t>
      </w:r>
      <w:r>
        <w:rPr>
          <w:rFonts w:ascii="Times New Roman" w:hAnsi="Times New Roman"/>
          <w:sz w:val="20"/>
        </w:rPr>
        <w:t>3</w:t>
      </w:r>
      <w:r>
        <w:rPr>
          <w:rFonts w:ascii="SYMBOL" w:hAnsi="SYMBOL"/>
          <w:sz w:val="20"/>
        </w:rPr>
        <w:t>b</w:t>
      </w:r>
      <w:r>
        <w:rPr>
          <w:rFonts w:ascii="Times New Roman" w:hAnsi="Times New Roman"/>
          <w:sz w:val="20"/>
        </w:rPr>
        <w:t xml:space="preserve">4 nAChRs, the most widely expressed subtypes in the mammalian nervous system. Epibatidine has potent analgesic properties. However, it is associated with toxic side effects that have precluded its development. ABT-594, an investigational third-party pan-nAChR agonist, demonstrated significant improvements in patients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diabetic neuropathic pain in a Phase 2 randomized placebo-controlled study, but up to 66 percent of patients withdrew from the trial due to AEs such as nausea, dizziness, vomiting, abnormal dreams and asthenia (weakness or lack of energy). Following these results, further development of ABT-594 was discontinued. There are currently no approved drugs for pain that specifically target nAChRs. </w:t>
      </w:r>
    </w:p>
    <w:p>
      <w:pPr>
        <w:pStyle w:val="TextBody"/>
        <w:bidi w:val="0"/>
        <w:spacing w:before="240" w:after="0"/>
        <w:jc w:val="left"/>
        <w:rPr>
          <w:rFonts w:ascii="Times New Roman" w:hAnsi="Times New Roman"/>
          <w:sz w:val="20"/>
        </w:rPr>
      </w:pPr>
      <w:r>
        <w:rPr>
          <w:rFonts w:ascii="Times New Roman" w:hAnsi="Times New Roman"/>
          <w:sz w:val="20"/>
        </w:rPr>
        <w:t xml:space="preserve">Third-party animal and human studies have implicated the </w:t>
      </w:r>
      <w:r>
        <w:rPr>
          <w:rFonts w:ascii="SYMBOL" w:hAnsi="SYMBOL"/>
          <w:sz w:val="20"/>
        </w:rPr>
        <w:t>a</w:t>
      </w:r>
      <w:r>
        <w:rPr>
          <w:rFonts w:ascii="Times New Roman" w:hAnsi="Times New Roman"/>
          <w:sz w:val="20"/>
        </w:rPr>
        <w:t xml:space="preserve">6 nAChR as a potential target for chronic pain. This nAChR subtype is enriched in sensory neurons of dorsal root ganglia (DRG), and </w:t>
      </w:r>
      <w:r>
        <w:rPr>
          <w:rFonts w:ascii="SYMBOL" w:hAnsi="SYMBOL"/>
          <w:sz w:val="20"/>
        </w:rPr>
        <w:t>a</w:t>
      </w:r>
      <w:r>
        <w:rPr>
          <w:rFonts w:ascii="Times New Roman" w:hAnsi="Times New Roman"/>
          <w:sz w:val="20"/>
        </w:rPr>
        <w:t xml:space="preserve">6 nAChR activity is associated with reduced pain. Mouse strains with increased levels of </w:t>
      </w:r>
      <w:r>
        <w:rPr>
          <w:rFonts w:ascii="SYMBOL" w:hAnsi="SYMBOL"/>
          <w:sz w:val="20"/>
        </w:rPr>
        <w:t>a</w:t>
      </w:r>
      <w:r>
        <w:rPr>
          <w:rFonts w:ascii="Times New Roman" w:hAnsi="Times New Roman"/>
          <w:sz w:val="20"/>
        </w:rPr>
        <w:t xml:space="preserve">6 in DRG showed reduced pain in a spared nerve injury (SNI) model of neuropathic pain. Conversely, complete inactivation of the gene for </w:t>
      </w:r>
      <w:r>
        <w:rPr>
          <w:rFonts w:ascii="SYMBOL" w:hAnsi="SYMBOL"/>
          <w:sz w:val="20"/>
        </w:rPr>
        <w:t>a</w:t>
      </w:r>
      <w:r>
        <w:rPr>
          <w:rFonts w:ascii="Times New Roman" w:hAnsi="Times New Roman"/>
          <w:sz w:val="20"/>
        </w:rPr>
        <w:t xml:space="preserve">6 in mice blocked the analgesic effects of nicotinic compounds. In humans, genetic variants with reduced </w:t>
      </w:r>
      <w:r>
        <w:rPr>
          <w:rFonts w:ascii="SYMBOL" w:hAnsi="SYMBOL"/>
          <w:sz w:val="20"/>
        </w:rPr>
        <w:t>a</w:t>
      </w:r>
      <w:r>
        <w:rPr>
          <w:rFonts w:ascii="Times New Roman" w:hAnsi="Times New Roman"/>
          <w:sz w:val="20"/>
        </w:rPr>
        <w:t xml:space="preserve">6 nAChR activity showed increased levels of postoperative pain. </w:t>
      </w:r>
    </w:p>
    <w:p>
      <w:pPr>
        <w:pStyle w:val="TextBody"/>
        <w:bidi w:val="0"/>
        <w:spacing w:before="240" w:after="0"/>
        <w:jc w:val="left"/>
        <w:rPr>
          <w:rFonts w:ascii="Times New Roman" w:hAnsi="Times New Roman"/>
          <w:sz w:val="20"/>
        </w:rPr>
      </w:pPr>
      <w:r>
        <w:rPr>
          <w:rFonts w:ascii="Times New Roman" w:hAnsi="Times New Roman"/>
          <w:sz w:val="20"/>
        </w:rPr>
        <w:t xml:space="preserve">Although the potential for selective </w:t>
      </w:r>
      <w:r>
        <w:rPr>
          <w:rFonts w:ascii="SYMBOL" w:hAnsi="SYMBOL"/>
          <w:sz w:val="20"/>
        </w:rPr>
        <w:t>a</w:t>
      </w:r>
      <w:r>
        <w:rPr>
          <w:rFonts w:ascii="Times New Roman" w:hAnsi="Times New Roman"/>
          <w:sz w:val="20"/>
        </w:rPr>
        <w:t xml:space="preserve">6 agonists as a therapeutic agent for pain have been acknowledged, discovery efforts have been hampered by difficulty in establishing functional assays for </w:t>
      </w:r>
      <w:r>
        <w:rPr>
          <w:rFonts w:ascii="SYMBOL" w:hAnsi="SYMBOL"/>
          <w:sz w:val="20"/>
        </w:rPr>
        <w:t>a</w:t>
      </w:r>
      <w:r>
        <w:rPr>
          <w:rFonts w:ascii="Times New Roman" w:hAnsi="Times New Roman"/>
          <w:sz w:val="20"/>
        </w:rPr>
        <w:t xml:space="preserve">6 containing nAChRs in cell lines. Recombinant </w:t>
      </w:r>
      <w:r>
        <w:rPr>
          <w:rFonts w:ascii="SYMBOL" w:hAnsi="SYMBOL"/>
          <w:sz w:val="20"/>
        </w:rPr>
        <w:t>a</w:t>
      </w:r>
      <w:r>
        <w:rPr>
          <w:rFonts w:ascii="Times New Roman" w:hAnsi="Times New Roman"/>
          <w:sz w:val="20"/>
        </w:rPr>
        <w:t xml:space="preserve">6 does not assemble into functional multi-subunit nAChRs; therefore, its activity could not be measured in cell lines used for drug discovery. Our Chief Scientific Officer, Dr. Bredt, and his colleagues, overcame this impediment through the identification of RAPs, which serve as chaperones and auxiliary subunits that drive the assembly of functional </w:t>
      </w:r>
      <w:r>
        <w:rPr>
          <w:rFonts w:ascii="SYMBOL" w:hAnsi="SYMBOL"/>
          <w:sz w:val="20"/>
        </w:rPr>
        <w:t>a</w:t>
      </w:r>
      <w:r>
        <w:rPr>
          <w:rFonts w:ascii="Times New Roman" w:hAnsi="Times New Roman"/>
          <w:sz w:val="20"/>
        </w:rPr>
        <w:t xml:space="preserve">6-containing nAChRs. This enabled us to functionally express </w:t>
      </w:r>
      <w:r>
        <w:rPr>
          <w:rFonts w:ascii="SYMBOL" w:hAnsi="SYMBOL"/>
          <w:sz w:val="20"/>
        </w:rPr>
        <w:t>a</w:t>
      </w:r>
      <w:r>
        <w:rPr>
          <w:rFonts w:ascii="Times New Roman" w:hAnsi="Times New Roman"/>
          <w:sz w:val="20"/>
        </w:rPr>
        <w:t xml:space="preserve">6 nAChR and ultimately discover a series of </w:t>
      </w:r>
      <w:r>
        <w:rPr>
          <w:rFonts w:ascii="SYMBOL" w:hAnsi="SYMBOL"/>
          <w:sz w:val="20"/>
        </w:rPr>
        <w:t>a</w:t>
      </w:r>
      <w:r>
        <w:rPr>
          <w:rFonts w:ascii="Times New Roman" w:hAnsi="Times New Roman"/>
          <w:sz w:val="20"/>
        </w:rPr>
        <w:t xml:space="preserve">6 selective PAMs and agonists. We believe that these </w:t>
      </w:r>
      <w:r>
        <w:rPr>
          <w:rFonts w:ascii="SYMBOL" w:hAnsi="SYMBOL"/>
          <w:sz w:val="20"/>
        </w:rPr>
        <w:t>a</w:t>
      </w:r>
      <w:r>
        <w:rPr>
          <w:rFonts w:ascii="Times New Roman" w:hAnsi="Times New Roman"/>
          <w:sz w:val="20"/>
        </w:rPr>
        <w:t xml:space="preserve">6 selective nAChR PAMs and agonists have the potential to alleviate chronic pain while avoiding the AEs that have precluded human development in earlier non-selective nAChRs agonists. </w:t>
      </w:r>
    </w:p>
    <w:p>
      <w:pPr>
        <w:pStyle w:val="TextBody"/>
        <w:bidi w:val="0"/>
        <w:spacing w:before="360" w:after="0"/>
        <w:jc w:val="left"/>
        <w:rPr>
          <w:rFonts w:ascii="Times New Roman" w:hAnsi="Times New Roman"/>
          <w:i/>
          <w:sz w:val="20"/>
        </w:rPr>
      </w:pPr>
      <w:r>
        <w:rPr>
          <w:rFonts w:ascii="Times New Roman" w:hAnsi="Times New Roman"/>
          <w:i/>
          <w:sz w:val="20"/>
        </w:rPr>
        <w:t xml:space="preserve">Preclinical Validation of Our Approach </w:t>
      </w:r>
    </w:p>
    <w:p>
      <w:pPr>
        <w:pStyle w:val="TextBody"/>
        <w:bidi w:val="0"/>
        <w:spacing w:before="120" w:after="0"/>
        <w:jc w:val="left"/>
        <w:rPr>
          <w:rFonts w:ascii="Times New Roman" w:hAnsi="Times New Roman"/>
          <w:sz w:val="20"/>
        </w:rPr>
      </w:pPr>
      <w:r>
        <w:rPr>
          <w:rFonts w:ascii="Times New Roman" w:hAnsi="Times New Roman"/>
          <w:sz w:val="20"/>
        </w:rPr>
        <w:t xml:space="preserve">Based on preclinical results, we plan to advance our discovery-stage </w:t>
      </w:r>
      <w:r>
        <w:rPr>
          <w:rFonts w:ascii="SYMBOL" w:hAnsi="SYMBOL"/>
          <w:sz w:val="20"/>
        </w:rPr>
        <w:t>a</w:t>
      </w:r>
      <w:r>
        <w:rPr>
          <w:rFonts w:ascii="Times New Roman" w:hAnsi="Times New Roman"/>
          <w:sz w:val="20"/>
        </w:rPr>
        <w:t xml:space="preserve">6 nAChR program into further development. Janssen conducted high-throughput screen of cells engineered to express </w:t>
      </w:r>
      <w:r>
        <w:rPr>
          <w:rFonts w:ascii="SYMBOL" w:hAnsi="SYMBOL"/>
          <w:sz w:val="20"/>
        </w:rPr>
        <w:t>a</w:t>
      </w:r>
      <w:r>
        <w:rPr>
          <w:rFonts w:ascii="Times New Roman" w:hAnsi="Times New Roman"/>
          <w:sz w:val="20"/>
        </w:rPr>
        <w:t xml:space="preserve">6 nAChRs and identified PAMs that were selective for this nAChR subtype. These PAMs were further characterized in patch clamp assays where they were shown to be selective modulators of </w:t>
      </w:r>
      <w:r>
        <w:rPr>
          <w:rFonts w:ascii="SYMBOL" w:hAnsi="SYMBOL"/>
          <w:sz w:val="20"/>
        </w:rPr>
        <w:t>a</w:t>
      </w:r>
      <w:r>
        <w:rPr>
          <w:rFonts w:ascii="Times New Roman" w:hAnsi="Times New Roman"/>
          <w:sz w:val="20"/>
        </w:rPr>
        <w:t>6</w:t>
      </w:r>
      <w:r>
        <w:rPr>
          <w:rFonts w:ascii="SYMBOL" w:hAnsi="SYMBOL"/>
          <w:sz w:val="20"/>
        </w:rPr>
        <w:t>b</w:t>
      </w:r>
      <w:r>
        <w:rPr>
          <w:rFonts w:ascii="Times New Roman" w:hAnsi="Times New Roman"/>
          <w:sz w:val="20"/>
        </w:rPr>
        <w:t xml:space="preserve">4 compared to nAChRs that did not contain the </w:t>
      </w:r>
      <w:r>
        <w:rPr>
          <w:rFonts w:ascii="SYMBOL" w:hAnsi="SYMBOL"/>
          <w:sz w:val="20"/>
        </w:rPr>
        <w:t>a</w:t>
      </w:r>
      <w:r>
        <w:rPr>
          <w:rFonts w:ascii="Times New Roman" w:hAnsi="Times New Roman"/>
          <w:sz w:val="20"/>
        </w:rPr>
        <w:t xml:space="preserve">6 subunit, including the more ubiquitously expressed </w:t>
      </w:r>
      <w:r>
        <w:rPr>
          <w:rFonts w:ascii="SYMBOL" w:hAnsi="SYMBOL"/>
          <w:sz w:val="20"/>
        </w:rPr>
        <w:t>a</w:t>
      </w:r>
      <w:r>
        <w:rPr>
          <w:rFonts w:ascii="Times New Roman" w:hAnsi="Times New Roman"/>
          <w:sz w:val="20"/>
        </w:rPr>
        <w:t>4</w:t>
      </w:r>
      <w:r>
        <w:rPr>
          <w:rFonts w:ascii="SYMBOL" w:hAnsi="SYMBOL"/>
          <w:sz w:val="20"/>
        </w:rPr>
        <w:t>b</w:t>
      </w:r>
      <w:r>
        <w:rPr>
          <w:rFonts w:ascii="Times New Roman" w:hAnsi="Times New Roman"/>
          <w:sz w:val="20"/>
        </w:rPr>
        <w:t xml:space="preserve">2 and </w:t>
      </w:r>
      <w:r>
        <w:rPr>
          <w:rFonts w:ascii="SYMBOL" w:hAnsi="SYMBOL"/>
          <w:sz w:val="20"/>
        </w:rPr>
        <w:t>a</w:t>
      </w:r>
      <w:r>
        <w:rPr>
          <w:rFonts w:ascii="Times New Roman" w:hAnsi="Times New Roman"/>
          <w:sz w:val="20"/>
        </w:rPr>
        <w:t>3</w:t>
      </w:r>
      <w:r>
        <w:rPr>
          <w:rFonts w:ascii="SYMBOL" w:hAnsi="SYMBOL"/>
          <w:sz w:val="20"/>
        </w:rPr>
        <w:t>b</w:t>
      </w:r>
      <w:r>
        <w:rPr>
          <w:rFonts w:ascii="Times New Roman" w:hAnsi="Times New Roman"/>
          <w:sz w:val="20"/>
        </w:rPr>
        <w:t xml:space="preserve">4 nAChRs. One of these PAMs, RTX-2621, was a potent potentiator of </w:t>
      </w:r>
      <w:r>
        <w:rPr>
          <w:rFonts w:ascii="SYMBOL" w:hAnsi="SYMBOL"/>
          <w:sz w:val="20"/>
        </w:rPr>
        <w:t>a</w:t>
      </w:r>
      <w:r>
        <w:rPr>
          <w:rFonts w:ascii="Times New Roman" w:hAnsi="Times New Roman"/>
          <w:sz w:val="20"/>
        </w:rPr>
        <w:t>6</w:t>
      </w:r>
      <w:r>
        <w:rPr>
          <w:rFonts w:ascii="SYMBOL" w:hAnsi="SYMBOL"/>
          <w:sz w:val="20"/>
        </w:rPr>
        <w:t>b</w:t>
      </w:r>
      <w:r>
        <w:rPr>
          <w:rFonts w:ascii="Times New Roman" w:hAnsi="Times New Roman"/>
          <w:sz w:val="20"/>
        </w:rPr>
        <w:t xml:space="preserve">4 and had low activity on </w:t>
      </w:r>
      <w:r>
        <w:rPr>
          <w:rFonts w:ascii="SYMBOL" w:hAnsi="SYMBOL"/>
          <w:sz w:val="20"/>
        </w:rPr>
        <w:t>a</w:t>
      </w:r>
      <w:r>
        <w:rPr>
          <w:rFonts w:ascii="Times New Roman" w:hAnsi="Times New Roman"/>
          <w:sz w:val="20"/>
        </w:rPr>
        <w:t>4</w:t>
      </w:r>
      <w:r>
        <w:rPr>
          <w:rFonts w:ascii="SYMBOL" w:hAnsi="SYMBOL"/>
          <w:sz w:val="20"/>
        </w:rPr>
        <w:t>b</w:t>
      </w:r>
      <w:r>
        <w:rPr>
          <w:rFonts w:ascii="Times New Roman" w:hAnsi="Times New Roman"/>
          <w:sz w:val="20"/>
        </w:rPr>
        <w:t xml:space="preserve">2 and </w:t>
      </w:r>
      <w:r>
        <w:rPr>
          <w:rFonts w:ascii="SYMBOL" w:hAnsi="SYMBOL"/>
          <w:sz w:val="20"/>
        </w:rPr>
        <w:t>a</w:t>
      </w:r>
      <w:r>
        <w:rPr>
          <w:rFonts w:ascii="Times New Roman" w:hAnsi="Times New Roman"/>
          <w:sz w:val="20"/>
        </w:rPr>
        <w:t>3</w:t>
      </w:r>
      <w:r>
        <w:rPr>
          <w:rFonts w:ascii="SYMBOL" w:hAnsi="SYMBOL"/>
          <w:sz w:val="20"/>
        </w:rPr>
        <w:t>b</w:t>
      </w:r>
      <w:r>
        <w:rPr>
          <w:rFonts w:ascii="Times New Roman" w:hAnsi="Times New Roman"/>
          <w:sz w:val="20"/>
        </w:rPr>
        <w:t xml:space="preserve">4 nAChR subtypes. </w:t>
      </w:r>
    </w:p>
    <w:p>
      <w:pPr>
        <w:pStyle w:val="TextBody"/>
        <w:bidi w:val="0"/>
        <w:spacing w:before="240" w:after="0"/>
        <w:jc w:val="left"/>
        <w:rPr>
          <w:rFonts w:ascii="Times New Roman" w:hAnsi="Times New Roman"/>
          <w:sz w:val="20"/>
        </w:rPr>
      </w:pPr>
      <w:r>
        <w:rPr>
          <w:rFonts w:ascii="Times New Roman" w:hAnsi="Times New Roman"/>
          <w:sz w:val="20"/>
        </w:rPr>
        <w:t xml:space="preserve">We tested RTX-2621 in the rat SNI model for neuropathic pain. In this model, damage to the sciatic nerve results in hypersensitivity of the rat paw to stimuli. This is generally recognized to be a robust model of neuropathic pain, as it replicates many of the neuronal signaling changes and physiological responses observed in humans. It was observed that treatment with RTX-2621 mitigated this hypersensitivity. We believe this demonstrates the potential for </w:t>
      </w:r>
      <w:r>
        <w:rPr>
          <w:rFonts w:ascii="SYMBOL" w:hAnsi="SYMBOL"/>
          <w:sz w:val="20"/>
        </w:rPr>
        <w:t>a</w:t>
      </w:r>
      <w:r>
        <w:rPr>
          <w:rFonts w:ascii="Times New Roman" w:hAnsi="Times New Roman"/>
          <w:sz w:val="20"/>
        </w:rPr>
        <w:t xml:space="preserve">6 to be a therapeutic target in chronic pain. </w:t>
      </w:r>
    </w:p>
    <w:p>
      <w:pPr>
        <w:pStyle w:val="TextBody"/>
        <w:bidi w:val="0"/>
        <w:spacing w:before="360" w:after="0"/>
        <w:jc w:val="left"/>
        <w:rPr>
          <w:rFonts w:ascii="Times New Roman" w:hAnsi="Times New Roman"/>
          <w:sz w:val="20"/>
        </w:rPr>
      </w:pPr>
      <w:r>
        <w:rPr>
          <w:rFonts w:ascii="Times New Roman" w:hAnsi="Times New Roman"/>
          <w:b/>
          <w:i/>
          <w:sz w:val="20"/>
        </w:rPr>
        <w:t xml:space="preserve">Our </w:t>
      </w:r>
      <w:r>
        <w:rPr>
          <w:rFonts w:ascii="SYMBOL" w:hAnsi="SYMBOL"/>
          <w:sz w:val="20"/>
        </w:rPr>
        <w:t>a</w:t>
      </w:r>
      <w:r>
        <w:rPr>
          <w:rFonts w:ascii="Times New Roman" w:hAnsi="Times New Roman"/>
          <w:b/>
          <w:i/>
          <w:sz w:val="20"/>
        </w:rPr>
        <w:t>9</w:t>
      </w:r>
      <w:r>
        <w:rPr>
          <w:rFonts w:ascii="SYMBOL" w:hAnsi="SYMBOL"/>
          <w:sz w:val="20"/>
        </w:rPr>
        <w:t>a</w:t>
      </w:r>
      <w:r>
        <w:rPr>
          <w:rFonts w:ascii="Times New Roman" w:hAnsi="Times New Roman"/>
          <w:b/>
          <w:i/>
          <w:sz w:val="20"/>
        </w:rPr>
        <w:t xml:space="preserve">10 nAChR Program </w:t>
      </w:r>
    </w:p>
    <w:p>
      <w:pPr>
        <w:pStyle w:val="TextBody"/>
        <w:bidi w:val="0"/>
        <w:spacing w:before="120" w:after="0"/>
        <w:jc w:val="left"/>
        <w:rPr>
          <w:rFonts w:ascii="Times New Roman" w:hAnsi="Times New Roman"/>
          <w:sz w:val="20"/>
        </w:rPr>
      </w:pPr>
      <w:r>
        <w:rPr>
          <w:rFonts w:ascii="Times New Roman" w:hAnsi="Times New Roman"/>
          <w:sz w:val="20"/>
        </w:rPr>
        <w:t xml:space="preserve">Another program of our interest involves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We are developing an agonist to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for the treatment of hearing disorders, which may include age-related hearing loss, acoustic trauma and tinnitus, as well as vestibular disorders. Third-party genetic studies in mice have shown that augmenting the </w:t>
      </w:r>
      <w:r>
        <w:rPr>
          <w:rFonts w:ascii="SYMBOL" w:hAnsi="SYMBOL"/>
          <w:sz w:val="20"/>
        </w:rPr>
        <w:t>a</w:t>
      </w:r>
      <w:r>
        <w:rPr>
          <w:rFonts w:ascii="Times New Roman" w:hAnsi="Times New Roman"/>
          <w:sz w:val="20"/>
        </w:rPr>
        <w:t xml:space="preserve">9 nAChR pathway can help prevent hearing loss associated with aging, acoustic trauma and vestibular disorders. Despite this genetic validation, discovery of selective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agonists has been challenging because recombinant nAChRs containing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in cell lines fail to create a functional receptor, as observed with the </w:t>
      </w:r>
      <w:r>
        <w:rPr>
          <w:rFonts w:ascii="SYMBOL" w:hAnsi="SYMBOL"/>
          <w:sz w:val="20"/>
        </w:rPr>
        <w:t>a</w:t>
      </w:r>
      <w:r>
        <w:rPr>
          <w:rFonts w:ascii="Times New Roman" w:hAnsi="Times New Roman"/>
          <w:sz w:val="20"/>
        </w:rPr>
        <w:t xml:space="preserve">6 nAChRs. Our ability to identify agonists that are selective for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was made possible by the application of our RAP platform technology. We are currently developing an oral therapeutic targeting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which we believe has a high potential target for the treatment of hearing disorders. We also believe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is a potential target for the treatment of vestibular disorders, and we may develop an oral product candidate for this indication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Background to Hearing Disorders </w:t>
      </w:r>
    </w:p>
    <w:p>
      <w:pPr>
        <w:pStyle w:val="TextBody"/>
        <w:bidi w:val="0"/>
        <w:spacing w:before="120" w:after="0"/>
        <w:jc w:val="left"/>
        <w:rPr>
          <w:rFonts w:ascii="Times New Roman" w:hAnsi="Times New Roman"/>
          <w:sz w:val="20"/>
        </w:rPr>
      </w:pPr>
      <w:r>
        <w:rPr>
          <w:rFonts w:ascii="Times New Roman" w:hAnsi="Times New Roman"/>
          <w:sz w:val="20"/>
        </w:rPr>
        <w:t xml:space="preserve">Hearing disorders impact a large percentage of the population. For example, approximately one third of people aged 65 to 74 and nearly half aged 75 and older have age-related hearing loss. Acoustic trauma effects approximately five percent of the global population, and surveys estimate that 10 to 25 percent of adults in the United States have tinnitus. Many hearing disorder patients start their treatment by using a hearing aid, with cochlear implantation given to the most severely affected patients. Despite this high prevalence, there are few pharmacotherapeutic treatments to prevent or reverse hearing disorders. </w:t>
      </w:r>
    </w:p>
    <w:p>
      <w:pPr>
        <w:pStyle w:val="TextBody"/>
        <w:bidi w:val="0"/>
        <w:spacing w:before="360" w:after="0"/>
        <w:jc w:val="left"/>
        <w:rPr>
          <w:rFonts w:ascii="Times New Roman" w:hAnsi="Times New Roman"/>
          <w:sz w:val="20"/>
        </w:rPr>
      </w:pPr>
      <w:r>
        <w:rPr>
          <w:rFonts w:ascii="SYMBOL" w:hAnsi="SYMBOL"/>
          <w:sz w:val="20"/>
        </w:rPr>
        <w:t>a</w:t>
      </w:r>
      <w:r>
        <w:rPr>
          <w:rFonts w:ascii="Times New Roman" w:hAnsi="Times New Roman"/>
          <w:i/>
          <w:sz w:val="20"/>
        </w:rPr>
        <w:t>9</w:t>
      </w:r>
      <w:r>
        <w:rPr>
          <w:rFonts w:ascii="SYMBOL" w:hAnsi="SYMBOL"/>
          <w:sz w:val="20"/>
        </w:rPr>
        <w:t>a</w:t>
      </w:r>
      <w:r>
        <w:rPr>
          <w:rFonts w:ascii="Times New Roman" w:hAnsi="Times New Roman"/>
          <w:i/>
          <w:sz w:val="20"/>
        </w:rPr>
        <w:t xml:space="preserve">10 nAChR as a Potential Target for the Treatment of Hearing Disorders </w:t>
      </w:r>
    </w:p>
    <w:p>
      <w:pPr>
        <w:pStyle w:val="TextBody"/>
        <w:bidi w:val="0"/>
        <w:spacing w:before="120" w:after="0"/>
        <w:jc w:val="left"/>
        <w:rPr>
          <w:rFonts w:ascii="Times New Roman" w:hAnsi="Times New Roman"/>
          <w:sz w:val="20"/>
        </w:rPr>
      </w:pPr>
      <w:r>
        <w:rPr>
          <w:rFonts w:ascii="Times New Roman" w:hAnsi="Times New Roman"/>
          <w:sz w:val="20"/>
        </w:rPr>
        <w:t xml:space="preserve">In the inner ear, the cochlea converts mechanical sound vibrations into nerve signals, which are transmitted to the brain. Sound vibrations are detected by a combination of outer hair cells, which amplify sound, and inner hair cells (IHCs), which receive the amplified sound signals. The IHCs, in turn, translate the incoming signals into release of neurotransmitters, which traverse the synapse to stimulate neurons that send electrochemical signals to the brain. One of the key receptors in this process is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which is highly enriched in cochlear hair cells. </w:t>
      </w:r>
    </w:p>
    <w:p>
      <w:pPr>
        <w:pStyle w:val="TextBody"/>
        <w:bidi w:val="0"/>
        <w:spacing w:before="240" w:after="0"/>
        <w:jc w:val="left"/>
        <w:rPr>
          <w:rFonts w:ascii="Times New Roman" w:hAnsi="Times New Roman"/>
          <w:sz w:val="20"/>
        </w:rPr>
      </w:pPr>
      <w:r>
        <w:rPr>
          <w:rFonts w:ascii="Times New Roman" w:hAnsi="Times New Roman"/>
          <w:sz w:val="20"/>
        </w:rPr>
        <w:t xml:space="preserve">The role of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in hearing loss has been demonstrated by third-party genetic experiments. Gain and loss of function mutations to the gene encoding </w:t>
      </w:r>
      <w:r>
        <w:rPr>
          <w:rFonts w:ascii="SYMBOL" w:hAnsi="SYMBOL"/>
          <w:sz w:val="20"/>
        </w:rPr>
        <w:t>a</w:t>
      </w:r>
      <w:r>
        <w:rPr>
          <w:rFonts w:ascii="Times New Roman" w:hAnsi="Times New Roman"/>
          <w:sz w:val="20"/>
        </w:rPr>
        <w:t xml:space="preserve">9 demonstrated its role in experimentally induced hearing loss. In these experiments, the thresholds to elicit auditory brain stem responses (ABR) to various frequencies of sound were found to be elevated one day after auditory trauma, consistent with hearing loss. In wild-type mice, this effect of auditory trauma was temporary and after seven days, the ABR profile was similar to that observed prior to the insult. In mice with a null mutation of the gene encoding </w:t>
      </w:r>
      <w:r>
        <w:rPr>
          <w:rFonts w:ascii="SYMBOL" w:hAnsi="SYMBOL"/>
          <w:sz w:val="20"/>
        </w:rPr>
        <w:t>a</w:t>
      </w:r>
      <w:r>
        <w:rPr>
          <w:rFonts w:ascii="Times New Roman" w:hAnsi="Times New Roman"/>
          <w:sz w:val="20"/>
        </w:rPr>
        <w:t xml:space="preserve">9, the ABR threshold was increased at day one, and this increase persisted at day seven, demonstrating increased vulnerability to hearing loss. By contrast, mice with a gain-of-function mutation in the gene for </w:t>
      </w:r>
      <w:r>
        <w:rPr>
          <w:rFonts w:ascii="SYMBOL" w:hAnsi="SYMBOL"/>
          <w:sz w:val="20"/>
        </w:rPr>
        <w:t>a</w:t>
      </w:r>
      <w:r>
        <w:rPr>
          <w:rFonts w:ascii="Times New Roman" w:hAnsi="Times New Roman"/>
          <w:sz w:val="20"/>
        </w:rPr>
        <w:t xml:space="preserve">9 were protected from any significant change in ABR on either day one or day seven.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 selective agonist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may help treat hearing disorders while avoiding many of the side effects that have limited the clinical application of other nAChR modulators. </w:t>
      </w:r>
    </w:p>
    <w:p>
      <w:pPr>
        <w:pStyle w:val="TextBody"/>
        <w:bidi w:val="0"/>
        <w:spacing w:before="360" w:after="0"/>
        <w:jc w:val="left"/>
        <w:rPr>
          <w:rFonts w:ascii="Times New Roman" w:hAnsi="Times New Roman"/>
          <w:i/>
          <w:sz w:val="20"/>
        </w:rPr>
      </w:pPr>
      <w:r>
        <w:rPr>
          <w:rFonts w:ascii="Times New Roman" w:hAnsi="Times New Roman"/>
          <w:i/>
          <w:sz w:val="20"/>
        </w:rPr>
        <w:t xml:space="preserve">Preclinical Validation of Our Approach </w:t>
      </w:r>
    </w:p>
    <w:p>
      <w:pPr>
        <w:pStyle w:val="TextBody"/>
        <w:bidi w:val="0"/>
        <w:spacing w:before="120" w:after="0"/>
        <w:jc w:val="left"/>
        <w:rPr>
          <w:rFonts w:ascii="Times New Roman" w:hAnsi="Times New Roman"/>
          <w:sz w:val="20"/>
        </w:rPr>
      </w:pPr>
      <w:r>
        <w:rPr>
          <w:rFonts w:ascii="Times New Roman" w:hAnsi="Times New Roman"/>
          <w:i/>
          <w:sz w:val="20"/>
        </w:rPr>
        <w:t>In vitro</w:t>
      </w:r>
      <w:r>
        <w:rPr>
          <w:rFonts w:ascii="Times New Roman" w:hAnsi="Times New Roman"/>
          <w:sz w:val="20"/>
        </w:rPr>
        <w:t xml:space="preserve"> studies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physiology have been challenging because this receptor could not be functionally expressed in recombinant cell lines in the absence of it RAPs. Through a genome-wide screen using our discovery platform, RAPs that drive the assembly of functional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nAChRs were identified by Janssen. Expression of these RAPs along with the </w:t>
      </w:r>
      <w:r>
        <w:rPr>
          <w:rFonts w:ascii="SYMBOL" w:hAnsi="SYMBOL"/>
          <w:sz w:val="20"/>
        </w:rPr>
        <w:t>a</w:t>
      </w:r>
      <w:r>
        <w:rPr>
          <w:rFonts w:ascii="Times New Roman" w:hAnsi="Times New Roman"/>
          <w:sz w:val="20"/>
        </w:rPr>
        <w:t xml:space="preserve">9 and </w:t>
      </w:r>
      <w:r>
        <w:rPr>
          <w:rFonts w:ascii="SYMBOL" w:hAnsi="SYMBOL"/>
          <w:sz w:val="20"/>
        </w:rPr>
        <w:t>a</w:t>
      </w:r>
      <w:r>
        <w:rPr>
          <w:rFonts w:ascii="Times New Roman" w:hAnsi="Times New Roman"/>
          <w:sz w:val="20"/>
        </w:rPr>
        <w:t xml:space="preserve">10 subunits enabled functional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expression in cell lines that we believe are suitable for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Janssen conducted a high throughput screen of cells engineered to express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nAChR and identified a number of small molecule agonists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Through our medicinal chemistry efforts,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agonists with low nanomolar potency, inner ear penetration and high selectivity against other nAChR family members have been identified and are being optimized. The use of these orally administered molecules in physiological hearing models may demonstrate the potential of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agonists to address hearing disorders.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Supply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and currently have no plans to establish, any manufacturing facilities. We have engaged, and expect to continue to rely on, well-established third-party contract manufacturing organizations (CMOs) to supply our product candidates for use in our preclinical studies and clinical trials. Because we rely on contract manufacturers, we employ personnel with extensive technical, manufacturing, analytical, and quality experience to oversee contract manufacturing and testing activities, and to compile manufacturing and quality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for our regulatory submissions. We believe our current manufacturers have the scale, systems, and experience to supply our currently planned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intend to rely on third-party CMOs for later-stage development and commercial manufacturing, if our product candidates receive marketing approval. As our lead product candidates advance through clinical development, we expect to enter into longer-term commercial supply agreements to fulfill and secure our production needs. While the drug substances used in our product candidates are manufactured by more than one supplier, the number of manufacturers is limited. In the event it is necessary or advisable to acquire supplies from an alternative supplier, we might not be able to obtain them on commercially reasonable terms, if at all. It could also require significant time and expense to redesign our manufacturing processes to work with another company. If we need to change manufacturers during the clinical or development stage for product candidates or after commercialization for our product candidates, if approved, the FDA and corresponding foreign regulatory agencies must approve these new manufacturers in advance, which will involve testing and additional inspections to ensure compliance with FDA regulations and standards and may require significant lead times and delay. </w:t>
      </w:r>
    </w:p>
    <w:p>
      <w:pPr>
        <w:pStyle w:val="TextBody"/>
        <w:bidi w:val="0"/>
        <w:spacing w:before="240" w:after="0"/>
        <w:jc w:val="left"/>
        <w:rPr>
          <w:rFonts w:ascii="Times New Roman" w:hAnsi="Times New Roman"/>
          <w:sz w:val="20"/>
        </w:rPr>
      </w:pPr>
      <w:r>
        <w:rPr>
          <w:rFonts w:ascii="Times New Roman" w:hAnsi="Times New Roman"/>
          <w:sz w:val="20"/>
        </w:rPr>
        <w:t xml:space="preserve">To adequately meet our projected commercial manufacturing needs, our CMOs will need to scale-up production, or we will need to secure additional suppliers. Processes for producing drug substances and drug product for commercial supply are currently being developed, with the goal of achieving reliable, reproducible, and cost-effective production. We believe the drug substance and drug product processes for our current product candidates can be appropriately scaled.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rapidly advancing technologies, intense competition and a strong emphasis on proprietary products. While we believe our product candidates, platform, knowledge, experience and scientific personnel provide us with competitive advantages, we face potential competition from many different sources, including large and small pharmaceutical and biotechnology companies, academic institutions and governmental agencies as well as public and private research institutions. Any product candidates that we successfully develop and commercialize, including RAP-219, may compete with existing therapies and new therapies that may become available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have significantly greater financial resources, established presence in the market, expertise in research and development, manufacturing, preclinical and clinical testing, obtaining regulatory approvals and reimbursement and marketing approved products than we do. Mergers and acquisitions in the biotechnology and pharmaceutical industries may result in even more resources being concentrated among a smaller number of competitors.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The key competitive factors affecting the success of RAP-219, and any other product candidates that we develop to address focal epilepsy and other CNS disorders, if approved, are likely to be efficacy, safety, convenience, price, the level of generic competition and the availability of reimbursement from government and other third-party payors.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Focal Epilepsy </w:t>
      </w:r>
    </w:p>
    <w:p>
      <w:pPr>
        <w:pStyle w:val="TextBody"/>
        <w:bidi w:val="0"/>
        <w:spacing w:before="120" w:after="0"/>
        <w:jc w:val="left"/>
        <w:rPr>
          <w:rFonts w:ascii="Times New Roman" w:hAnsi="Times New Roman"/>
          <w:sz w:val="20"/>
        </w:rPr>
      </w:pPr>
      <w:r>
        <w:rPr>
          <w:rFonts w:ascii="Times New Roman" w:hAnsi="Times New Roman"/>
          <w:sz w:val="20"/>
        </w:rPr>
        <w:t xml:space="preserve">In the field of focal epilepsy, we face competition from a variety of currently marketed therapies such as generic anticonvulsants, ASMs, sodium channel modulators and benzodiazepines, as well as surgical options such as deep brain stimulation like the RNS system in patients who have failed polypharmacy. RAP-219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face competition from a variety of ASMs, including currently marketed therapies such as XCOPRI (cenobamate), which was developed by SK Life Science Inc. and approved by the FDA in November 2019 and FYCOMPA (perampanel), which was developed by Eisai Co. Ltd. and approved by the FDA in 2012. Our competition for RAP-219 may also include therapies in clinical development, such as XEN1101 being developed by Xenon Pharmaceuticals Inc., BHV-7000 being developed by Biohaven Ltd. (Biohaven), PRAX-628 being developed by Praxis Precision Medicines, Inc., darigabet being developed by Cerevel Therapeutics Holdings, Inc., ES-481 being developed by ES Therapeutics Australia Pty Ltd., SPN-817 being developed by Supernus Pharmaceuticals, Inc. and ADX71149 being developed by Addex Therapeutics Ltd. in partnership with Janssen Pharmaceuticals,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Peripheral Neuropathic Pain </w:t>
      </w:r>
    </w:p>
    <w:p>
      <w:pPr>
        <w:pStyle w:val="TextBody"/>
        <w:bidi w:val="0"/>
        <w:spacing w:before="120" w:after="0"/>
        <w:jc w:val="left"/>
        <w:rPr>
          <w:rFonts w:ascii="Times New Roman" w:hAnsi="Times New Roman"/>
          <w:sz w:val="20"/>
        </w:rPr>
      </w:pPr>
      <w:r>
        <w:rPr>
          <w:rFonts w:ascii="Times New Roman" w:hAnsi="Times New Roman"/>
          <w:sz w:val="20"/>
        </w:rPr>
        <w:t xml:space="preserve">In the field of peripheral neuropathic pain, our principal competition is from existing therapies, which include antidepressants (e.g., duloxetine, venlafaxine, amitriptyline and other tricyclic drugs), gabapentinoids (e.g., gabapentin, pregabalin), or opioids (e.g., tapentadol hydrochloride). We are also aware that various therapies are used off-label to treat peripheral neuropathic pain. Our competition may also include other programs in clinical development for the treatment of peripheral neuropathic pain, such as VX-548 being developed by Vertex, Inc., LX9211 being developed by Lexicon Pharmaceuticals, Inc. and BHV-2100 being developed by Biohaven. </w:t>
      </w:r>
    </w:p>
    <w:p>
      <w:pPr>
        <w:pStyle w:val="TextBody"/>
        <w:bidi w:val="0"/>
        <w:spacing w:before="360" w:after="0"/>
        <w:jc w:val="left"/>
        <w:rPr>
          <w:rFonts w:ascii="Times New Roman" w:hAnsi="Times New Roman"/>
          <w:b/>
          <w:i/>
          <w:sz w:val="20"/>
        </w:rPr>
      </w:pPr>
      <w:r>
        <w:rPr>
          <w:rFonts w:ascii="Times New Roman" w:hAnsi="Times New Roman"/>
          <w:b/>
          <w:i/>
          <w:sz w:val="20"/>
        </w:rPr>
        <w:t xml:space="preserve">Bipolar Disorder </w:t>
      </w:r>
    </w:p>
    <w:p>
      <w:pPr>
        <w:pStyle w:val="TextBody"/>
        <w:bidi w:val="0"/>
        <w:spacing w:before="120" w:after="0"/>
        <w:jc w:val="left"/>
        <w:rPr>
          <w:rFonts w:ascii="Times New Roman" w:hAnsi="Times New Roman"/>
          <w:sz w:val="20"/>
        </w:rPr>
      </w:pPr>
      <w:r>
        <w:rPr>
          <w:rFonts w:ascii="Times New Roman" w:hAnsi="Times New Roman"/>
          <w:sz w:val="20"/>
        </w:rPr>
        <w:t xml:space="preserve">In the field of bipolar disorder, RAP-219 faces competition from mood stabilizers (e.g. lithium and Lamictal) and antidepressants (e.g. selective serotonin reuptake inhibitors and serotonin and norepinephrine reuptake inhibitors). Our competition may also include other programs in clinical development for the treatment of mania in bipolar disorder, such as BHV-7000 being developed by Biohaven.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depends in part upon our ability to obtain and maintain patent and other proprietary protection for commercially important technologies, inventions and trade secrets related to our business, defend and enforce our intellectual property rights, particularly our patent rights, preserve the confidentiality of our trade secrets and operate without infringing valid and enforceable intellectual property rights of others.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for biotechnology and pharmaceutical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TARP</w:t>
      </w:r>
      <w:r>
        <w:rPr>
          <w:rFonts w:ascii="SYMBOL" w:hAnsi="SYMBOL"/>
          <w:sz w:val="20"/>
        </w:rPr>
        <w:t>g</w:t>
      </w:r>
      <w:r>
        <w:rPr>
          <w:rFonts w:ascii="Times New Roman" w:hAnsi="Times New Roman"/>
          <w:i/>
          <w:sz w:val="20"/>
        </w:rPr>
        <w:t xml:space="preserve">8 Program </w:t>
      </w:r>
    </w:p>
    <w:p>
      <w:pPr>
        <w:pStyle w:val="TextBody"/>
        <w:bidi w:val="0"/>
        <w:spacing w:before="120" w:after="0"/>
        <w:jc w:val="left"/>
        <w:rPr>
          <w:rFonts w:ascii="Times New Roman" w:hAnsi="Times New Roman"/>
          <w:sz w:val="20"/>
        </w:rPr>
      </w:pPr>
      <w:r>
        <w:rPr>
          <w:rFonts w:ascii="Times New Roman" w:hAnsi="Times New Roman"/>
          <w:sz w:val="20"/>
        </w:rPr>
        <w:t>We own six patent families directed to TARP</w:t>
      </w:r>
      <w:r>
        <w:rPr>
          <w:rFonts w:ascii="SYMBOL" w:hAnsi="SYMBOL"/>
          <w:sz w:val="20"/>
        </w:rPr>
        <w:t>g</w:t>
      </w:r>
      <w:r>
        <w:rPr>
          <w:rFonts w:ascii="Times New Roman" w:hAnsi="Times New Roman"/>
          <w:sz w:val="20"/>
        </w:rPr>
        <w:t>8 modulators. A first patent family is directed to compositions of matter of certain TARP</w:t>
      </w:r>
      <w:r>
        <w:rPr>
          <w:rFonts w:ascii="SYMBOL" w:hAnsi="SYMBOL"/>
          <w:sz w:val="20"/>
        </w:rPr>
        <w:t>g</w:t>
      </w:r>
      <w:r>
        <w:rPr>
          <w:rFonts w:ascii="Times New Roman" w:hAnsi="Times New Roman"/>
          <w:sz w:val="20"/>
        </w:rPr>
        <w:t>8 modulators, including RAP-219, and methods of use and expires in 2036, without taking a potential patent term extension into account. As of May 10, 2024, this patent family has one U.S. patent, one European patent, validated in 40 states, over 20 patents in various other foreign jurisdictions, one U.S. pending application, and over 15 applications pending in foreign jurisdictions. A second patent family is directed to compositions of matter of certain TARP</w:t>
      </w:r>
      <w:r>
        <w:rPr>
          <w:rFonts w:ascii="SYMBOL" w:hAnsi="SYMBOL"/>
          <w:sz w:val="20"/>
        </w:rPr>
        <w:t>g</w:t>
      </w:r>
      <w:r>
        <w:rPr>
          <w:rFonts w:ascii="Times New Roman" w:hAnsi="Times New Roman"/>
          <w:sz w:val="20"/>
        </w:rPr>
        <w:t>8 modulators and methods of use and expires in 2037, without taking a potential patent term extension into account. As of May 10, 2024, this patent family has one U.S. patent. A third patent family is directed to compositions of matter of certain TARP</w:t>
      </w:r>
      <w:r>
        <w:rPr>
          <w:rFonts w:ascii="SYMBOL" w:hAnsi="SYMBOL"/>
          <w:sz w:val="20"/>
        </w:rPr>
        <w:t>g</w:t>
      </w:r>
      <w:r>
        <w:rPr>
          <w:rFonts w:ascii="Times New Roman" w:hAnsi="Times New Roman"/>
          <w:sz w:val="20"/>
        </w:rPr>
        <w:t>8 modulators and methods of use and expires in 2037, without taking a potential patent term extension into account. As of May 10, 2024, this patent family has one U.S. patent, one European patent, validated in eight states, over 10 patents in various other foreign jurisdictions, and two applications pending in foreign jurisdictions. A fourth patent family is directed to compositions of matter of certain TARP</w:t>
      </w:r>
      <w:r>
        <w:rPr>
          <w:rFonts w:ascii="SYMBOL" w:hAnsi="SYMBOL"/>
          <w:sz w:val="20"/>
        </w:rPr>
        <w:t>g</w:t>
      </w:r>
      <w:r>
        <w:rPr>
          <w:rFonts w:ascii="Times New Roman" w:hAnsi="Times New Roman"/>
          <w:sz w:val="20"/>
        </w:rPr>
        <w:t>8 modulators and methods of use and expires in 2037, without taking a potential patent term extension into account. As of May 10, 2024, this patent family has one U.S. patent, one European patent, validated in six states, more than 10 patents in various other foreign jurisdictions, and three applications pending in foreign jurisdictions. A fifth patent family is directed to crystalline forms of a TARP</w:t>
      </w:r>
      <w:r>
        <w:rPr>
          <w:rFonts w:ascii="SYMBOL" w:hAnsi="SYMBOL"/>
          <w:sz w:val="20"/>
        </w:rPr>
        <w:t>g</w:t>
      </w:r>
      <w:r>
        <w:rPr>
          <w:rFonts w:ascii="Times New Roman" w:hAnsi="Times New Roman"/>
          <w:sz w:val="20"/>
        </w:rPr>
        <w:t>8 modulator and methods of use and expires in 2045, if granted, without taking a potential patent term extension into account. As of May 10, 2024, this patent family has one pending priority application. A sixth patent family is directed to methods of use and oral doses of a TARP</w:t>
      </w:r>
      <w:r>
        <w:rPr>
          <w:rFonts w:ascii="SYMBOL" w:hAnsi="SYMBOL"/>
          <w:sz w:val="20"/>
        </w:rPr>
        <w:t>g</w:t>
      </w:r>
      <w:r>
        <w:rPr>
          <w:rFonts w:ascii="Times New Roman" w:hAnsi="Times New Roman"/>
          <w:sz w:val="20"/>
        </w:rPr>
        <w:t xml:space="preserve">8 modulator and expires in 2045, if granted, without taking a potential patent term extension into account. </w:t>
      </w:r>
    </w:p>
    <w:p>
      <w:pPr>
        <w:pStyle w:val="TextBody"/>
        <w:bidi w:val="0"/>
        <w:spacing w:before="360" w:after="0"/>
        <w:jc w:val="left"/>
        <w:rPr>
          <w:rFonts w:ascii="Times New Roman" w:hAnsi="Times New Roman"/>
          <w:i/>
          <w:sz w:val="20"/>
        </w:rPr>
      </w:pPr>
      <w:r>
        <w:rPr>
          <w:rFonts w:ascii="Times New Roman" w:hAnsi="Times New Roman"/>
          <w:i/>
          <w:sz w:val="20"/>
        </w:rPr>
        <w:t xml:space="preserve">nAChR Program </w:t>
      </w:r>
    </w:p>
    <w:p>
      <w:pPr>
        <w:pStyle w:val="TextBody"/>
        <w:bidi w:val="0"/>
        <w:spacing w:before="120" w:after="0"/>
        <w:jc w:val="left"/>
        <w:rPr>
          <w:rFonts w:ascii="Times New Roman" w:hAnsi="Times New Roman"/>
          <w:sz w:val="20"/>
        </w:rPr>
      </w:pPr>
      <w:r>
        <w:rPr>
          <w:rFonts w:ascii="Times New Roman" w:hAnsi="Times New Roman"/>
          <w:sz w:val="20"/>
        </w:rPr>
        <w:t xml:space="preserve">We have non-exclusively in-licensed from Janssen Pharmaceutica NV three patent families directed to recombinant cells for the expression of nACh receptors. A first patent family is directed to expression systems for the </w:t>
      </w:r>
      <w:r>
        <w:rPr>
          <w:rFonts w:ascii="SYMBOL" w:hAnsi="SYMBOL"/>
          <w:sz w:val="20"/>
        </w:rPr>
        <w:t>a</w:t>
      </w:r>
      <w:r>
        <w:rPr>
          <w:rFonts w:ascii="Times New Roman" w:hAnsi="Times New Roman"/>
          <w:sz w:val="20"/>
        </w:rPr>
        <w:t>9</w:t>
      </w:r>
      <w:r>
        <w:rPr>
          <w:rFonts w:ascii="SYMBOL" w:hAnsi="SYMBOL"/>
          <w:sz w:val="20"/>
        </w:rPr>
        <w:t>a</w:t>
      </w:r>
      <w:r>
        <w:rPr>
          <w:rFonts w:ascii="Times New Roman" w:hAnsi="Times New Roman"/>
          <w:sz w:val="20"/>
        </w:rPr>
        <w:t xml:space="preserve">10 nicotinic acetylcholine receptor and methods of use and expires in 2040, without taking a potential patent term extension into account. As of May 10, 2024, this patent family has one U.S. pending application and three applications pending in foreign jurisdictions. A second patent family is directed to expression systems for the </w:t>
      </w:r>
      <w:r>
        <w:rPr>
          <w:rFonts w:ascii="SYMBOL" w:hAnsi="SYMBOL"/>
          <w:sz w:val="20"/>
        </w:rPr>
        <w:t>a</w:t>
      </w:r>
      <w:r>
        <w:rPr>
          <w:rFonts w:ascii="Times New Roman" w:hAnsi="Times New Roman"/>
          <w:sz w:val="20"/>
        </w:rPr>
        <w:t>2</w:t>
      </w:r>
      <w:r>
        <w:rPr>
          <w:rFonts w:ascii="SYMBOL" w:hAnsi="SYMBOL"/>
          <w:sz w:val="20"/>
        </w:rPr>
        <w:t>a</w:t>
      </w:r>
      <w:r>
        <w:rPr>
          <w:rFonts w:ascii="Times New Roman" w:hAnsi="Times New Roman"/>
          <w:sz w:val="20"/>
        </w:rPr>
        <w:t>5</w:t>
      </w:r>
      <w:r>
        <w:rPr>
          <w:rFonts w:ascii="SYMBOL" w:hAnsi="SYMBOL"/>
          <w:sz w:val="20"/>
        </w:rPr>
        <w:t>b</w:t>
      </w:r>
      <w:r>
        <w:rPr>
          <w:rFonts w:ascii="Times New Roman" w:hAnsi="Times New Roman"/>
          <w:sz w:val="20"/>
        </w:rPr>
        <w:t xml:space="preserve">2 nicotinic acetylcholine receptor and methods of use and expires in 2042, if granted, without taking a potential patent term extension into account. As of May 10, 2024, this patent family has one U.S. pending application and multiple applications in foreign jurisdictions. A third patent family is directed to </w:t>
      </w:r>
      <w:r>
        <w:rPr>
          <w:rFonts w:ascii="SYMBOL" w:hAnsi="SYMBOL"/>
          <w:sz w:val="20"/>
        </w:rPr>
        <w:t>a</w:t>
      </w:r>
      <w:r>
        <w:rPr>
          <w:rFonts w:ascii="Times New Roman" w:hAnsi="Times New Roman"/>
          <w:sz w:val="20"/>
        </w:rPr>
        <w:t>6</w:t>
      </w:r>
      <w:r>
        <w:rPr>
          <w:rFonts w:ascii="SYMBOL" w:hAnsi="SYMBOL"/>
          <w:sz w:val="20"/>
        </w:rPr>
        <w:t>b</w:t>
      </w:r>
      <w:r>
        <w:rPr>
          <w:rFonts w:ascii="Times New Roman" w:hAnsi="Times New Roman"/>
          <w:sz w:val="20"/>
        </w:rPr>
        <w:t xml:space="preserve">4 nicotinic acetylcholine receptor and methods of use and expires in 2042, if granted, without taking a potential patent term extension into account. As of May 10, 2024, this patent family has one U.S. pending application and multiple applications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term of individual patents depends upon the legal term of the patents in the countries in which they are obtained. In most countries in which we file, the patent term is 20 years from the earliest date of filing a non-provisional patent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trade secrets, and other proprietary information. </w:t>
      </w:r>
    </w:p>
    <w:p>
      <w:pPr>
        <w:pStyle w:val="TextBody"/>
        <w:bidi w:val="0"/>
        <w:spacing w:before="240" w:after="0"/>
        <w:jc w:val="left"/>
        <w:rPr>
          <w:rFonts w:ascii="Times New Roman" w:hAnsi="Times New Roman"/>
          <w:sz w:val="20"/>
        </w:rPr>
      </w:pPr>
      <w:r>
        <w:rPr>
          <w:rFonts w:ascii="Times New Roman" w:hAnsi="Times New Roman"/>
          <w:sz w:val="20"/>
        </w:rPr>
        <w:t>In addition, we plan to rely on regulatory protection based on orphan drug exclusivities, data exclusivities, and market exclusivities. See the section titled </w:t>
      </w:r>
      <w:r>
        <w:rPr>
          <w:rFonts w:ascii="Times New Roman" w:hAnsi="Times New Roman"/>
          <w:i/>
          <w:sz w:val="20"/>
        </w:rPr>
        <w:t>Government Regulation</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Option and License Agreement with Janssen Pharmaceutica NV </w:t>
      </w:r>
    </w:p>
    <w:p>
      <w:pPr>
        <w:pStyle w:val="TextBody"/>
        <w:bidi w:val="0"/>
        <w:spacing w:before="120" w:after="0"/>
        <w:jc w:val="left"/>
        <w:rPr>
          <w:rFonts w:ascii="Times New Roman" w:hAnsi="Times New Roman"/>
          <w:sz w:val="20"/>
        </w:rPr>
      </w:pPr>
      <w:r>
        <w:rPr>
          <w:rFonts w:ascii="Times New Roman" w:hAnsi="Times New Roman"/>
          <w:sz w:val="20"/>
        </w:rPr>
        <w:t>In August 2022, we entered into the Janssen License, as amended on April 3, 2023, April 18, 2023, May 2, 2023, October 2, 2023 and April 9, 2024, under which we received an exclusive option to obtain from Janssen (a) a worldwide exclusive license for the research, development, and commercialization of transmembrane TARP</w:t>
      </w:r>
      <w:r>
        <w:rPr>
          <w:rFonts w:ascii="SYMBOL" w:hAnsi="SYMBOL"/>
          <w:sz w:val="20"/>
        </w:rPr>
        <w:t>g</w:t>
      </w:r>
      <w:r>
        <w:rPr>
          <w:rFonts w:ascii="Times New Roman" w:hAnsi="Times New Roman"/>
          <w:sz w:val="20"/>
        </w:rPr>
        <w:t>8 AMPAR products for the diagnosis, treatment, prophylaxis or palliation of any disease or condition in humans or other animals (the Field) and (b) an assignment of certain patents related to TARP</w:t>
      </w:r>
      <w:r>
        <w:rPr>
          <w:rFonts w:ascii="SYMBOL" w:hAnsi="SYMBOL"/>
          <w:sz w:val="20"/>
        </w:rPr>
        <w:t>g</w:t>
      </w:r>
      <w:r>
        <w:rPr>
          <w:rFonts w:ascii="Times New Roman" w:hAnsi="Times New Roman"/>
          <w:sz w:val="20"/>
        </w:rPr>
        <w:t xml:space="preserve">8, in each case of (a)-(b), subject to certain retained rights by Janssen. Pursuant to the Janssen License, we also received a worldwide, royalty-free, non-exclusive license (exclusive under certain joint patents) for the research, development, and commercialization of certain neuronal nicotinic acetylcholine (nACh) products in the Field. </w:t>
      </w:r>
    </w:p>
    <w:p>
      <w:pPr>
        <w:pStyle w:val="TextBody"/>
        <w:bidi w:val="0"/>
        <w:spacing w:before="240" w:after="0"/>
        <w:jc w:val="left"/>
        <w:rPr>
          <w:rFonts w:ascii="Times New Roman" w:hAnsi="Times New Roman"/>
          <w:sz w:val="20"/>
        </w:rPr>
      </w:pPr>
      <w:r>
        <w:rPr>
          <w:rFonts w:ascii="Times New Roman" w:hAnsi="Times New Roman"/>
          <w:sz w:val="20"/>
        </w:rPr>
        <w:t>We made a non-refundable, non-creditable upfront payment of $1.0 million to Janssen after we entered into the Janssen License. In October 2022, we exercised the option and paid a non-refundable, non-creditable option fee of $4.0 million to Janssen. If we succeed in developing and commercializing TARP</w:t>
      </w:r>
      <w:r>
        <w:rPr>
          <w:rFonts w:ascii="SYMBOL" w:hAnsi="SYMBOL"/>
          <w:sz w:val="20"/>
        </w:rPr>
        <w:t>g</w:t>
      </w:r>
      <w:r>
        <w:rPr>
          <w:rFonts w:ascii="Times New Roman" w:hAnsi="Times New Roman"/>
          <w:sz w:val="20"/>
        </w:rPr>
        <w:t>8 products, Janssen will be eligible to receive (i) up to $76.0 million in development milestone payments and up to $40.0 million sales milestone payments for the product containing the lead TARP</w:t>
      </w:r>
      <w:r>
        <w:rPr>
          <w:rFonts w:ascii="SYMBOL" w:hAnsi="SYMBOL"/>
          <w:sz w:val="20"/>
        </w:rPr>
        <w:t>g</w:t>
      </w:r>
      <w:r>
        <w:rPr>
          <w:rFonts w:ascii="Times New Roman" w:hAnsi="Times New Roman"/>
          <w:sz w:val="20"/>
        </w:rPr>
        <w:t>8 development candidate, and (ii) up to $25.0 million in development milestone payments and up to $42.0 million sales milestone payments for other TARP</w:t>
      </w:r>
      <w:r>
        <w:rPr>
          <w:rFonts w:ascii="SYMBOL" w:hAnsi="SYMBOL"/>
          <w:sz w:val="20"/>
        </w:rPr>
        <w:t>g</w:t>
      </w:r>
      <w:r>
        <w:rPr>
          <w:rFonts w:ascii="Times New Roman" w:hAnsi="Times New Roman"/>
          <w:sz w:val="20"/>
        </w:rPr>
        <w:t>8 products containing a non-lead TARP</w:t>
      </w:r>
      <w:r>
        <w:rPr>
          <w:rFonts w:ascii="SYMBOL" w:hAnsi="SYMBOL"/>
          <w:sz w:val="20"/>
        </w:rPr>
        <w:t>g</w:t>
      </w:r>
      <w:r>
        <w:rPr>
          <w:rFonts w:ascii="Times New Roman" w:hAnsi="Times New Roman"/>
          <w:sz w:val="20"/>
        </w:rPr>
        <w:t xml:space="preserve">8 development candidate. </w:t>
      </w:r>
    </w:p>
    <w:p>
      <w:pPr>
        <w:pStyle w:val="TextBody"/>
        <w:bidi w:val="0"/>
        <w:spacing w:before="240" w:after="0"/>
        <w:jc w:val="left"/>
        <w:rPr>
          <w:rFonts w:ascii="Times New Roman" w:hAnsi="Times New Roman"/>
          <w:sz w:val="20"/>
        </w:rPr>
      </w:pPr>
      <w:r>
        <w:rPr>
          <w:rFonts w:ascii="Times New Roman" w:hAnsi="Times New Roman"/>
          <w:sz w:val="20"/>
        </w:rPr>
        <w:t>Janssen is also eligible to receive (a) royalties ranging from mid-single digits to high single digits on worldwide net sales of any products containing a TARP</w:t>
      </w:r>
      <w:r>
        <w:rPr>
          <w:rFonts w:ascii="SYMBOL" w:hAnsi="SYMBOL"/>
          <w:sz w:val="20"/>
        </w:rPr>
        <w:t>g</w:t>
      </w:r>
      <w:r>
        <w:rPr>
          <w:rFonts w:ascii="Times New Roman" w:hAnsi="Times New Roman"/>
          <w:sz w:val="20"/>
        </w:rPr>
        <w:t>8 development candidate and (b) royalties ranging from low-single digits to mid-single digits for other TARP</w:t>
      </w:r>
      <w:r>
        <w:rPr>
          <w:rFonts w:ascii="SYMBOL" w:hAnsi="SYMBOL"/>
          <w:sz w:val="20"/>
        </w:rPr>
        <w:t>g</w:t>
      </w:r>
      <w:r>
        <w:rPr>
          <w:rFonts w:ascii="Times New Roman" w:hAnsi="Times New Roman"/>
          <w:sz w:val="20"/>
        </w:rPr>
        <w:t>8 products that do not contain a TARP</w:t>
      </w:r>
      <w:r>
        <w:rPr>
          <w:rFonts w:ascii="SYMBOL" w:hAnsi="SYMBOL"/>
          <w:sz w:val="20"/>
        </w:rPr>
        <w:t>g</w:t>
      </w:r>
      <w:r>
        <w:rPr>
          <w:rFonts w:ascii="Times New Roman" w:hAnsi="Times New Roman"/>
          <w:sz w:val="20"/>
        </w:rPr>
        <w:t>8 development candidate, in each case of (a) and (b), subject to potential reductions following the expiration of valid claims and regulatory exclusivity covering such TARP</w:t>
      </w:r>
      <w:r>
        <w:rPr>
          <w:rFonts w:ascii="SYMBOL" w:hAnsi="SYMBOL"/>
          <w:sz w:val="20"/>
        </w:rPr>
        <w:t>g</w:t>
      </w:r>
      <w:r>
        <w:rPr>
          <w:rFonts w:ascii="Times New Roman" w:hAnsi="Times New Roman"/>
          <w:sz w:val="20"/>
        </w:rPr>
        <w:t>8 products, the launch of certain generic products and the application of certain anti-stacking reductions for third party intellectual property payments, subject to a customary reduction floor. The royalties for any TARP</w:t>
      </w:r>
      <w:r>
        <w:rPr>
          <w:rFonts w:ascii="SYMBOL" w:hAnsi="SYMBOL"/>
          <w:sz w:val="20"/>
        </w:rPr>
        <w:t>g</w:t>
      </w:r>
      <w:r>
        <w:rPr>
          <w:rFonts w:ascii="Times New Roman" w:hAnsi="Times New Roman"/>
          <w:sz w:val="20"/>
        </w:rPr>
        <w:t>8 product will expire on a country-by-country basis upon the latest to occur of (i) the expiration of all valid patent claims covering such product in such country, (ii) the expiration of all regulatory exclusivities in such country, and (iii) a specified number of years following the first commercial sale of such product in such country. The Janssen License provides us with certain other exclusive rights with respect to small molecules with activity against TARP</w:t>
      </w:r>
      <w:r>
        <w:rPr>
          <w:rFonts w:ascii="SYMBOL" w:hAnsi="SYMBOL"/>
          <w:sz w:val="20"/>
        </w:rPr>
        <w:t>g</w:t>
      </w:r>
      <w:r>
        <w:rPr>
          <w:rFonts w:ascii="Times New Roman" w:hAnsi="Times New Roman"/>
          <w:sz w:val="20"/>
        </w:rPr>
        <w:t xml:space="preserve">8 and nACh.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to terminate the Janssen License for any or no reason upon providing prior written notice to Janssen upon ninety (90) days prior written notice to Janssen. Either party may terminate the license agreement in its entirety for the other partys material breach if such party fails to cure the breach or upon certain insolvency events involving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NeuroPace Master Services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we entered into a master services agreement (the NeuroPace Agreement) with NeuroPace, the manufacturer and distributor of the RNS system. Pursuant to the NeuroPace Agreement and in accordance with statement of work agreements entered into from time to time, NeuroPace provides us with certain services with respect to data from the RNS systems used in our clinical trials. The NeuroPace Agreement also grants us a royalty-free, worldwide, exclusive, non-transferable license to all data collected by the RNS systems in our Phase 2a clinical trial and the outcomes of algorithms that are applied to such data, as well as the ability to publish the outcomes of algorithms, subject to certain conditions. The consideration we will pay to NeuroPace for such services is set out in each statement of work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contains an exclusivity provision providing that, at any time while providing services under the NeuroPace Agreement and for a period after the final clinical study report, NeuroPace may not perform any services that are the same as the services covered by the NeuroPace Agreement to any business that directly competes with us, subject to the specific terms of the Agreement. The NeuroPace Agreement also contains standard representations and warranties, confidentiality and intellectual property protective provisions and indemnification terms.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expires on the later of three years from the effective date or the completion of all services under all statement of work agreements entered into prior to the third anniversary of the effective date. Either party may terminate the NeuroPace Agreement or any statement of work agreement (i) without cause by giving written notice to the other party within a specified period of time, (ii) by giving written notice upon a curable material breach that is not remediated within a specified period of time, or (iii) immediately upon written notice in the event of a material breach that cannot be cured.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NeuroPace Agreement, the parties also entered into an initial statement of work (as amended, the NeuroPace SOW) under the NeuroPace Agreement, pursuant to which NeuroPace agreed to provide services related to our Phase 2a clinical trial of RAP-219, including, among other things, clinical trial readiness support, identification of potential patients satisfying the enrollment criteria and RNS system data reporting and data analysis. Pursuant to the payment schedule set out in the NeuroPace SOW, we will pay NeuroPace an aggregate of up to $3.7 million over a period of approximately two years in connection with NeuroPaces provision of services and achievement of certain patient enrollment and deliverable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and jurisdictions, including the European Union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and Approval of Drugs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refusals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 contracts, restitution, disgorgement of profits, or civil or criminal investigations and penalties brought by the FDA and the U.S. Department of Justice or other governmental entities. In addition, an applicant may need to recall a product. </w:t>
      </w:r>
    </w:p>
    <w:p>
      <w:pPr>
        <w:pStyle w:val="TextBody"/>
        <w:bidi w:val="0"/>
        <w:spacing w:before="240" w:after="0"/>
        <w:jc w:val="left"/>
        <w:rPr>
          <w:rFonts w:ascii="Times New Roman" w:hAnsi="Times New Roman"/>
          <w:sz w:val="20"/>
        </w:rPr>
      </w:pPr>
      <w:r>
        <w:rPr>
          <w:rFonts w:ascii="Times New Roman" w:hAnsi="Times New Roman"/>
          <w:sz w:val="20"/>
        </w:rPr>
        <w:t xml:space="preserve">An applicant seeking approval to market and distribute a new drug product in the United States must typically undertake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or preclinical, laboratory tests, animal studies and formulation studies in compliance with the FDAs good laboratory practice (GLP)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take effect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institutional review board (IRB) representing each clinical site before each clinical trial may be initiated at that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practices (GCPs) to establish the safety and efficacy of the proposed drug product for each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New Drug Application (NDA) and payment of user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by an FDA advisory committee, where appropriate or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FDA audits of clinical trial sites to assure compliance with GCPs and the integrity of the 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risk evaluation and mitigation strategies (REMS) and post-approval studies required by the FDA.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Before an applicant begins testing a compound in humans, the drug candidate enters the preclinical testing stage. Preclinical studies include laboratory evaluation of the purity and stability of the manufactured drug substance or active pharmaceutical ingredient (API) and the formulated drug or drug product, as well as </w:t>
      </w:r>
      <w:r>
        <w:rPr>
          <w:rFonts w:ascii="Times New Roman" w:hAnsi="Times New Roman"/>
          <w:i/>
          <w:sz w:val="20"/>
        </w:rPr>
        <w:t>in vitro</w:t>
      </w:r>
      <w:r>
        <w:rPr>
          <w:rFonts w:ascii="Times New Roman" w:hAnsi="Times New Roman"/>
          <w:sz w:val="20"/>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Some long-term preclinical testing, such as animal tests of reproductive adverse effects and carcinogenicity, may continue after the IND is submitted.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 and IRB Processes </w:t>
      </w:r>
    </w:p>
    <w:p>
      <w:pPr>
        <w:pStyle w:val="TextBody"/>
        <w:bidi w:val="0"/>
        <w:spacing w:before="120" w:after="0"/>
        <w:jc w:val="left"/>
        <w:rPr>
          <w:rFonts w:ascii="Times New Roman" w:hAnsi="Times New Roman"/>
          <w:sz w:val="20"/>
        </w:rPr>
      </w:pPr>
      <w:r>
        <w:rPr>
          <w:rFonts w:ascii="Times New Roman" w:hAnsi="Times New Roman"/>
          <w:sz w:val="20"/>
        </w:rPr>
        <w:t xml:space="preserve">An IND is an exemption from the FDCA that allows an unapproved drug to be shipped in interstate commerce for use in an investigational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 </w:t>
      </w:r>
    </w:p>
    <w:p>
      <w:pPr>
        <w:pStyle w:val="TextBody"/>
        <w:bidi w:val="0"/>
        <w:spacing w:before="240" w:after="0"/>
        <w:jc w:val="left"/>
        <w:rPr>
          <w:rFonts w:ascii="Times New Roman" w:hAnsi="Times New Roman"/>
          <w:sz w:val="20"/>
        </w:rPr>
      </w:pPr>
      <w:r>
        <w:rPr>
          <w:rFonts w:ascii="Times New Roman" w:hAnsi="Times New Roman"/>
          <w:sz w:val="20"/>
        </w:rPr>
        <w:t xml:space="preserve">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The FDA or the sponsor may suspend or terminate a clinical trial at any time on various grounds, including a finding that the research subjects are being exposed to an unacceptable health risk. Other reasons for suspension or termination may be made by us based on evolving business objectives and/or competitive climate.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National Institutes of Health (NIH) for public dissemination on its ClinicalTrials.gov website. </w:t>
      </w:r>
    </w:p>
    <w:p>
      <w:pPr>
        <w:pStyle w:val="TextBody"/>
        <w:bidi w:val="0"/>
        <w:spacing w:before="360" w:after="0"/>
        <w:jc w:val="left"/>
        <w:rPr>
          <w:rFonts w:ascii="Times New Roman" w:hAnsi="Times New Roman"/>
          <w:i/>
          <w:sz w:val="20"/>
        </w:rPr>
      </w:pPr>
      <w:r>
        <w:rPr>
          <w:rFonts w:ascii="Times New Roman" w:hAnsi="Times New Roman"/>
          <w:i/>
          <w:sz w:val="20"/>
        </w:rPr>
        <w:t xml:space="preserve">Human Clinical Trials in Support of an NDA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which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maximal dosage.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The drug is administered to a limited patient population to identify possible AEs and safety risks, to preliminarily evaluate the efficacy of the product for specific targeted diseases and to determine dosage tolerance and optimal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The drug is administered to an expanded patient population, generally at geographically dispersed clinical trial sites, in well-controlled clinical trials to generate enough data to evaluate the efficacy and safety of the product for approval, to establish the overall risk-benefit profile of the product and to provide adequate information for the labeling of the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Post-approval studies, often referred to as Phase 4 studies, may be conducted after initial regulatory approval. These studies are used to gain additional experience from the treatment of patients in the intended therapeutic indication. </w:t>
      </w:r>
    </w:p>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the results of the clinical trials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hAnsi="Times New Roman"/>
          <w:i/>
          <w:sz w:val="20"/>
        </w:rPr>
        <w:t>in vitro</w:t>
      </w:r>
      <w:r>
        <w:rPr>
          <w:rFonts w:ascii="Times New Roman" w:hAnsi="Times New Roman"/>
          <w:sz w:val="20"/>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or at all. The FDA will typically inspect one or more clinical sites to assure compliance with GCP and the integrity of the clinical data submitted.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of an NDA by the FDA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 </w:t>
      </w:r>
    </w:p>
    <w:p>
      <w:pPr>
        <w:pStyle w:val="TextBody"/>
        <w:bidi w:val="0"/>
        <w:spacing w:before="240" w:after="0"/>
        <w:jc w:val="left"/>
        <w:rPr>
          <w:rFonts w:ascii="Times New Roman" w:hAnsi="Times New Roman"/>
          <w:sz w:val="20"/>
        </w:rPr>
      </w:pPr>
      <w:r>
        <w:rPr>
          <w:rFonts w:ascii="Times New Roman" w:hAnsi="Times New Roman"/>
          <w:sz w:val="20"/>
        </w:rPr>
        <w:t xml:space="preserve">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360" w:after="0"/>
        <w:jc w:val="left"/>
        <w:rPr>
          <w:rFonts w:ascii="Times New Roman" w:hAnsi="Times New Roman"/>
          <w:i/>
          <w:sz w:val="20"/>
        </w:rPr>
      </w:pPr>
      <w:r>
        <w:rPr>
          <w:rFonts w:ascii="Times New Roman" w:hAnsi="Times New Roman"/>
          <w:i/>
          <w:sz w:val="20"/>
        </w:rPr>
        <w:t xml:space="preserve">Fast Track, Breakthrough Therapy, and Priority Review </w:t>
      </w:r>
    </w:p>
    <w:p>
      <w:pPr>
        <w:pStyle w:val="TextBody"/>
        <w:bidi w:val="0"/>
        <w:spacing w:before="120" w:after="0"/>
        <w:jc w:val="left"/>
        <w:rPr>
          <w:rFonts w:ascii="Times New Roman" w:hAnsi="Times New Roman"/>
          <w:sz w:val="20"/>
        </w:rPr>
      </w:pPr>
      <w:r>
        <w:rPr>
          <w:rFonts w:ascii="Times New Roman" w:hAnsi="Times New Roman"/>
          <w:sz w:val="20"/>
        </w:rPr>
        <w:t xml:space="preserve">The FDA has a number of programs intended to facilitate and expedite development and review of new drugs if they are intended to address an unmet medical need in the treatment of a serious or life-threatening disease or condition. Three of these programs are referred to as Fast Track Designation, Breakthrough Therapy Designation, and priority review designation. </w:t>
      </w:r>
    </w:p>
    <w:p>
      <w:pPr>
        <w:pStyle w:val="TextBody"/>
        <w:bidi w:val="0"/>
        <w:spacing w:before="240" w:after="0"/>
        <w:jc w:val="left"/>
        <w:rPr>
          <w:rFonts w:ascii="Times New Roman" w:hAnsi="Times New Roman"/>
          <w:sz w:val="20"/>
        </w:rPr>
      </w:pPr>
      <w:r>
        <w:rPr>
          <w:rFonts w:ascii="Times New Roman" w:hAnsi="Times New Roman"/>
          <w:sz w:val="20"/>
        </w:rPr>
        <w:t xml:space="preserve">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w:t>
      </w:r>
    </w:p>
    <w:p>
      <w:pPr>
        <w:pStyle w:val="TextBody"/>
        <w:bidi w:val="0"/>
        <w:spacing w:before="240" w:after="0"/>
        <w:jc w:val="left"/>
        <w:rPr>
          <w:rFonts w:ascii="Times New Roman" w:hAnsi="Times New Roman"/>
          <w:sz w:val="20"/>
        </w:rPr>
      </w:pPr>
      <w:r>
        <w:rPr>
          <w:rFonts w:ascii="Times New Roman" w:hAnsi="Times New Roman"/>
          <w:sz w:val="20"/>
        </w:rPr>
        <w:t xml:space="preserve">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the FDA may designate an NDA review for a priority review if it is for a product that treats a serious or life-threatening disease or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 </w:t>
      </w:r>
    </w:p>
    <w:p>
      <w:pPr>
        <w:pStyle w:val="TextBody"/>
        <w:bidi w:val="0"/>
        <w:spacing w:before="360" w:after="0"/>
        <w:jc w:val="left"/>
        <w:rPr>
          <w:rFonts w:ascii="Times New Roman" w:hAnsi="Times New Roman"/>
          <w:i/>
          <w:sz w:val="20"/>
        </w:rPr>
      </w:pPr>
      <w:r>
        <w:rPr>
          <w:rFonts w:ascii="Times New Roman" w:hAnsi="Times New Roman"/>
          <w:i/>
          <w:sz w:val="20"/>
        </w:rPr>
        <w:t xml:space="preserve">Accelerated Approval Pathway </w:t>
      </w:r>
    </w:p>
    <w:p>
      <w:pPr>
        <w:pStyle w:val="TextBody"/>
        <w:bidi w:val="0"/>
        <w:spacing w:before="120" w:after="0"/>
        <w:jc w:val="left"/>
        <w:rPr>
          <w:rFonts w:ascii="Times New Roman" w:hAnsi="Times New Roman"/>
          <w:sz w:val="20"/>
        </w:rPr>
      </w:pPr>
      <w:r>
        <w:rPr>
          <w:rFonts w:ascii="Times New Roman" w:hAnsi="Times New Roman"/>
          <w:sz w:val="20"/>
        </w:rPr>
        <w:t xml:space="preserve">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FDAs Decision on an NDA </w:t>
      </w:r>
    </w:p>
    <w:p>
      <w:pPr>
        <w:pStyle w:val="TextBody"/>
        <w:bidi w:val="0"/>
        <w:spacing w:before="120" w:after="0"/>
        <w:jc w:val="left"/>
        <w:rPr>
          <w:rFonts w:ascii="Times New Roman" w:hAnsi="Times New Roman"/>
          <w:sz w:val="20"/>
        </w:rPr>
      </w:pPr>
      <w:r>
        <w:rPr>
          <w:rFonts w:ascii="Times New Roman" w:hAnsi="Times New Roman"/>
          <w:sz w:val="20"/>
        </w:rPr>
        <w:t xml:space="preserve">On the basis of the FDAs evaluation of the NDA and accompanying information, including the results of the inspection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voluntary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or untitled letters or holds on post-approval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NDAs or supplements to approved NDAs, or suspension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Hatch-Waxman Amendments </w:t>
      </w:r>
    </w:p>
    <w:p>
      <w:pPr>
        <w:pStyle w:val="TextBody"/>
        <w:bidi w:val="0"/>
        <w:spacing w:before="120" w:after="0"/>
        <w:jc w:val="left"/>
        <w:rPr>
          <w:rFonts w:ascii="Times New Roman" w:hAnsi="Times New Roman"/>
          <w:sz w:val="20"/>
        </w:rPr>
      </w:pPr>
      <w:r>
        <w:rPr>
          <w:rFonts w:ascii="Times New Roman" w:hAnsi="Times New Roman"/>
          <w:sz w:val="20"/>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hAnsi="Times New Roman"/>
          <w:i/>
          <w:sz w:val="20"/>
        </w:rPr>
        <w:t>in vitro</w:t>
      </w:r>
      <w:r>
        <w:rPr>
          <w:rFonts w:ascii="Times New Roman" w:hAnsi="Times New Roman"/>
          <w:sz w:val="20"/>
        </w:rPr>
        <w:t xml:space="preserve">, </w:t>
      </w:r>
      <w:r>
        <w:rPr>
          <w:rFonts w:ascii="Times New Roman" w:hAnsi="Times New Roman"/>
          <w:i/>
          <w:sz w:val="20"/>
        </w:rPr>
        <w:t>in vivo</w:t>
      </w:r>
      <w:r>
        <w:rPr>
          <w:rFonts w:ascii="Times New Roman" w:hAnsi="Times New Roman"/>
          <w:sz w:val="20"/>
        </w:rPr>
        <w:t xml:space="preserve">, or other testing. The generic version must deliver the same amount of active ingredients into a subjects bloodstream in the same amount of time as the innovator drug and can often be substituted by pharmacists under prescriptions written for the reference listed drug.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Non-Patent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 </w:t>
      </w:r>
    </w:p>
    <w:p>
      <w:pPr>
        <w:pStyle w:val="TextBody"/>
        <w:bidi w:val="0"/>
        <w:spacing w:before="240" w:after="0"/>
        <w:jc w:val="left"/>
        <w:rPr>
          <w:rFonts w:ascii="Times New Roman" w:hAnsi="Times New Roman"/>
          <w:sz w:val="20"/>
        </w:rPr>
      </w:pPr>
      <w:r>
        <w:rPr>
          <w:rFonts w:ascii="Times New Roman" w:hAnsi="Times New Roman"/>
          <w:sz w:val="20"/>
        </w:rPr>
        <w:t xml:space="preserve">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Hatch-Waxman Patent Certification and the 30-Month Stay </w:t>
      </w:r>
    </w:p>
    <w:p>
      <w:pPr>
        <w:pStyle w:val="TextBody"/>
        <w:bidi w:val="0"/>
        <w:spacing w:before="120" w:after="0"/>
        <w:jc w:val="left"/>
        <w:rPr>
          <w:rFonts w:ascii="Times New Roman" w:hAnsi="Times New Roman"/>
          <w:sz w:val="20"/>
        </w:rPr>
      </w:pPr>
      <w:r>
        <w:rPr>
          <w:rFonts w:ascii="Times New Roman" w:hAnsi="Times New Roman"/>
          <w:sz w:val="20"/>
        </w:rPr>
        <w:t xml:space="preserve">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patent information on the drug product that is the subject of the application has been submitted to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patent has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such patent expires;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patent is invalid, unenforceable or will not be infringed upon by the manufacture, use, or sale of the drug product for which the application is submitted.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submitted four years after approval, the 30-month stay is extended so that it expires seven and a half years after approval of the innovator drug, unless the patent expires or there is a decision in the infringement case that is favorable to the ANDA applicant before then.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Restoration and Extension </w:t>
      </w:r>
    </w:p>
    <w:p>
      <w:pPr>
        <w:pStyle w:val="TextBody"/>
        <w:bidi w:val="0"/>
        <w:spacing w:before="120" w:after="0"/>
        <w:jc w:val="left"/>
        <w:rPr>
          <w:rFonts w:ascii="Times New Roman" w:hAnsi="Times New Roman"/>
          <w:sz w:val="20"/>
        </w:rPr>
      </w:pPr>
      <w:r>
        <w:rPr>
          <w:rFonts w:ascii="Times New Roman" w:hAnsi="Times New Roman"/>
          <w:sz w:val="20"/>
        </w:rPr>
        <w:t xml:space="preserve">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and Approval of Medicinal Products in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a submission to the relevant competent authorities of a marketing authorization application (MAA) and granting of a marketing authorization by these authorities before the product can be marketed and sold in the EU. </w:t>
      </w:r>
    </w:p>
    <w:p>
      <w:pPr>
        <w:pStyle w:val="TextBody"/>
        <w:bidi w:val="0"/>
        <w:spacing w:before="360" w:after="0"/>
        <w:jc w:val="left"/>
        <w:rPr>
          <w:rFonts w:ascii="Times New Roman" w:hAnsi="Times New Roman"/>
          <w:i/>
          <w:sz w:val="20"/>
        </w:rPr>
      </w:pPr>
      <w:r>
        <w:rPr>
          <w:rFonts w:ascii="Times New Roman" w:hAnsi="Times New Roman"/>
          <w:i/>
          <w:sz w:val="20"/>
        </w:rPr>
        <w:t xml:space="preserve">Clinical Trial Approval </w:t>
      </w:r>
    </w:p>
    <w:p>
      <w:pPr>
        <w:pStyle w:val="TextBody"/>
        <w:bidi w:val="0"/>
        <w:spacing w:before="120" w:after="0"/>
        <w:jc w:val="left"/>
        <w:rPr>
          <w:rFonts w:ascii="Times New Roman" w:hAnsi="Times New Roman"/>
          <w:sz w:val="20"/>
        </w:rPr>
      </w:pPr>
      <w:r>
        <w:rPr>
          <w:rFonts w:ascii="Times New Roman" w:hAnsi="Times New Roman"/>
          <w:sz w:val="20"/>
        </w:rPr>
        <w:t xml:space="preserve">In the EU, an applicant for authorization of a clinical trial must obtain prior approval from the national competent authority of the EU Member States in which the clinical trial is to be conducted. Furthermore, the applicant may only start a clinical trial at a specific study site after the relevant independent ethics committee has issued a favorable opinion. In April 2014, the Clinical Trials Regulation, (EU) No 536/2014 (the Clinical Trials Regulation) was adopted in the EU. The Clinical Trials Regulation is directly applicable in all the EU Member States and repealed the Clinical Trials Directive 2001/20/EC, as of January 31, 2022. </w:t>
      </w:r>
    </w:p>
    <w:p>
      <w:pPr>
        <w:pStyle w:val="TextBody"/>
        <w:bidi w:val="0"/>
        <w:spacing w:before="240" w:after="0"/>
        <w:jc w:val="left"/>
        <w:rPr>
          <w:rFonts w:ascii="Times New Roman" w:hAnsi="Times New Roman"/>
          <w:sz w:val="20"/>
        </w:rPr>
      </w:pPr>
      <w:r>
        <w:rPr>
          <w:rFonts w:ascii="Times New Roman" w:hAnsi="Times New Roman"/>
          <w:sz w:val="20"/>
        </w:rPr>
        <w:t xml:space="preserve">The Clinical Trials Regulation aims to simplify and streamline the approval of clinical trials in the EU. The main characteristics of the regulation include: a streamlined application procedure via a single entry point, known as the Clinical Trials Information System;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an elected Reference Member State, with support of the competent authorities of all EU Member States in which an application for authorization of a clinical trial has been submitted (the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a marketing authorization for a product in the EU, an applicant must submit an MAA either under a centralized procedure administered by the European Medicines Agency (EMA) or one of the procedures administered by competent authorities in the EU Member States (decentralized procedure or mutual recognition procedure) for obtaining a marketing authorization in multiple EU Member States. A marketing authorization may be granted only to an applicant established in the European Economic Area (EEA) (which is comprised of the EU Member States plus Norway, Iceland and Liechtenstein). </w:t>
      </w:r>
    </w:p>
    <w:p>
      <w:pPr>
        <w:pStyle w:val="TextBody"/>
        <w:bidi w:val="0"/>
        <w:spacing w:before="240" w:after="0"/>
        <w:jc w:val="left"/>
        <w:rPr>
          <w:rFonts w:ascii="Times New Roman" w:hAnsi="Times New Roman"/>
          <w:sz w:val="20"/>
        </w:rPr>
      </w:pPr>
      <w:r>
        <w:rPr>
          <w:rFonts w:ascii="Times New Roman" w:hAnsi="Times New Roman"/>
          <w:sz w:val="20"/>
        </w:rPr>
        <w:t xml:space="preserve">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Committee for Medicinal Products for Human Use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the maximum timeframe for the evaluation of an MAA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 </w:t>
      </w:r>
    </w:p>
    <w:p>
      <w:pPr>
        <w:pStyle w:val="TextBody"/>
        <w:bidi w:val="0"/>
        <w:spacing w:before="240" w:after="0"/>
        <w:jc w:val="left"/>
        <w:rPr>
          <w:rFonts w:ascii="Times New Roman" w:hAnsi="Times New Roman"/>
          <w:sz w:val="20"/>
        </w:rPr>
      </w:pPr>
      <w:r>
        <w:rPr>
          <w:rFonts w:ascii="Times New Roman" w:hAnsi="Times New Roman"/>
          <w:sz w:val="20"/>
        </w:rPr>
        <w:t>Now that the United Kingdom (which comprises Great Britain and Northern Ireland) (UK) has left the EU, Great Britain is no longer covered by centralized marketing authorizations (under the Northern Ireland Protocol, centralized marketing authorizations currently continue to be recognized in Northern Ireland). On January 1, 2024, a new international recognition framework was put in place by the Medicines and Healthcare products Regulatory Agency (MHRA), the UK medicines and medical devices regulator, under which the MHRA may have regard to decisions on the approval of marketing authorizations made by the EMA and certain other regulators when determining an application for the grant of a UK or Great Britain marketing authorization. The MHRA also has the power to have regard to marketing authorizations approved in EU Member States through decentralized or mutual recognition procedures with a view to more quickly granting a marketing authorization in the UK or Great Britain. For additional information related to the regulatory framework in the UK, please refer to the discussion below under the section titled </w:t>
      </w:r>
      <w:r>
        <w:rPr>
          <w:rFonts w:ascii="Times New Roman" w:hAnsi="Times New Roman"/>
          <w:i/>
          <w:sz w:val="20"/>
        </w:rPr>
        <w:t>Brexit</w:t>
      </w:r>
      <w:r>
        <w:rPr>
          <w:rFonts w:ascii="Times New Roman" w:hAnsi="Times New Roman"/>
          <w:sz w:val="20"/>
        </w:rPr>
        <w:t xml:space="preserve"> </w:t>
      </w:r>
      <w:r>
        <w:rPr>
          <w:rFonts w:ascii="Times New Roman" w:hAnsi="Times New Roman"/>
          <w:i/>
          <w:sz w:val="20"/>
        </w:rPr>
        <w:t>and the Regulatory Framework in the United Kingdom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decentralized marketing authorization procedure allows an applicant to apply for simultaneous authorization in more than one EU Member State of medicinal products that have not yet been authorized in any EU Member State and that do not fall within the mandatory scope of the centralized procedure. This application is identical to the application that would be submitted to the EMA for authorization through the centralized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 The Reference Member State prepares a draft assessment and drafts of the related materials within 120 days after receipt of a valid application. The resulting assessment report is submitted to the Concerned Member States who, within 90 days of receipt, must decide whether to approve the assessment report and related materials. If a Concerned Member State cannot approve the assessment report and related materials due to concerns relating to a potential serious risk to public health, disputed elements may be referred to the European Commission, whose decision is binding on all Member States. </w:t>
      </w:r>
    </w:p>
    <w:p>
      <w:pPr>
        <w:pStyle w:val="TextBody"/>
        <w:bidi w:val="0"/>
        <w:spacing w:before="240" w:after="0"/>
        <w:jc w:val="left"/>
        <w:rPr>
          <w:rFonts w:ascii="Times New Roman" w:hAnsi="Times New Roman"/>
          <w:sz w:val="20"/>
        </w:rPr>
      </w:pPr>
      <w:r>
        <w:rPr>
          <w:rFonts w:ascii="Times New Roman" w:hAnsi="Times New Roman"/>
          <w:sz w:val="20"/>
        </w:rPr>
        <w:t xml:space="preserve">The mutual recognition procedure is based on the acceptance by the competent authorities of the EU Member States of the marketing authorization of a medicinal product by the competent authorities of another EU Member State. The holder of a national marketing authorization may submit an application to the competent authority of an EU Member State requesting that this authority recognize the marketing authorization delivered by the competent authority of another EU Member State.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Regulation (EC) No 1901/2006 provides that prior to obtaining a marketing authorization in the EU, applicants have to demonstrate compliance with all measures included in an EMA-approved Pediatric Investigation Plan (PIP) covering all subsets of the pediatric population, unless the EMA has granted (1) a product-specific waiver, (2) a class waiver or (3) a deferral for one or more of the measures included in the PIP. The PIP sets out the timing and measures proposed to generate data to support a pediatric indication of the product for which a marketing authorization is being sought. Products that are granted a marketing authorization with the results of the pediatric clinical trials conducted in accordance with the PIP are eligible for a six-month extension of the protection under a supplementary protection certificate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In the EU, innovative medicinal products approved on the basis of a complete and independent data package qualify for eight years of data exclusivity upon marketing authorization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(abbreviated) marketing authorization,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an MAA with a complete and independent data package of pharmaceutical tests, preclinical tests and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Orphan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Regulation (EC) No 141/2000 and Regulation (EC) No. 847/2000 provide that a product can be designated as an orphan medicinal product by the European Commission if its sponsor can establish that: (1) the product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and (3) there exists no satisfactory method of diagnosis, prevention or treatment of the condition in question that has been authorized in the EU or, if such method exists, the product would be of significant benefit to those affected by that condition. </w:t>
      </w:r>
    </w:p>
    <w:p>
      <w:pPr>
        <w:pStyle w:val="TextBody"/>
        <w:bidi w:val="0"/>
        <w:spacing w:before="240" w:after="0"/>
        <w:jc w:val="left"/>
        <w:rPr>
          <w:rFonts w:ascii="Times New Roman" w:hAnsi="Times New Roman"/>
          <w:sz w:val="20"/>
        </w:rPr>
      </w:pPr>
      <w:r>
        <w:rPr>
          <w:rFonts w:ascii="Times New Roman" w:hAnsi="Times New Roman"/>
          <w:sz w:val="20"/>
        </w:rPr>
        <w:t xml:space="preserve">An orphan designation provides a number of benefits, including fee reductions, regulatory assistance and the possibility to apply for a centralized EU marketing authorization. Marketing authorization for an orphan medicinal product leads to a ten-year period of market exclusivity being granted following marketing approval of the orphan product. During this market exclusivity period, the EMA, the European Commission or the competent authorities of the EU Member States may only grant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 </w:t>
      </w:r>
    </w:p>
    <w:p>
      <w:pPr>
        <w:pStyle w:val="TextBody"/>
        <w:bidi w:val="0"/>
        <w:spacing w:before="360" w:after="0"/>
        <w:jc w:val="left"/>
        <w:rPr>
          <w:rFonts w:ascii="Times New Roman" w:hAnsi="Times New Roman"/>
          <w:i/>
          <w:sz w:val="20"/>
        </w:rPr>
      </w:pPr>
      <w:r>
        <w:rPr>
          <w:rFonts w:ascii="Times New Roman" w:hAnsi="Times New Roman"/>
          <w:i/>
          <w:sz w:val="20"/>
        </w:rPr>
        <w:t xml:space="preserve">Periods of Authorization and Renewals </w:t>
      </w:r>
    </w:p>
    <w:p>
      <w:pPr>
        <w:pStyle w:val="TextBody"/>
        <w:bidi w:val="0"/>
        <w:spacing w:before="120" w:after="0"/>
        <w:jc w:val="left"/>
        <w:rPr>
          <w:rFonts w:ascii="Times New Roman" w:hAnsi="Times New Roman"/>
          <w:sz w:val="20"/>
        </w:rPr>
      </w:pPr>
      <w:r>
        <w:rPr>
          <w:rFonts w:ascii="Times New Roman" w:hAnsi="Times New Roman"/>
          <w:sz w:val="20"/>
        </w:rPr>
        <w:t xml:space="preserve">A marketing authorization has an initial validity of five years. The marketing authorization may be renewed after five years on the basis of a re-evaluation of the risk-benefit balance by the EMA or by the competent authority of the relevant EU Member State for a nationally authorized product.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Requirements after a Marketing Authorization has been Obtained </w:t>
      </w:r>
    </w:p>
    <w:p>
      <w:pPr>
        <w:pStyle w:val="TextBody"/>
        <w:bidi w:val="0"/>
        <w:spacing w:before="120" w:after="0"/>
        <w:jc w:val="left"/>
        <w:rPr>
          <w:rFonts w:ascii="Times New Roman" w:hAnsi="Times New Roman"/>
          <w:sz w:val="20"/>
        </w:rPr>
      </w:pPr>
      <w:r>
        <w:rPr>
          <w:rFonts w:ascii="Times New Roman" w:hAnsi="Times New Roman"/>
          <w:sz w:val="20"/>
        </w:rPr>
        <w:t xml:space="preserve">Where an authorization for a medicinal product in the EU is obtained, the holder of the marketing authorization is required to comply with a range of requirements applicable to the manufacturing, marketing, promotion and sale of medicinal products.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EUs stringent pharmacovigilance or safety reporting rules must be ensured. These rules can impose post-authorization studies and additional monitoring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APIs, including the manufacture of APIs outside of the EU with the intention to import the APIs into the EU.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and promotion of authorized products, including industry-sponsored continuing medical education and advertising directed toward the prescribers of products and/or the general public, are strictly regulated in the EU notably under Directive 2001/83/EC, as amended, and EU Member State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aforementioned EU rules are generally applicable in the EEA. </w:t>
      </w:r>
    </w:p>
    <w:p>
      <w:pPr>
        <w:pStyle w:val="TextBody"/>
        <w:bidi w:val="0"/>
        <w:spacing w:before="360" w:after="0"/>
        <w:jc w:val="left"/>
        <w:rPr>
          <w:rFonts w:ascii="Times New Roman" w:hAnsi="Times New Roman"/>
          <w:i/>
          <w:sz w:val="20"/>
        </w:rPr>
      </w:pPr>
      <w:r>
        <w:rPr>
          <w:rFonts w:ascii="Times New Roman" w:hAnsi="Times New Roman"/>
          <w:i/>
          <w:sz w:val="20"/>
        </w:rPr>
        <w:t xml:space="preserve">Reform of the Regulatory Framework in the European Union </w:t>
      </w:r>
    </w:p>
    <w:p>
      <w:pPr>
        <w:pStyle w:val="TextBody"/>
        <w:bidi w:val="0"/>
        <w:spacing w:before="120" w:after="0"/>
        <w:jc w:val="left"/>
        <w:rPr>
          <w:rFonts w:ascii="Times New Roman" w:hAnsi="Times New Roman"/>
          <w:sz w:val="20"/>
        </w:rPr>
      </w:pPr>
      <w:r>
        <w:rPr>
          <w:rFonts w:ascii="Times New Roman" w:hAnsi="Times New Roman"/>
          <w:sz w:val="20"/>
        </w:rPr>
        <w:t xml:space="preserve">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 </w:t>
      </w:r>
    </w:p>
    <w:p>
      <w:pPr>
        <w:pStyle w:val="TextBody"/>
        <w:bidi w:val="0"/>
        <w:spacing w:before="360" w:after="0"/>
        <w:jc w:val="left"/>
        <w:rPr>
          <w:rFonts w:ascii="Times New Roman" w:hAnsi="Times New Roman"/>
          <w:i/>
          <w:sz w:val="20"/>
        </w:rPr>
      </w:pPr>
      <w:r>
        <w:rPr>
          <w:rFonts w:ascii="Times New Roman" w:hAnsi="Times New Roman"/>
          <w:i/>
          <w:sz w:val="20"/>
        </w:rPr>
        <w:t xml:space="preserve">Brexit and the Regulatory Framework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UK ceased being a Member State of the EU on January 31, 2020, and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previous EU legislation on the marketing, promotion and sale of medicinal products through the Human Medicines Regulations 2012 (as amended) (under the Northern Ireland Protocol, the EU regulatory framework continues to apply in Northern Ireland). Except in respect of the EU Clinical Trials Regulation, the regulatory regime in Great Britain therefore aligns in many ways with current EU medicines regulations, however it is possible that these regimes will diverge more significantly in the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framework which was put in place by the MHRA on January 1, 2024, the MHRA may take into account decisions on the approval of marketing authorizations from the EMA (and certain other regulators) when considering an application for a Great Britain or UK marketing authorization.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Healthcare Laws </w:t>
      </w:r>
    </w:p>
    <w:p>
      <w:pPr>
        <w:pStyle w:val="TextBody"/>
        <w:bidi w:val="0"/>
        <w:spacing w:before="120" w:after="0"/>
        <w:jc w:val="left"/>
        <w:rPr>
          <w:rFonts w:ascii="Times New Roman" w:hAnsi="Times New Roman"/>
          <w:sz w:val="20"/>
        </w:rPr>
      </w:pPr>
      <w:r>
        <w:rPr>
          <w:rFonts w:ascii="Times New Roman" w:hAnsi="Times New Roman"/>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including the False Claims Act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when HIPAA does not apply, according to the Federal Trade Commission (FTC), failing to take appropriate steps to keep consumers personal information secure constitutes unfair acts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created under the Patient Protection and Affordable Care Act, as amended by the Health Care and Education Reconciliation Act (collectively, the ACA) and its implementing regulations, which requires manufacturers of drugs, devices, biologicals and medical supplies for which payment is available under Medicare, Medicaid or the Childrens Health Insurance Program (with certain exceptions) to report annually to the Department of Health and Human Services (HHS) information related to payments or other transfers of value made to physicians (defined to include doctors, dentists, optometrists, podiatrists and chiropractors), certain other licensed healthcare professionals (i.e.,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us to calculate and report complex pricing metrics in an accurate and timely manner to government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Privacy and Data Security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process sensitive data Accordingly, we are, or may be become, subject to numerous privacy and data security obligations, including global, federal, state, and local laws, regulations, guidance, industry standards, external and internal privacy and security policies, contractual requirements and other obligations related to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In addition, in the past few years, numerous U.S. states have passed, or are in the process of enacting comprehensive privacy laws, rules, and regulations that impose certain obligations on covered businesses, and similar laws are being considered in several other states,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well as at the federal and state levels. While these states exempt some data processed in the context of clinical trials, these developments may further complicate compliance efforts, and are examples of the increasingly stringent and evolving regulatory frameworks related to personal data processing, as more fully discussed in the section titled </w:t>
      </w:r>
      <w:r>
        <w:rPr>
          <w:rFonts w:ascii="Times New Roman" w:hAnsi="Times New Roman"/>
          <w:i/>
          <w:sz w:val="20"/>
        </w:rPr>
        <w:t>Risk Factors</w:t>
      </w:r>
      <w:r>
        <w:rPr>
          <w:rFonts w:ascii="Times New Roman" w:hAnsi="Times New Roman"/>
          <w:sz w:val="20"/>
        </w:rPr>
        <w:t xml:space="preserve">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Additionally, to the extent we collect personal data from individuals outside of the United States, through clinical trials or otherwise, we are, or may become, subject to foreign data and data security laws, such as the European Unions General Data Protection Regulation 2016/679 (EU GDPR) and other national data protection legislation in force in relevant EEA Member States, and the EU GDPR as it forms part UK law by virtue of section 3 of the European Union (Withdrawal) Act 2018 (UK GDPR). Foreign privacy and data security laws impose significant and complex compliance obligations on entities that are subject to those laws, as more fully discussed in the section titled </w:t>
      </w:r>
      <w:r>
        <w:rPr>
          <w:rFonts w:ascii="Times New Roman" w:hAnsi="Times New Roman"/>
          <w:i/>
          <w:sz w:val="20"/>
        </w:rPr>
        <w:t>Risk Factors</w:t>
      </w:r>
      <w:r>
        <w:rPr>
          <w:rFonts w:ascii="Times New Roman" w:hAnsi="Times New Roman"/>
          <w:sz w:val="20"/>
        </w:rPr>
        <w:t xml:space="preserve">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 effectiveness of medical products and services and imposing controls to manage costs. Third-party payors may limit coverage to specific products on an approved list, also known as a formulary, which might not include all of the approved products for a particular indication.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 Even if we do receive a favorable coverage determination for approved products by third-party payors, coverage policies and third-party payor reimbursement rates may change at any time. </w:t>
      </w:r>
    </w:p>
    <w:p>
      <w:pPr>
        <w:pStyle w:val="TextBody"/>
        <w:bidi w:val="0"/>
        <w:spacing w:before="240" w:after="0"/>
        <w:jc w:val="left"/>
        <w:rPr>
          <w:rFonts w:ascii="Times New Roman" w:hAnsi="Times New Roman"/>
          <w:sz w:val="20"/>
        </w:rPr>
      </w:pPr>
      <w:r>
        <w:rPr>
          <w:rFonts w:ascii="Times New Roman" w:hAnsi="Times New Roman"/>
          <w:sz w:val="20"/>
        </w:rPr>
        <w:t xml:space="preserve">Moreover, payment methodologies may be subject to changes in healthcare legislation and regulatory initiatives. For example, the U.S. Centers for Medicare &amp; Medicaid Services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 </w:t>
      </w:r>
    </w:p>
    <w:p>
      <w:pPr>
        <w:pStyle w:val="TextBody"/>
        <w:bidi w:val="0"/>
        <w:spacing w:before="320" w:after="0"/>
        <w:jc w:val="left"/>
        <w:rPr>
          <w:rFonts w:ascii="Times New Roman" w:hAnsi="Times New Roman"/>
          <w:b/>
          <w:i/>
          <w:sz w:val="20"/>
        </w:rPr>
      </w:pPr>
      <w:r>
        <w:rPr>
          <w:rFonts w:ascii="Times New Roman" w:hAnsi="Times New Roman"/>
          <w:b/>
          <w:i/>
          <w:sz w:val="20"/>
        </w:rPr>
        <w:t xml:space="preserve">Current and Future U.S. 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U.S., there have been a number of legislative and regulatory changes to the healthcare system that could impact our ability to sell our products profitably. For example,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the minimum level of Medicaid rebates payable by manufacturers of brand name drugs from 15.1% to 23.1% of the average manufacturer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collection of rebates for drugs paid by Medicaid managed care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manufacturers to participate in a coverage gap discount program, under which they must agree to offer 50 percent point-of-sale discount off negotiated prices of applicable brand drugs to eligible beneficiaries during their coverage gap period, as a condition for the manufacturers outpatient drugs to be covered under Medicare Part D (later increased to 70%);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imposed a non-deductible annual fee on pharmaceutical manufacturers or importers who sell branded prescription drugs to specified federal government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judicial, administrative, executive, and legislative challenges to certain aspects of the ACA as well as executive orders related to the ACAs implementation. For example, President Biden has issued multiple executive orders that have sought to reduce prescription drug costs. In addition, on June 17, 2021, the U.S. Supreme Court dismissed the most recent judicial challenge to the ACA brought by several states without specifically ruling on the constitutionality of the ACA. It is unclear how other healthcare reform measures of the Biden administrations or other efforts, if any, to challenge repeal or replace the ACA, will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unclear how the IRA will be implemented but is likely to have a significant impact on the pharmaceutical industry. Further, on December 7, 2023, the Biden administration announced an initiative to control the price of prescription drugs through the use of march-in rights under the Bayh-Dole Act. On December 8, 2023, the National Institute of Standards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t>
      </w:r>
    </w:p>
    <w:p>
      <w:pPr>
        <w:pStyle w:val="TextBody"/>
        <w:bidi w:val="0"/>
        <w:spacing w:before="240" w:after="0"/>
        <w:jc w:val="left"/>
        <w:rPr>
          <w:rFonts w:ascii="Times New Roman" w:hAnsi="Times New Roman"/>
          <w:sz w:val="20"/>
        </w:rPr>
      </w:pPr>
      <w:r>
        <w:rPr>
          <w:rFonts w:ascii="Times New Roman" w:hAnsi="Times New Roman"/>
          <w:sz w:val="20"/>
        </w:rPr>
        <w:t xml:space="preserve">In 2020, FDA released its implementing regulations regarding section 804 Importation Programs under the Medicare Prescription Drug Improvement and Modernization Act of 2003. These regulations provide guidance for states to build and submit importation plans for certain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On January 5, 2024, the FDA authorized Floridas drug importation plan, the first in the country to be so-authorized. If broadly implemented, importation of drugs under this program from Canada may materially and adversely affect the price we receive for any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December 2, 2020, HHS published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IRA delayed implementation of this rule to January 1, 2032.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and regulatory changes have been proposed and adopted in the United States since the ACA was enacted: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Budget Control Act of 2011, among other things, included aggregate reductions of Medicare payments to providers of 2% per fiscal year, and, due to subsequent legislative amendments to the statute, will remain in effect until 2032.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American Taxpayer Relief Act of 2012, among other things, further reduced Medicare payments to several types of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American Rescue Plan Act of 2021 eliminates the statutory Medicaid drug rebate cap, currently set at 100% of a drugs average manufacturer price, for single source and innovator multiple source drugs, effective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IRA also includes several other provisions that may impact our business to varying degrees, including provisions that create a $2,000 out-of-pocket cap for Medicare Part D beneficiaries, and impose new manufacturer financial liability on all drugs in Medicare Part 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Boston, Massachusetts, where we lease and occupy approximately 11,000 square feet of office space. Our Boston lease expires in December 2026. We also lease and occupy approximately 10,000 square feet of office and laboratory space in San Diego, California. We will continue to lease this space in San Diego until the commencement of our lease of a larger space in San Diego, comprised of approximately 21,000 square feet of office and laboratory space, which is expected to commence in December 2024 and will expire in December 2029.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existing facilities in Boston and San Diego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May 10, 2024, we had 58 full-time employees and 61 consultants, and approximately 17 of our employees have M.D. or Ph.D. degrees. Within our workforce, 39 employees are engaged in research and development and 19 are engaged in business development, finance, legal, and general management and administration. Our human capital resources objectives include identifying, recruiting, retaining, incentivizing and integrating our existing and new employees, advisors and consultants. None of our employees are represented by a labor union or covered by a collective bargaining agreement. We consider our relationship with our employees to be good.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803738_10"/>
      <w:bookmarkEnd w:id="12"/>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executive officers and directors as of May 10,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56"/>
        <w:gridCol w:w="248"/>
        <w:gridCol w:w="79"/>
        <w:gridCol w:w="348"/>
        <w:gridCol w:w="60"/>
        <w:gridCol w:w="248"/>
        <w:gridCol w:w="4566"/>
      </w:tblGrid>
      <w:tr>
        <w:trPr/>
        <w:tc>
          <w:tcPr>
            <w:tcW w:w="465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4566" w:type="dxa"/>
            <w:tcBorders/>
            <w:vAlign w:val="center"/>
          </w:tcPr>
          <w:p>
            <w:pPr>
              <w:pStyle w:val="TableContents"/>
              <w:bidi w:val="0"/>
              <w:spacing w:before="0" w:after="283"/>
              <w:jc w:val="left"/>
              <w:rPr>
                <w:sz w:val="4"/>
                <w:szCs w:val="4"/>
              </w:rPr>
            </w:pPr>
            <w:r>
              <w:rPr>
                <w:sz w:val="4"/>
                <w:szCs w:val="4"/>
              </w:rPr>
            </w:r>
          </w:p>
        </w:tc>
      </w:tr>
      <w:tr>
        <w:trPr/>
        <w:tc>
          <w:tcPr>
            <w:tcW w:w="46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48" w:type="dxa"/>
            <w:tcBorders/>
            <w:vAlign w:val="bottom"/>
          </w:tcPr>
          <w:p>
            <w:pPr>
              <w:pStyle w:val="TableContents"/>
              <w:bidi w:val="0"/>
              <w:spacing w:before="0" w:after="283"/>
              <w:jc w:val="left"/>
              <w:rPr/>
            </w:pPr>
            <w:r>
              <w:rPr/>
              <w:t>  </w:t>
            </w:r>
          </w:p>
        </w:tc>
        <w:tc>
          <w:tcPr>
            <w:tcW w:w="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46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sz w:val="4"/>
                <w:szCs w:val="4"/>
              </w:rPr>
            </w:pPr>
            <w:r>
              <w:rPr>
                <w:sz w:val="4"/>
                <w:szCs w:val="4"/>
              </w:rPr>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Abraham N. Ceesay, M.B.A.</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Chief Executive Officer and Director</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Troy Ignelzi</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center"/>
              <w:rPr/>
            </w:pPr>
            <w:r>
              <w:rPr/>
              <w:t>56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pPr>
            <w:r>
              <w:rPr/>
              <w:t>Chief Financial Officer</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David Bredt, M.D., Ph.D.(4)</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59</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Chief Scientific Officer and Director</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Bradley S. Galer, M.D.</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center"/>
              <w:rPr/>
            </w:pPr>
            <w:r>
              <w:rPr/>
              <w:t>62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pPr>
            <w:r>
              <w:rPr/>
              <w:t>Chief Medical Officer</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Cheryl Gault</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45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Chief Operating Officer</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Kathy Wilkinson</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center"/>
              <w:rPr/>
            </w:pPr>
            <w:r>
              <w:rPr/>
              <w:t>52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pPr>
            <w:r>
              <w:rPr/>
              <w:t>Chief People Officer</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Swamy Yeleswaram, Ph.D.</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61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Chief Development Officer</w:t>
            </w:r>
          </w:p>
        </w:tc>
      </w:tr>
      <w:tr>
        <w:trPr>
          <w:trHeight w:val="120" w:hRule="atLeast"/>
        </w:trPr>
        <w:tc>
          <w:tcPr>
            <w:tcW w:w="4656"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4814" w:type="dxa"/>
            <w:gridSpan w:val="2"/>
            <w:tcBorders/>
            <w:vAlign w:val="center"/>
          </w:tcPr>
          <w:p>
            <w:pPr>
              <w:pStyle w:val="TableContents"/>
              <w:bidi w:val="0"/>
              <w:spacing w:before="0" w:after="283"/>
              <w:jc w:val="left"/>
              <w:rPr>
                <w:sz w:val="4"/>
                <w:szCs w:val="4"/>
              </w:rPr>
            </w:pPr>
            <w:r>
              <w:rPr>
                <w:sz w:val="4"/>
                <w:szCs w:val="4"/>
              </w:rPr>
            </w:r>
          </w:p>
        </w:tc>
      </w:tr>
      <w:tr>
        <w:trPr/>
        <w:tc>
          <w:tcPr>
            <w:tcW w:w="46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Non-Employee Directors:</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sz w:val="4"/>
                <w:szCs w:val="4"/>
              </w:rPr>
            </w:pPr>
            <w:r>
              <w:rPr>
                <w:sz w:val="4"/>
                <w:szCs w:val="4"/>
              </w:rPr>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Steven M. Paul, M.D.</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73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Director and Chairman</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Terry-Ann Burrell, M.B.A.</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center"/>
              <w:rPr/>
            </w:pPr>
            <w:r>
              <w:rPr/>
              <w:t>47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pPr>
            <w:r>
              <w:rPr/>
              <w:t>Director</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James I. Healy, M.D., Ph.D.</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59</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Director</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Reid Huber, Ph.D.</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center"/>
              <w:rPr/>
            </w:pPr>
            <w:r>
              <w:rPr/>
              <w:t>52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pPr>
            <w:r>
              <w:rPr/>
              <w:t>Director</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Raymond Kelleher, M.D., Ph.D.(4)</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59</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Director</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Maraganore, Ph.D.</w:t>
            </w:r>
          </w:p>
        </w:tc>
        <w:tc>
          <w:tcPr>
            <w:tcW w:w="24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center"/>
              <w:rPr/>
            </w:pPr>
            <w:r>
              <w:rPr/>
              <w:t>61</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4566" w:type="dxa"/>
            <w:tcBorders/>
            <w:shd w:fill="CCEEFF" w:val="clear"/>
            <w:vAlign w:val="bottom"/>
          </w:tcPr>
          <w:p>
            <w:pPr>
              <w:pStyle w:val="TableContents"/>
              <w:bidi w:val="0"/>
              <w:spacing w:before="0" w:after="283"/>
              <w:jc w:val="left"/>
              <w:rPr/>
            </w:pPr>
            <w:r>
              <w:rPr/>
              <w:t>Director</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Jeffrey K. Tong, Ph.D.</w:t>
            </w:r>
          </w:p>
        </w:tc>
        <w:tc>
          <w:tcPr>
            <w:tcW w:w="24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center"/>
              <w:rPr/>
            </w:pPr>
            <w:r>
              <w:rPr/>
              <w:t>49</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566" w:type="dxa"/>
            <w:tcBorders/>
            <w:vAlign w:val="bottom"/>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Bredt and Dr. Kelleher have each notified us that they will resign from our board of directors immediately prior to the effectiveness of the registration statement of which this prospectus forms a part.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Abraham N. Ceesay, M.B.A.</w:t>
      </w:r>
      <w:r>
        <w:rPr>
          <w:rFonts w:ascii="Times New Roman" w:hAnsi="Times New Roman"/>
          <w:sz w:val="20"/>
        </w:rPr>
        <w:t xml:space="preserve"> Mr. Ceesay has served as our President and Chief Executive Officer since February 2023 and has been a member of our board of directors since March 2023. Prior to joining us, from April 2021 to March 2023, Mr. Ceesay served as President of Cerevel Therapeutics Holdings, Inc. (Nasdaq: CERE). Mr. Ceesay served as the Chief Executive Officer at Tiburio Therapeutics Inc. from January 2019 to April 2021. Mr. Ceesay has served on the board of directors of Pacira Biosciences, Inc. (Nasdaq: PCRX) since October 2023. Mr. Ceesay also currently serves as Chairman of the Board for Life Science Cares and on the Board of Trustees at The Museum of Science in Boston, Massachusetts. Mr. Ceesay received a Bachelor of Science degree from Ithaca College and a Master of Business Administration degree from Suffolk Universitys Sawyer School of Management. We believe Mr. Ceesay is qualified to serve as a member of our board of directors because of his prior experiences serving as an officer and director in, and his extensive knowledge of, the biopharmaceutical industry. </w:t>
      </w:r>
    </w:p>
    <w:p>
      <w:pPr>
        <w:pStyle w:val="TextBody"/>
        <w:bidi w:val="0"/>
        <w:spacing w:before="240" w:after="0"/>
        <w:jc w:val="left"/>
        <w:rPr>
          <w:rFonts w:ascii="Times New Roman" w:hAnsi="Times New Roman"/>
          <w:sz w:val="20"/>
        </w:rPr>
      </w:pPr>
      <w:r>
        <w:rPr>
          <w:rFonts w:ascii="Times New Roman" w:hAnsi="Times New Roman"/>
          <w:b/>
          <w:sz w:val="20"/>
        </w:rPr>
        <w:t>Troy Ignelzi.</w:t>
      </w:r>
      <w:r>
        <w:rPr>
          <w:rFonts w:ascii="Times New Roman" w:hAnsi="Times New Roman"/>
          <w:sz w:val="20"/>
        </w:rPr>
        <w:t xml:space="preserve"> Mr. Ignelzi has served as our Chief Financial Officer since November 2023. Prior to joining us, from March 2019 to September 2023, Mr. Ignelzi served as Chief Financial Officer at Karuna Therapeutics, Inc. (Nasdaq: KRTX, prior to its recent acquisition by Bristol Myers Squibb Company). Mr. Ignelzi has served on the boards of directors of Vedanta Biosciences, Inc. since November 2020, and Abivax S.A. (Nasdaq: ABVX) since July 2023. Mr. Ignelzi has also served as an advisor to Sofinnova Investments, Inc. since March 2024. Mr. Ignelzi previously served on the board of directors of CinCor Pharma, Inc. (Nasdaq: CINC, prior to its recent acquisition by AstraZeneca PLC) from March 2021 to February 2023. Mr. Ignelzi received a Bachelor of Science degree in accounting from Ferris State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David Bredt, M.D., Ph.D.</w:t>
      </w:r>
      <w:r>
        <w:rPr>
          <w:rFonts w:ascii="Times New Roman" w:hAnsi="Times New Roman"/>
          <w:sz w:val="20"/>
        </w:rPr>
        <w:t xml:space="preserve"> Dr. Bredt has served as our Chief Scientific Officer since January 2023 and a member of our board of directors since December 2022. Prior to joining us, from February 2022 to December 2022, Dr. Bredt served as an Entrepreneur in Residence at Third Rock Ventures LLC (Third Rock). From March 2021 to August 2021, Dr. Bredt served as Executive Partner at MPM Capital LLC. From March 2011 to March 2021, Dr. Bredt served as Global Head of Neuroscience Discovery at Janssen Global Services, LLC, a wholly-owned subsidiary of Johnson &amp; Johnson Services, Inc. (NYSE: JNJ) (J&amp;J Services). Dr. Bredt has served on the Neuroscience Forum, Institute of Medicine for National Academy of Sciences, and the Advisory Panel for the National Institute of Neurological Disorders and Stroke. Dr. Bredt received a Bachelor of Arts degree in chemistry from Princeton University, a Doctor of Philosophy degree from the Johns Hopkins School of Medicine and a Doctor of Medicine degree from the Johns Hopkins School of Medicine. We believe that Dr. Bredt is qualified to serve on our board of directors due to his extensive expertise in neuroscience. </w:t>
      </w:r>
    </w:p>
    <w:p>
      <w:pPr>
        <w:pStyle w:val="TextBody"/>
        <w:bidi w:val="0"/>
        <w:spacing w:before="240" w:after="0"/>
        <w:jc w:val="left"/>
        <w:rPr>
          <w:rFonts w:ascii="Times New Roman" w:hAnsi="Times New Roman"/>
          <w:sz w:val="20"/>
        </w:rPr>
      </w:pPr>
      <w:r>
        <w:rPr>
          <w:rFonts w:ascii="Times New Roman" w:hAnsi="Times New Roman"/>
          <w:sz w:val="20"/>
        </w:rPr>
        <w:t xml:space="preserve">Dr. Bredt has notified us that he will resign from our board of directors immediately prior to the effectiveness of the registration statement of which this prospectus forms a part. Dr. Bredts resignation is in accordance with Section 2.2(g) of our Amended and Restated Stockholders Agreement, dated April 7, 2023, and not due to any disagreement with us or any matters relating to our operations, policies or practices. Following his resignation from our board of directors, Dr. Bredt will continue to serve as our Chief Scientific Officer. </w:t>
      </w:r>
    </w:p>
    <w:p>
      <w:pPr>
        <w:pStyle w:val="TextBody"/>
        <w:bidi w:val="0"/>
        <w:spacing w:before="240" w:after="0"/>
        <w:jc w:val="left"/>
        <w:rPr>
          <w:rFonts w:ascii="Times New Roman" w:hAnsi="Times New Roman"/>
          <w:sz w:val="20"/>
        </w:rPr>
      </w:pPr>
      <w:r>
        <w:rPr>
          <w:rFonts w:ascii="Times New Roman" w:hAnsi="Times New Roman"/>
          <w:b/>
          <w:sz w:val="20"/>
        </w:rPr>
        <w:t>Bradley S. Galer, M.D.</w:t>
      </w:r>
      <w:r>
        <w:rPr>
          <w:rFonts w:ascii="Times New Roman" w:hAnsi="Times New Roman"/>
          <w:sz w:val="20"/>
        </w:rPr>
        <w:t xml:space="preserve"> Dr. Galer has served as our Chief Medical Officer since January 2023. Prior to joining us, Dr. Galer served as Executive Vice President and Chief Medical Officer at Zogenix, Inc. from December 2013 to April 2022. Early in his career, Dr. Galer served as an Assistant Professor at the University of Washington School of Medicine and an Associate Professor at Albert Einstein School of Medicine. Dr. Galer had pain fellowships at Memorial Sloane-Kettering in New York and University of California, San Francisco, as well as headache training at Montefiore Headache Clinic in New York and University of California, San Francisco. Dr. Galer has a Bachelor of Arts degree in biology-psychology (with a focus in neuroscience) from Wesleyan University. He received his Doctor of Medicine from Albert Einstein College of Medicine in New York where he also completed his neurology residency and was appointed Chief Resident. </w:t>
      </w:r>
    </w:p>
    <w:p>
      <w:pPr>
        <w:pStyle w:val="TextBody"/>
        <w:bidi w:val="0"/>
        <w:spacing w:before="240" w:after="0"/>
        <w:jc w:val="left"/>
        <w:rPr>
          <w:rFonts w:ascii="Times New Roman" w:hAnsi="Times New Roman"/>
          <w:sz w:val="20"/>
        </w:rPr>
      </w:pPr>
      <w:r>
        <w:rPr>
          <w:rFonts w:ascii="Times New Roman" w:hAnsi="Times New Roman"/>
          <w:b/>
          <w:sz w:val="20"/>
        </w:rPr>
        <w:t xml:space="preserve">Cheryl Gault. </w:t>
      </w:r>
      <w:r>
        <w:rPr>
          <w:rFonts w:ascii="Times New Roman" w:hAnsi="Times New Roman"/>
          <w:sz w:val="20"/>
        </w:rPr>
        <w:t xml:space="preserve">Ms. Gault has served as our Chief Operating Officer since September 2023. Prior to joining us, Ms. Gault was employed by Cyclerion Therapeutics, Inc. (Nasdaq: CYCN) from April 2019 to July 2023, where she held various positions of increasing responsibility, including Vice President of Head of Strategy from April 2019 to May 2020, Senior Vice President of Strategy and Corporate Development from May 2020 to January 2021, and most recently, Chief Operating Officer from January 2021 to July 2023. From February 2017 to April 2019, Ms. Gault served as Vice President of Commercial Strategy &amp; New Product Planning at Ironwood. Ms. Gault received a Bachelor of Science degree in marketing from Boston College. </w:t>
      </w:r>
    </w:p>
    <w:p>
      <w:pPr>
        <w:pStyle w:val="TextBody"/>
        <w:bidi w:val="0"/>
        <w:spacing w:before="240" w:after="0"/>
        <w:jc w:val="left"/>
        <w:rPr>
          <w:rFonts w:ascii="Times New Roman" w:hAnsi="Times New Roman"/>
          <w:sz w:val="20"/>
        </w:rPr>
      </w:pPr>
      <w:r>
        <w:rPr>
          <w:rFonts w:ascii="Times New Roman" w:hAnsi="Times New Roman"/>
          <w:b/>
          <w:sz w:val="20"/>
        </w:rPr>
        <w:t>Kathy Wilkinson.</w:t>
      </w:r>
      <w:r>
        <w:rPr>
          <w:rFonts w:ascii="Times New Roman" w:hAnsi="Times New Roman"/>
          <w:sz w:val="20"/>
        </w:rPr>
        <w:t xml:space="preserve"> Ms. Wilkinson has served as our Chief People Officer since February 2024. Prior to joining us, from January 2022 to February 2024, Ms. Wilkinson served as Chief People Officer at 2seventy bio, Inc. (Nasdaq: TSVT). From July 2021 to December 2021, Ms. Wilkinson served as a human resources advisor for bluebird bio, Inc. (Nasdaq: BLUE), where she previously held positions of increasing responsibility from November 2012 to July 2021, including Chief People Officer. Ms. Wilkinson received a Bachelor of Arts degree in sociology from Harvard University. </w:t>
      </w:r>
    </w:p>
    <w:p>
      <w:pPr>
        <w:pStyle w:val="TextBody"/>
        <w:bidi w:val="0"/>
        <w:spacing w:before="240" w:after="0"/>
        <w:jc w:val="left"/>
        <w:rPr>
          <w:rFonts w:ascii="Times New Roman" w:hAnsi="Times New Roman"/>
          <w:sz w:val="20"/>
        </w:rPr>
      </w:pPr>
      <w:r>
        <w:rPr>
          <w:rFonts w:ascii="Times New Roman" w:hAnsi="Times New Roman"/>
          <w:b/>
          <w:sz w:val="20"/>
        </w:rPr>
        <w:t>Swamy Yeleswaram, Ph.D.</w:t>
      </w:r>
      <w:r>
        <w:rPr>
          <w:rFonts w:ascii="Times New Roman" w:hAnsi="Times New Roman"/>
          <w:sz w:val="20"/>
        </w:rPr>
        <w:t xml:space="preserve"> Dr. Yeleswaram has served as our Chief Development Officer since January 2023. Prior to joining us, from August 2022 to December 2022, Dr. Yeleswaram served as an Entrepreneur in Residence at Third Rock. Prior to this, Dr. Yeleswaram was a founding scientist at Incyte Corporation (Nasdaq: INCY), where he held positions of increasing responsibility from January 2002 to July 2022, most recently as Group Vice President of Drug Metabolism, Pharmacokinetics, and Clinical Pharmacology from February 2016 to August 2022. Dr. Yeleswaram received a Bachelor Degree in pharmacy from Madras Medical College, a Masters Degree in pharmaceutical sciences from Banaras Hindu University and a Doctor of Philosophy degree in pharmaceutical sciences from the University of British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Non-Executive Directors </w:t>
      </w:r>
    </w:p>
    <w:p>
      <w:pPr>
        <w:pStyle w:val="TextBody"/>
        <w:bidi w:val="0"/>
        <w:spacing w:before="120" w:after="0"/>
        <w:jc w:val="left"/>
        <w:rPr>
          <w:rFonts w:ascii="Times New Roman" w:hAnsi="Times New Roman"/>
          <w:sz w:val="20"/>
        </w:rPr>
      </w:pPr>
      <w:r>
        <w:rPr>
          <w:rFonts w:ascii="Times New Roman" w:hAnsi="Times New Roman"/>
          <w:b/>
          <w:sz w:val="20"/>
        </w:rPr>
        <w:t>Steven M. Paul, M.D.</w:t>
      </w:r>
      <w:r>
        <w:rPr>
          <w:rFonts w:ascii="Times New Roman" w:hAnsi="Times New Roman"/>
          <w:sz w:val="20"/>
        </w:rPr>
        <w:t xml:space="preserve"> Dr. Paul has been a member and chairman of our board of directors since December 2022. From August 2018 to January 2024, Dr. Paul served in senior leadership roles at Karuna Therapeutics, Inc. (Nasdaq: KRTX, prior to its recent acquisition by Bristol Myers Squibb Company), including as Chief Scientific Officer and President of Research and Development from January 2023 to January 2024, and President, Chief Executive Officer and Chairman of the board of directors from August 2018 to January 2023. Dr. Paul has also served as a Venture Partner at Third Rock since 2010. Dr. Paul is also board certified by the American Board of Psychiatry and Neurology. Dr. Paul has served on the board of directors of Sage Therapeutics, Inc. (Nasdaq: SAGE) since September 2011 and is also the chairman of the board of the Foundation for the National Institutes of Health. Previously, Dr. Paul served on the boards of directors of Alnylam Pharmaceuticals, Inc. (Nasdaq: ALNY) from September 2010 to April 2022, Voyager Therapeutics, Inc. (Nasdaq: VYGR) from September 2014 to June 2022 and Karuna Therapeutics, Inc. from March 2018 to March 2024. Dr. Paul also previously spent 17 years at Eli Lilly and Company (NYSE: LLY), during which time he held several leadership roles, including Executive Vice President for Science and Technology, and President of the Lilly Research Laboratories. Dr. Paul received a Bachelor of Arts degree in biology and psychology from Tulane University and Master of Science and Doctor of Medicine degrees from the Tulane University School of Medicine. We believe that Dr. Paul is qualified to serve on our board of directors due to his numerous leadership roles in the pharmaceutical and biotechnology industry and his expertise in neuroscience. </w:t>
      </w:r>
    </w:p>
    <w:p>
      <w:pPr>
        <w:pStyle w:val="TextBody"/>
        <w:bidi w:val="0"/>
        <w:spacing w:before="240" w:after="0"/>
        <w:jc w:val="left"/>
        <w:rPr>
          <w:rFonts w:ascii="Times New Roman" w:hAnsi="Times New Roman"/>
          <w:sz w:val="20"/>
        </w:rPr>
      </w:pPr>
      <w:r>
        <w:rPr>
          <w:rFonts w:ascii="Times New Roman" w:hAnsi="Times New Roman"/>
          <w:b/>
          <w:sz w:val="20"/>
        </w:rPr>
        <w:t>Terry-Ann Burrell, M.B.A.</w:t>
      </w:r>
      <w:r>
        <w:rPr>
          <w:rFonts w:ascii="Times New Roman" w:hAnsi="Times New Roman"/>
          <w:sz w:val="20"/>
        </w:rPr>
        <w:t xml:space="preserve"> Ms. Burrell has been a member of our board of directors since January 2024. Since August 2019, Ms. Burrell has served as the Chief Financial Officer and Treasurer of Beam Therapeutics Inc. (Nasdaq: BEAM). Prior to this, from May 2008 to August 2019, Ms. Burrell worked at J.P. Morgan Chase &amp; Co., most recently as a Managing Director in the healthcare investment banking group from May 2018 to August 2019. Since April 2020, Ms. Burrell has served on the board of directors of Recursion Pharmaceuticals, Inc. (Nasdaq: RXRX). Ms. Burrell received a Bachelor of Arts degree in social studies from Harvard University and a Master of Business Administration degree from New York University Leonard N. Stern School of Business. We believe Ms. Burrell is qualified to serve on our board of directors because of her broad range of financial expertise and her senior management experience in the biotechnology and pharmaceutical industries. </w:t>
      </w:r>
    </w:p>
    <w:p>
      <w:pPr>
        <w:pStyle w:val="TextBody"/>
        <w:bidi w:val="0"/>
        <w:spacing w:before="240" w:after="0"/>
        <w:jc w:val="left"/>
        <w:rPr>
          <w:rFonts w:ascii="Times New Roman" w:hAnsi="Times New Roman"/>
          <w:sz w:val="20"/>
        </w:rPr>
      </w:pPr>
      <w:r>
        <w:rPr>
          <w:rFonts w:ascii="Times New Roman" w:hAnsi="Times New Roman"/>
          <w:b/>
          <w:sz w:val="20"/>
        </w:rPr>
        <w:t>James I. Healy, M.D., Ph.D.</w:t>
      </w:r>
      <w:r>
        <w:rPr>
          <w:rFonts w:ascii="Times New Roman" w:hAnsi="Times New Roman"/>
          <w:sz w:val="20"/>
        </w:rPr>
        <w:t xml:space="preserve"> Dr. Healy has been a member of our board of directors since August 2023. Dr. Healy has served as Managing Partner of Sofinnova Investments, Inc. since June 2000. Dr. Healy has served on the boards of directors of ArriVent Biopharma, Inc. (Nasdaq: AVBP) since March 2023, Bolt Biotherapeutics, Inc. (Nasdaq: BOLT) since January 2021, Natera, Inc. (Nasdaq: NTRA) since November 2014, and Y-mAbs Therapeutics, Inc. (Nasdaq: YMAB) since November 2017. Previously, Dr. Healy served on numerous public company boards of directors including Ascendis Pharma A/S (Nasdaq: ASND) from November 2014 to May 2022, Amarin Corporation PLC (Nasdaq: AMRN) from May 2008 to December 2016, CinCor Pharma, Inc. (Nasdaq: CINC, prior to its recent acquisition by AstraZeneca PLC) from May 2019 to February 2023, Coherus BioSciences, Inc. (Nasdaq: CHRS) from February 2014 to February 2022, Karuna Therapeutics, Inc. (Nasdaq: KRTX, prior to its recent acquisition by Bristol Myers Squibb Company) from June 2019 to March 2024, Iterum Therapeutics plc (Nasdaq: ITRM) from November 2015 to February 2020, ObsEva SA (Nasdaq: OBSEF) from August 2013 to May 2021, and NuCana PLC (Nasdaq: NCNA) from March 2014 to April 2022. He also previously served as a director on the Board of the National Venture Capital Association (NVCA) and the Board of the Biotechnology Industry Organization (BIO). Dr. Healy holds Bachelor of Arts degrees in molecular biology and Scandinavian studies from the University of California, Berkeley, and Doctor of Medicine and Doctor of Philosophy degrees in immunology from Stanford University School of Medicine. We believe that Dr. Healy is qualified to serve on our board of directors due to his extensive experience and leadership roles in the biopharmaceutical industry and expertise in healthcare investing. </w:t>
      </w:r>
    </w:p>
    <w:p>
      <w:pPr>
        <w:pStyle w:val="TextBody"/>
        <w:bidi w:val="0"/>
        <w:spacing w:before="240" w:after="0"/>
        <w:jc w:val="left"/>
        <w:rPr>
          <w:rFonts w:ascii="Times New Roman" w:hAnsi="Times New Roman"/>
          <w:sz w:val="20"/>
        </w:rPr>
      </w:pPr>
      <w:r>
        <w:rPr>
          <w:rFonts w:ascii="Times New Roman" w:hAnsi="Times New Roman"/>
          <w:b/>
          <w:sz w:val="20"/>
        </w:rPr>
        <w:t>Reid Huber, Ph.D.</w:t>
      </w:r>
      <w:r>
        <w:rPr>
          <w:rFonts w:ascii="Times New Roman" w:hAnsi="Times New Roman"/>
          <w:sz w:val="20"/>
        </w:rPr>
        <w:t xml:space="preserve"> Dr. Huber has been a member of our board of directors since February 2022 and previously served as our President and Chief Executive Officer from February 2022 to February 2023. Dr. Huber also served as a Partner at Third Rock since December 2018 and currently serves as the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Merida Biosciences, a position he has held since July 2022. From April 2021 to April 2022 Dr. Huber served as Chief Executive Officer of MOMA Therapeutics, Inc. (MOMA). Dr. Huber has served on the boards of directors of Bellicum Pharmaceuticals, Inc. (previously Nasdaq: BLCM) since October 2014 and CARGO Therapeutics, Inc. (Nasdaq: CRGX) since March 2023, and previously served on the board of directors of Tango Therapeutics, Inc. (Nasdaq: TNGX) from July 2019 to November 2023. Dr. Huber also serves on the board of directors of The American Cancer Society. Dr. Huber received a Bachelor of Science degree in molecular genetics/biochemistry from Murray State University, a Doctor of Philosophy degree in molecular genetics from the Washington University School of Medicine and held pre-and post-doctoral fellowships at the National Institutes of Health. We believe that Dr. Huber is qualified to serve on our board of directors due to his extensive background in the pharmaceutical industry and senior management experience. </w:t>
      </w:r>
    </w:p>
    <w:p>
      <w:pPr>
        <w:pStyle w:val="TextBody"/>
        <w:bidi w:val="0"/>
        <w:spacing w:before="240" w:after="0"/>
        <w:jc w:val="left"/>
        <w:rPr>
          <w:rFonts w:ascii="Times New Roman" w:hAnsi="Times New Roman"/>
          <w:sz w:val="20"/>
        </w:rPr>
      </w:pPr>
      <w:r>
        <w:rPr>
          <w:rFonts w:ascii="Times New Roman" w:hAnsi="Times New Roman"/>
          <w:b/>
          <w:sz w:val="20"/>
        </w:rPr>
        <w:t>Raymond Kelleher, M.D., Ph.D.</w:t>
      </w:r>
      <w:r>
        <w:rPr>
          <w:rFonts w:ascii="Times New Roman" w:hAnsi="Times New Roman"/>
          <w:sz w:val="20"/>
        </w:rPr>
        <w:t xml:space="preserve"> Dr. Kelleher has been a member of our board of directors since August 2023. Dr. Kelleher has served as Managing Director at Cormorant Asset Management LLC since July 2020. Dr. Kelleher has also maintained an active clinical neurology practice at Massachusetts General Hospital specializing in neurodegenerative disorders, particularly Alzheimers disease and related dementias, since 1994. Dr. Kelleher served as an Assistant Professor of Neurology at Harvard Medical School from July 2005 to October 2023. Dr. Kelleher received his Bachelor of Science degree from Massachusetts Institute of Technology, his Doctor of Philosophy degree from Stanford University and his Doctor of Medicine degree from Stanford University School of Medicine. We believe that Dr. Kelleher is qualified to serve on our board of directors due to his extensive expertise in neurology and background in healthcare investing. </w:t>
      </w:r>
    </w:p>
    <w:p>
      <w:pPr>
        <w:pStyle w:val="TextBody"/>
        <w:bidi w:val="0"/>
        <w:spacing w:before="240" w:after="0"/>
        <w:jc w:val="left"/>
        <w:rPr>
          <w:rFonts w:ascii="Times New Roman" w:hAnsi="Times New Roman"/>
          <w:sz w:val="20"/>
        </w:rPr>
      </w:pPr>
      <w:r>
        <w:rPr>
          <w:rFonts w:ascii="Times New Roman" w:hAnsi="Times New Roman"/>
          <w:sz w:val="20"/>
        </w:rPr>
        <w:t xml:space="preserve">Dr. Kelleher has notified us that he will resign from our board of directors immediately prior to the effectiveness of the registration statement of which this prospectus forms a part. Dr. Kellehers resignation is not due to any disagreement with us or any matters relating to our operations, policies or practices. </w:t>
      </w:r>
    </w:p>
    <w:p>
      <w:pPr>
        <w:pStyle w:val="TextBody"/>
        <w:bidi w:val="0"/>
        <w:spacing w:before="240" w:after="0"/>
        <w:jc w:val="left"/>
        <w:rPr>
          <w:rFonts w:ascii="Times New Roman" w:hAnsi="Times New Roman"/>
          <w:sz w:val="20"/>
        </w:rPr>
      </w:pPr>
      <w:r>
        <w:rPr>
          <w:rFonts w:ascii="Times New Roman" w:hAnsi="Times New Roman"/>
          <w:b/>
          <w:sz w:val="20"/>
        </w:rPr>
        <w:t>John Maraganore, Ph.D.</w:t>
      </w:r>
      <w:r>
        <w:rPr>
          <w:rFonts w:ascii="Times New Roman" w:hAnsi="Times New Roman"/>
          <w:sz w:val="20"/>
        </w:rPr>
        <w:t xml:space="preserve"> Dr. Maraganore has been a member of our board of directors since March 2024. Since January 2022, Dr. Maraganore has served as the principal of JMM Innovations, LLC. He has also served as a Venture Partner at ARCH Venture Partners since October 2021, a Venture Advisor at Atlas Venture since January 2022, and a Senior Advisor at Blackstone Life Sciences since January 2022. Previously, Dr. Maraganore was the founding Chief Executive Officer of Alnylam Pharmaceuticals, Inc. (Nasdaq: ALNY), and a member of its board of directors from December 2002 to December 2021. Dr. Maraganore has been a member of the board of directors of Beam Therapeutics Inc. (Nasdaq: BEAM) since November 2021, ProKidney Corporation (Nasdaq: PROK) since July 2022, Takeda Pharmaceutical Company Limited (NYSE: TAK) since June 2022, and Kymera Therapeutics, Inc. (Nasdaq: KYMR) since January 2023. He has also been a member of the board of the Biotechnology Industry Organization since 2017, of which he was chair from 2017 to 2019 and has served as chair emeritus since 2022, and a member of the BIO Executive Committee since June 2013. Dr. Maraganore also previously served on the board of directors of Agios Pharmaceuticals, Inc. (Nasdaq: AGIO) from June 2010 to May 2023. Dr. Maraganore holds a Bachelor of Arts degree in biological sciences, and Master of Science and Doctor of Philosophy degrees in biochemistry and molecular biology, in each case from the University of Chicago. We believe that Dr. Maraganores experience as chief executive officer of a public biotechnology company and as a board member of other public biotechnology companies qualify him to serve as a member of our board of directors. </w:t>
      </w:r>
    </w:p>
    <w:p>
      <w:pPr>
        <w:pStyle w:val="TextBody"/>
        <w:bidi w:val="0"/>
        <w:spacing w:before="240" w:after="0"/>
        <w:jc w:val="left"/>
        <w:rPr>
          <w:rFonts w:ascii="Times New Roman" w:hAnsi="Times New Roman"/>
          <w:sz w:val="20"/>
        </w:rPr>
      </w:pPr>
      <w:r>
        <w:rPr>
          <w:rFonts w:ascii="Times New Roman" w:hAnsi="Times New Roman"/>
          <w:b/>
          <w:sz w:val="20"/>
        </w:rPr>
        <w:t>Jeffrey K. Tong, Ph.D.</w:t>
      </w:r>
      <w:r>
        <w:rPr>
          <w:rFonts w:ascii="Times New Roman" w:hAnsi="Times New Roman"/>
          <w:sz w:val="20"/>
        </w:rPr>
        <w:t xml:space="preserve"> Dr. Tong has been a member of our board of directors since December 2022 and previously served as our Treasurer from December 2022 to August 2023. Dr. Tong is a Partner at Third Rock which he joined in May 2016. Earlier in his career, Dr. Tong served as Executive Chairman of the board of directors of Delinia, Inc. (acquired by Celgene Corporation), and President and Chief Executive Officer of Nora Therapeutics, Inc., a private company. He was also a member of the management team at Infinity Pharmaceuticals, Inc. (Nasdaq: INFIQ). Dr. Tong previously served on the board of directors of Nurix Therapeutics, Inc. (Nasdaq: NRIX) from February 2018 to May 2022. Dr. Tong received his educational training at the interface of molecular biology, organic chemistry, and medicine and holds a Bachelor of Arts degree from Harvard College, a Master of Arts degree and Doctor of Philosophy degree from Harvard University, and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Master of Medical Sciences degree from the Harvard Medical School. We believe that Dr. Tong is qualified to serve on our board of directors based on his significant experience building and leading successful biotechnology companies and his scientific expertise.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which will consist of seven members after giving effect to the resignations of Dr. Bredt and Dr. Kelleher immediately prior to the effectiveness of the registration statement of which this prospectus forms a part. The primary responsibilities of our board of directors are to provide oversight, strategic guidance, counseling and direction to our management. Our board of directors meets on a regular basis and additionally as required. </w:t>
      </w:r>
    </w:p>
    <w:p>
      <w:pPr>
        <w:pStyle w:val="TextBody"/>
        <w:bidi w:val="0"/>
        <w:spacing w:before="240" w:after="0"/>
        <w:jc w:val="left"/>
        <w:rPr>
          <w:rFonts w:ascii="Times New Roman" w:hAnsi="Times New Roman"/>
          <w:sz w:val="20"/>
        </w:rPr>
      </w:pPr>
      <w:r>
        <w:rPr>
          <w:rFonts w:ascii="Times New Roman" w:hAnsi="Times New Roman"/>
          <w:sz w:val="20"/>
        </w:rPr>
        <w:t xml:space="preserve">Certain members of our board of directors were elected under the provisions of our second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third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 </w:t>
      </w:r>
    </w:p>
    <w:p>
      <w:pPr>
        <w:pStyle w:val="TextBody"/>
        <w:bidi w:val="0"/>
        <w:spacing w:before="360" w:after="0"/>
        <w:jc w:val="left"/>
        <w:rPr>
          <w:rFonts w:ascii="Times New Roman" w:hAnsi="Times New Roman"/>
          <w:b/>
          <w:sz w:val="20"/>
        </w:rPr>
      </w:pPr>
      <w:r>
        <w:rPr>
          <w:rFonts w:ascii="Times New Roman" w:hAnsi="Times New Roman"/>
          <w:b/>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third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will be   and    and their terms will expire at our first annual meeting of stockholders following this offering, to be held in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be    and    and their terms will expire at our second annual meeting of stockholders following this offering, to be held in    ;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be    and    and their terms will expire at our third annual meeting of stockholders following this offering, to be held in    .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This classification of our board of directors may have the effect of delaying or preventing changes in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Under the listing standards, requirements and rules of The Nasdaq Stock Market LLC (Nasdaq Listing Rules), independent directors must comprise a majority of our board of directors as a listed company within one year of the listing date. </w:t>
      </w:r>
    </w:p>
    <w:p>
      <w:pPr>
        <w:pStyle w:val="TextBody"/>
        <w:bidi w:val="0"/>
        <w:spacing w:before="240" w:after="0"/>
        <w:jc w:val="left"/>
        <w:rPr>
          <w:rFonts w:ascii="Times New Roman" w:hAnsi="Times New Roman"/>
          <w:sz w:val="20"/>
        </w:rPr>
      </w:pPr>
      <w:r>
        <w:rPr>
          <w:rFonts w:ascii="Times New Roman" w:hAnsi="Times New Roman"/>
          <w:sz w:val="20"/>
        </w:rPr>
        <w:t>Our board of directors has undertaken a review of the independence of each director. Based on information provided by each director concerning her or his background, employment, and affiliations, including family relationships, our board of directors has determined that    ,    and    do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Mr. Ceesay and Dr. Bredt, by virtue of their employment relationships with us, and Dr. Huber, by virtue of his former position as our President and Chief Executive Officer,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w:t>
      </w:r>
      <w:r>
        <w:rPr>
          <w:rFonts w:ascii="Times New Roman" w:hAnsi="Times New Roman"/>
          <w:i/>
          <w:sz w:val="20"/>
        </w:rPr>
        <w:t>Certain Relationships and Related Person Transactions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Policies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intend to adopt policies and procedures for director candidates for our nominating and corporate governance committee, which will provide that the value of diversity should be considered in determining director candidates, as well as other factors, such as a candidates character, judgment, skills, education, expertise, and absence of conflicts of interest.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The nominating and corporate governance committee and the full board of directors are committed to creating a board of directors with diversity, including diversity of expertise, experience, background, and gender, and are committed to identifying, recruiting, and advancing candidates offering such diversity in future searches.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and 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Currently, the role of chairman of our board of directors is separated from the role of chief executive officer. We believe that separating these positions allows our chief executive officer to focus on our day-to-day business, while allowing the chairman of our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well as the commitment required to serve as our chair of our board of directors, particularly as the board of directors oversight responsibilities continue to grow. While our bylaws and corporate governance guidelines do not require that our board chair and chief executive officer positions be separate, our board of directors believes that having separate positions is the appropriate leadership structure for us at this time and demonstrates our commitment to good corporate governance. </w:t>
      </w:r>
    </w:p>
    <w:p>
      <w:pPr>
        <w:pStyle w:val="TextBody"/>
        <w:bidi w:val="0"/>
        <w:spacing w:before="240" w:after="0"/>
        <w:jc w:val="left"/>
        <w:rPr>
          <w:rFonts w:ascii="Times New Roman" w:hAnsi="Times New Roman"/>
          <w:sz w:val="20"/>
        </w:rPr>
      </w:pPr>
      <w:r>
        <w:rPr>
          <w:rFonts w:ascii="Times New Roman" w:hAnsi="Times New Roman"/>
          <w:sz w:val="20"/>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w:t>
      </w:r>
      <w:r>
        <w:rPr>
          <w:rFonts w:ascii="Times New Roman" w:hAnsi="Times New Roman"/>
          <w:i/>
          <w:sz w:val="20"/>
        </w:rPr>
        <w:t>Risk Factors</w:t>
      </w:r>
      <w:r>
        <w:rPr>
          <w:rFonts w:ascii="Times New Roman" w:hAnsi="Times New Roman"/>
          <w:sz w:val="20"/>
        </w:rPr>
        <w:t xml:space="preserve"> included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240" w:after="0"/>
        <w:jc w:val="left"/>
        <w:rPr>
          <w:rFonts w:ascii="Times New Roman" w:hAnsi="Times New Roman"/>
          <w:sz w:val="20"/>
        </w:rPr>
      </w:pPr>
      <w:r>
        <w:rPr>
          <w:rFonts w:ascii="Times New Roman" w:hAnsi="Times New Roman"/>
          <w:sz w:val="20"/>
        </w:rPr>
        <w:t xml:space="preserve">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t>
      </w:r>
      <w:r>
        <w:rPr>
          <w:rFonts w:ascii="Times New Roman" w:hAnsi="Times New Roman"/>
          <w:i/>
          <w:sz w:val="20"/>
        </w:rPr>
        <w:t>www.rapportrx.com</w:t>
      </w:r>
      <w:r>
        <w:rPr>
          <w:rFonts w:ascii="Times New Roman" w:hAnsi="Times New Roman"/>
          <w:sz w:val="20"/>
        </w:rPr>
        <w:t xml:space="preserve"> upon the completion of this offering. Our board of directors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audit committee will consist of    ,    and    , and the chair of our audit committee will be .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that    is an audit committee financial expert within the meaning of SEC regulations. In arriving at these determinations, our board of directors has examined each audit committee members scope of experience and the nature of their employment in the corporate finance sector.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selection, engagement, qualifications, independence and performance of a qualified firm to serve as the independent registered public accounting firm to audit our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insurance coverage for our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overseeing the preparation of our annual proxy statement, reviewing with management our financial statements to be included in our quarterly reports to be filed with the SEC, and reviewing with management the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disclosures in our periodic reports filed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the independent registered public accounting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will operate under a written charter, which will be effective upon the completion of this offering, that satisfies the applicable Nasdaq Listing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compensation committee will consist of     ,     and    , and the chair of our compensation committee will be    . Our board of directors has determined that each member of the compensation committee is independent under the Nasdaq Listing Rules and is a non-employee director as defined in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of our chief executive officer, other executive officers, and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the compensation paid to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arrangements with our executive officers and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equity incentive plans and other benefit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evaluating and recommending to our board of directors succession plans for our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our employees, including our overall compensation philosophy.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will operate under a written charter, which will be effective upon the completion of this offering, that satisfies the applicable Nasdaq Listing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nominating and corporate governance committee will consist of    ,    and    , and the chair of our nominating and corporate governance committee will be    .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nominating and corporate governance committee is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evaluating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our board of directors regarding the composition and chairmanship of the committees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instituting plans or programs for the continuing education of our board of directors and orientation of new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making recommendations to our board of directors regarding corporate governance guidelines and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evaluations of the board of directors performance, including committees of the board of directors and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will operate under a written charter, which will be effective upon the completion of this offering, that satisfies the applicable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Times New Roman" w:hAnsi="Times New Roman"/>
          <w:i/>
          <w:sz w:val="20"/>
        </w:rPr>
        <w:t>www.rapportrx.com</w:t>
      </w:r>
      <w:r>
        <w:rPr>
          <w:rFonts w:ascii="Times New Roman" w:hAnsi="Times New Roman"/>
          <w:sz w:val="20"/>
        </w:rPr>
        <w:t xml:space="preserve">.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the compensation committee is currently, or has been at any time, one of our officers or employees. None of our officers currently serve, or have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Recovery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intend to adopt a compensation recovery policy that is compliant with the Nasdaq Listing Rules, as required by the Dodd-Frank Act, to be effective in connection with the effectiveness of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Limitations on Liability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Delaware law, provisions in our third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limit or eliminate the personal liability of directors and officers for a breach of their fiduciary duty of care as a director or officer. The duty of care generally requires that, when acting on behalf of the corporation, a director and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 or officers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our directors, unlawful payments of dividends or unlawful stock repurchases, or redemptions as provided in Section 174 of the Delaware General Corporation Law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our officers, any derivative action by or in the right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third amended and restated certificate of incorporation that will become effective upon the closing of this offering also authorizes us to indemnify our officers, directors and other agents to the fullest extent permitted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Delaware law, our amended and restated bylaws will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our directors, officers, employees and other agents to the fullest extent permitted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advance expenses to our directors and officers, and may advance expenses to our employees and other agents, in connection with a legal proceeding to the fullest extent permitted by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provided in our amended and restated bylaws are not exclusive.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have obtained such insurance.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indemnification that will be provided for in our third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the indemnification provisions of our third amended and restated certificate of incorporation, our amended and restated bylaws and our indemnification agreements is qualified in its entirety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to these documents, each of which is attached as an exhibit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803738_11"/>
      <w:bookmarkEnd w:id="13"/>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contains forward looking statements that are based on our current plans, considerations, expectations and determinations regarding our future compensation programs. The actual amount and form of compensation and the compensation policies and practices that we adopt in the future may differ materially from currently planned programs as summarized in this discussion. </w:t>
      </w:r>
    </w:p>
    <w:p>
      <w:pPr>
        <w:pStyle w:val="TextBody"/>
        <w:bidi w:val="0"/>
        <w:spacing w:before="240" w:after="0"/>
        <w:jc w:val="left"/>
        <w:rPr>
          <w:rFonts w:ascii="Times New Roman" w:hAnsi="Times New Roman"/>
          <w:sz w:val="20"/>
        </w:rPr>
      </w:pPr>
      <w:r>
        <w:rPr>
          <w:rFonts w:ascii="Times New Roman" w:hAnsi="Times New Roman"/>
          <w:sz w:val="20"/>
        </w:rPr>
        <w:t xml:space="preserve">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2023 is detailed in the 2023 Summary Compensation Table and accompanying footnotes and narrative that follow. Our named executive officers for the fiscal year ended December 31, 2023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Abraham N. Ceesay, M.B.A.,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Reid Huber, Ph.D., our former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Troy Ignelzi, our Chief Financial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Cheryl Gault, our Chief Operations Officer.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Huber served as our Chief Executive Officer until Mr. Ceesay commenced employment with us in February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date, the compensation of our named executive officers has consisted of a combination of base salary, cash bonuses and long-term incentive compensation in the form of restricted stock awards and stock options. Our named executive officers who are full-time employees are eligible to participate in our health and welfare benefit plans and 401(k) plan like all of our full-time employees. As we transition from a private company to a publicly traded company, we intend to evaluate our compensation values and philosophy and compensation plans and arrangements as circumstances require. </w:t>
      </w:r>
    </w:p>
    <w:p>
      <w:pPr>
        <w:pStyle w:val="TextBody"/>
        <w:bidi w:val="0"/>
        <w:spacing w:before="360" w:after="0"/>
        <w:jc w:val="left"/>
        <w:rPr>
          <w:rFonts w:ascii="Times New Roman" w:hAnsi="Times New Roman"/>
          <w:b/>
          <w:sz w:val="20"/>
        </w:rPr>
      </w:pPr>
      <w:r>
        <w:rPr>
          <w:rFonts w:ascii="Times New Roman" w:hAnsi="Times New Roman"/>
          <w:b/>
          <w:sz w:val="20"/>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total compensation earned by, or paid to, our named executive officers for services rendered to us in all capacities during the fiscal year ended December 31, 2023. </w:t>
      </w:r>
    </w:p>
    <w:p>
      <w:pPr>
        <w:pStyle w:val="TextBody"/>
        <w:bidi w:val="0"/>
        <w:spacing w:before="0" w:after="0"/>
        <w:jc w:val="left"/>
        <w:rPr/>
      </w:pPr>
      <w:r>
        <w:rPr/>
        <w:t> </w:t>
      </w:r>
    </w:p>
    <w:tbl>
      <w:tblPr>
        <w:tblW w:w="11980" w:type="dxa"/>
        <w:jc w:val="center"/>
        <w:tblInd w:w="0" w:type="dxa"/>
        <w:tblLayout w:type="fixed"/>
        <w:tblCellMar>
          <w:top w:w="0" w:type="dxa"/>
          <w:left w:w="0" w:type="dxa"/>
          <w:bottom w:w="0" w:type="dxa"/>
          <w:right w:w="0" w:type="dxa"/>
        </w:tblCellMar>
      </w:tblPr>
      <w:tblGrid>
        <w:gridCol w:w="1460"/>
        <w:gridCol w:w="60"/>
        <w:gridCol w:w="60"/>
        <w:gridCol w:w="500"/>
        <w:gridCol w:w="60"/>
        <w:gridCol w:w="60"/>
        <w:gridCol w:w="60"/>
        <w:gridCol w:w="800"/>
        <w:gridCol w:w="60"/>
        <w:gridCol w:w="60"/>
        <w:gridCol w:w="60"/>
        <w:gridCol w:w="860"/>
        <w:gridCol w:w="470"/>
        <w:gridCol w:w="60"/>
        <w:gridCol w:w="60"/>
        <w:gridCol w:w="980"/>
        <w:gridCol w:w="60"/>
        <w:gridCol w:w="60"/>
        <w:gridCol w:w="75"/>
        <w:gridCol w:w="1010"/>
        <w:gridCol w:w="60"/>
        <w:gridCol w:w="60"/>
        <w:gridCol w:w="121"/>
        <w:gridCol w:w="1624"/>
        <w:gridCol w:w="60"/>
        <w:gridCol w:w="60"/>
        <w:gridCol w:w="97"/>
        <w:gridCol w:w="1393"/>
        <w:gridCol w:w="470"/>
        <w:gridCol w:w="60"/>
        <w:gridCol w:w="60"/>
        <w:gridCol w:w="980"/>
        <w:gridCol w:w="60"/>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w:t>
              <w:br/>
              <w:t>Position</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Salary</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pPr>
            <w:r>
              <w:rPr>
                <w:b/>
              </w:rPr>
              <w:t>Bonus</w:t>
            </w:r>
            <w:r>
              <w:rPr/>
              <w:br/>
            </w:r>
            <w:r>
              <w:rPr>
                <w:b/>
              </w:rPr>
              <w:t>($)</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Awards (1)</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br/>
              <w:t>Awards (1)</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br/>
              <w:t>Incentive Plan</w:t>
              <w:br/>
              <w:t>Compensation (2)</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20"/>
              </w:rPr>
            </w:pPr>
            <w:r>
              <w:rPr>
                <w:sz w:val="20"/>
              </w:rPr>
              <w:t>Abraham N.</w:t>
              <w:br/>
              <w:t>Ceesay, M.B.A.</w:t>
            </w:r>
          </w:p>
        </w:tc>
        <w:tc>
          <w:tcPr>
            <w:tcW w:w="6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i/>
                <w:sz w:val="20"/>
              </w:rPr>
              <w:t>Chief Executive Officer</w:t>
            </w:r>
            <w:r>
              <w:rPr>
                <w:rFonts w:ascii="Times New Roman" w:hAnsi="Times New Roman"/>
                <w:sz w:val="20"/>
              </w:rPr>
              <w:t> </w:t>
            </w:r>
            <w:r>
              <w:rPr>
                <w:rFonts w:ascii="Times New Roman" w:hAnsi="Times New Roman"/>
                <w:b/>
                <w:sz w:val="20"/>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400,096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250,000 </w:t>
            </w:r>
          </w:p>
        </w:tc>
        <w:tc>
          <w:tcPr>
            <w:tcW w:w="47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1,513,805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231,167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20,772 </w:t>
            </w:r>
          </w:p>
        </w:tc>
        <w:tc>
          <w:tcPr>
            <w:tcW w:w="470" w:type="dxa"/>
            <w:tcBorders/>
            <w:shd w:fill="CCEEFF" w:val="clear"/>
            <w:vAlign w:val="bottom"/>
          </w:tcPr>
          <w:p>
            <w:pPr>
              <w:pStyle w:val="TableContents"/>
              <w:bidi w:val="0"/>
              <w:spacing w:before="0" w:after="283"/>
              <w:jc w:val="left"/>
              <w:rPr/>
            </w:pPr>
            <w:r>
              <w:rPr>
                <w:b/>
              </w:rPr>
              <w:t>(5)</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2,415,840</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Reid Huber, Ph.D.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6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Former 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400,225 </w:t>
            </w:r>
          </w:p>
        </w:tc>
        <w:tc>
          <w:tcPr>
            <w:tcW w:w="470" w:type="dxa"/>
            <w:tcBorders/>
            <w:shd w:fill="CCEEFF" w:val="clear"/>
            <w:vAlign w:val="bottom"/>
          </w:tcPr>
          <w:p>
            <w:pPr>
              <w:pStyle w:val="TableContents"/>
              <w:bidi w:val="0"/>
              <w:spacing w:before="0" w:after="283"/>
              <w:jc w:val="left"/>
              <w:rPr/>
            </w:pPr>
            <w:r>
              <w:rPr>
                <w:b/>
              </w:rPr>
              <w:t>(6)</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400,225</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Troy Ignelzi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i/>
                <w:sz w:val="20"/>
              </w:rPr>
              <w:t>Chief Financial Officer</w:t>
            </w:r>
            <w:r>
              <w:rPr>
                <w:rFonts w:ascii="Times New Roman" w:hAnsi="Times New Roman"/>
                <w:sz w:val="20"/>
              </w:rPr>
              <w:t> </w:t>
            </w:r>
            <w:r>
              <w:rPr>
                <w:rFonts w:ascii="Times New Roman" w:hAnsi="Times New Roman"/>
                <w:b/>
                <w:sz w:val="2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69,462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2,018,084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35,770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7,141 </w:t>
            </w:r>
          </w:p>
        </w:tc>
        <w:tc>
          <w:tcPr>
            <w:tcW w:w="470" w:type="dxa"/>
            <w:tcBorders/>
            <w:shd w:fill="CCEEFF" w:val="clear"/>
            <w:vAlign w:val="bottom"/>
          </w:tcPr>
          <w:p>
            <w:pPr>
              <w:pStyle w:val="TableContents"/>
              <w:bidi w:val="0"/>
              <w:spacing w:before="0" w:after="283"/>
              <w:jc w:val="left"/>
              <w:rPr/>
            </w:pPr>
            <w:r>
              <w:rPr>
                <w:b/>
              </w:rPr>
              <w:t>(8)</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2,130,457</w:t>
            </w:r>
          </w:p>
        </w:tc>
        <w:tc>
          <w:tcPr>
            <w:tcW w:w="6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Cheryl Gault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39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i/>
                <w:sz w:val="20"/>
              </w:rPr>
              <w:t>Chief Operations Officer</w:t>
            </w:r>
            <w:r>
              <w:rPr>
                <w:rFonts w:ascii="Times New Roman" w:hAnsi="Times New Roman"/>
                <w:sz w:val="20"/>
              </w:rPr>
              <w:t> </w:t>
            </w:r>
            <w:r>
              <w:rPr>
                <w:rFonts w:ascii="Times New Roman" w:hAnsi="Times New Roman"/>
                <w:b/>
                <w:sz w:val="20"/>
              </w:rPr>
              <w:t>(9)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132,462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75,000 </w:t>
            </w:r>
          </w:p>
        </w:tc>
        <w:tc>
          <w:tcPr>
            <w:tcW w:w="470" w:type="dxa"/>
            <w:tcBorders/>
            <w:shd w:fill="CCEEFF" w:val="clear"/>
            <w:vAlign w:val="bottom"/>
          </w:tcPr>
          <w:p>
            <w:pPr>
              <w:pStyle w:val="TableContents"/>
              <w:bidi w:val="0"/>
              <w:spacing w:before="0" w:after="283"/>
              <w:jc w:val="left"/>
              <w:rPr/>
            </w:pPr>
            <w:r>
              <w:rPr/>
              <w:t>(10)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662,259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838,696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71,540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2,108 </w:t>
            </w:r>
          </w:p>
        </w:tc>
        <w:tc>
          <w:tcPr>
            <w:tcW w:w="470" w:type="dxa"/>
            <w:tcBorders/>
            <w:shd w:fill="CCEEFF" w:val="clear"/>
            <w:vAlign w:val="bottom"/>
          </w:tcPr>
          <w:p>
            <w:pPr>
              <w:pStyle w:val="TableContents"/>
              <w:bidi w:val="0"/>
              <w:spacing w:before="0" w:after="283"/>
              <w:jc w:val="left"/>
              <w:rPr/>
            </w:pPr>
            <w:r>
              <w:rPr>
                <w:b/>
              </w:rPr>
              <w:t>(11)</w:t>
            </w: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1,782,065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reported in this column represent the aggregate grant date fair value of stock awards and option awards granted to the named executive officers during 2023, as calculated in accordance with Financial Accounting Standards Board (FASB) Accounting Standards Codification (ASC) Topic 718. Such grant date value does not take into account any estimated forfeitures related to service-based vesting conditions. The assumptions used in the grant date fair value of the awards in this column are described in Note 9</w:t>
            </w:r>
            <w:r>
              <w:rPr>
                <w:rFonts w:ascii="Times New Roman" w:hAnsi="Times New Roman"/>
                <w:i/>
                <w:sz w:val="20"/>
              </w:rPr>
              <w:t>Stock-Based Compensation</w:t>
            </w:r>
            <w:r>
              <w:rPr>
                <w:rFonts w:ascii="Times New Roman" w:hAnsi="Times New Roman"/>
                <w:sz w:val="20"/>
              </w:rPr>
              <w:t> to our consolidated financial statements included elsewhere in this prospectus. These awards are described in more detail under the section titled </w:t>
            </w:r>
            <w:r>
              <w:rPr>
                <w:rFonts w:ascii="Times New Roman" w:hAnsi="Times New Roman"/>
                <w:i/>
                <w:sz w:val="20"/>
              </w:rPr>
              <w:t>Narrative Disclosure to Summary Compensation TableEquity-Based Compensation</w:t>
            </w:r>
            <w:r>
              <w:rPr>
                <w:rFonts w:ascii="Times New Roman" w:hAnsi="Times New Roman"/>
                <w:sz w:val="20"/>
              </w:rPr>
              <w:t xml:space="preserve">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reported represent the prorated annual bonuses each named executive officer earned under our annual cash bonus program based on achievement of company performance and individual performance during the year ended December 31, 2023 for their partial year of employment. For more information on these bonuses, see description of the annual performance bonuses under the section titled </w:t>
            </w:r>
            <w:r>
              <w:rPr>
                <w:rFonts w:ascii="Times New Roman" w:hAnsi="Times New Roman"/>
                <w:i/>
                <w:sz w:val="20"/>
              </w:rPr>
              <w:t>Narrative Disclosure to Summary Compensation Table2023 Cash Bonuses</w:t>
            </w:r>
            <w:r>
              <w:rPr>
                <w:rFonts w:ascii="Times New Roman" w:hAnsi="Times New Roman"/>
                <w:sz w:val="20"/>
              </w:rPr>
              <w:t xml:space="preserve"> below.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Ceesay commenced employment with us on February 28, 2023. The amount reported as salary reflects the salary actually earned for his partial year of employment.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a $250,000 signing bonus paid to Mr. Ceesay in connection with the commencement of his employment pursuant to the terms of his offer letter, as described below under the section titled </w:t>
            </w:r>
            <w:r>
              <w:rPr>
                <w:rFonts w:ascii="Times New Roman" w:hAnsi="Times New Roman"/>
                <w:i/>
                <w:sz w:val="20"/>
              </w:rPr>
              <w:t>Executive Compensation ArrangementsEmployment Arrangements in Place Prior to the Offering for Named Executive Officers.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reflects (i) our 401(k) matching contribution in the amount of $6,755, (ii) the reimbursement of legal fees associated with the negotiation of Mr. Ceesays offer letter in the amount of $10,000, (iii) the reimbursement of Mr. Ceesays personal expense in the amount of $2,292, (iv) Mr. Ceesays cell phone reimbursement in the amount of $675 and (v) Company-paid parking passes in the amount of $1,050.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Dr. Huber did not receive any cash compensation from us for his services as our Chief Executive Officer, as his services were provided to us through a service agreement with Third Rock Ventures, LLC (the TRV Agreement). As described below under the section titled </w:t>
            </w:r>
            <w:r>
              <w:rPr>
                <w:rFonts w:ascii="Times New Roman" w:hAnsi="Times New Roman"/>
                <w:i/>
                <w:sz w:val="20"/>
              </w:rPr>
              <w:t>Certain Relationships and Related Person Transactions</w:t>
            </w:r>
            <w:r>
              <w:rPr>
                <w:rFonts w:ascii="Times New Roman" w:hAnsi="Times New Roman"/>
                <w:sz w:val="20"/>
              </w:rPr>
              <w:t xml:space="preserve">, we incurred costs totaling $1.2 million during the fiscal year ended December 31, 2023 for the services provided by Third Rock Ventures, LLC, which included, among other things, the services of Dr. Huber. Of the total fees we incurred under the TRV Agreement in the year ended December 31, 2023, $400,225 was related to the services provided by Dr. Huber.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Ignelzi commenced employment with us on November 1, 2023. The amount reported as salary reflects the salary actually earned for his partial year of employment.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reflects (i) our 401(k) matching contribution in the amount of $1,292, (ii) Mr. Ignelzis cell phone reimbursement in the amount of $150, (iii) the reimbursement of legal fees associated with the negotiation of Mr. Ignelzis offer letter in the amount of $2,365, and (iv) the reimbursement of commuting expenses incurred in connection with his employment in the amount of $3,334.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Gault commenced employment with us on September 7, 2023. The amount reported as salary reflects the salary actually earned for her partial year of employment.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 reported represents a $75,000 sign-on bonus paid to Ms. Gault in connection with the commencement of her employment pursuant to the terms of her offer letter, as described below under the section titled </w:t>
            </w:r>
            <w:r>
              <w:rPr>
                <w:rFonts w:ascii="Times New Roman" w:hAnsi="Times New Roman"/>
                <w:i/>
                <w:sz w:val="20"/>
              </w:rPr>
              <w:t>Executive Compensation ArrangementsEmployment Arrangements in Place Prior to the Offering for Named Executive Officers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reflects (i) our 401(k) matching contribution in the amount of $833, (ii) Ms. Gaults cell phone reimbursement in the amount of $225 and (iii) Company-paid parking passes in the amount of $1,050.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Philosophy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philosophy is to provide a competitive and market-based total compensation program to attract, motivate, and retain our executive team. Our compensation is based heavily on performance, which aligns with our goal to drive long-term growth and value creation.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2023 Base Salaries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may be adjusted from time to time to realign salaries with market levels after taking into account individual responsibilities, performance and experience. As of December 31, 2023, the base salaries for Mr. Ceesay, Mr. Ignelzi and Ms. Gault were $475,000, $420,000 and $420,000,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Cash Bonuses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2023, each of the named executive officers was eligible to earn an annual cash bonus determined by our board of directors in its sole discretion, based on individual performance and achievement of certain corporate performance milestones, including advancing our research and development goals, specifically as it relates to our RAP-219 program, building the leadership team of the organization, and ensuring funding to advance our pipeline. The target annual bonus for each of our named executive officers for the fiscal year ended December 31, 2023 was equal to the percentage of the executives respective annual base salary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6"/>
        <w:gridCol w:w="858"/>
        <w:gridCol w:w="265"/>
        <w:gridCol w:w="1150"/>
        <w:gridCol w:w="276"/>
      </w:tblGrid>
      <w:tr>
        <w:trPr/>
        <w:tc>
          <w:tcPr>
            <w:tcW w:w="7656" w:type="dxa"/>
            <w:tcBorders/>
            <w:vAlign w:val="center"/>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76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858"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 Bonus</w:t>
              <w:br/>
              <w:t>Percentage</w:t>
            </w:r>
          </w:p>
        </w:tc>
        <w:tc>
          <w:tcPr>
            <w:tcW w:w="276" w:type="dxa"/>
            <w:tcBorders/>
            <w:vAlign w:val="bottom"/>
          </w:tcPr>
          <w:p>
            <w:pPr>
              <w:pStyle w:val="TableContents"/>
              <w:bidi w:val="0"/>
              <w:spacing w:before="0" w:after="283"/>
              <w:jc w:val="left"/>
              <w:rPr/>
            </w:pPr>
            <w:r>
              <w:rPr/>
              <w:t> </w:t>
            </w:r>
          </w:p>
        </w:tc>
      </w:tr>
      <w:tr>
        <w:trPr/>
        <w:tc>
          <w:tcPr>
            <w:tcW w:w="7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Abraham N. Ceesay, M.B.A.</w:t>
            </w:r>
          </w:p>
        </w:tc>
        <w:tc>
          <w:tcPr>
            <w:tcW w:w="85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40</w:t>
            </w:r>
          </w:p>
        </w:tc>
        <w:tc>
          <w:tcPr>
            <w:tcW w:w="276" w:type="dxa"/>
            <w:tcBorders/>
            <w:shd w:fill="CCEEFF" w:val="clear"/>
            <w:vAlign w:val="bottom"/>
          </w:tcPr>
          <w:p>
            <w:pPr>
              <w:pStyle w:val="TableContents"/>
              <w:bidi w:val="0"/>
              <w:spacing w:before="0" w:after="283"/>
              <w:jc w:val="left"/>
              <w:rPr/>
            </w:pPr>
            <w:r>
              <w:rPr/>
              <w:t>% </w:t>
            </w:r>
          </w:p>
        </w:tc>
      </w:tr>
      <w:tr>
        <w:trPr/>
        <w:tc>
          <w:tcPr>
            <w:tcW w:w="7656" w:type="dxa"/>
            <w:tcBorders/>
          </w:tcPr>
          <w:p>
            <w:pPr>
              <w:pStyle w:val="TableContents"/>
              <w:bidi w:val="0"/>
              <w:spacing w:before="0" w:after="0"/>
              <w:jc w:val="left"/>
              <w:rPr>
                <w:rFonts w:ascii="Times New Roman" w:hAnsi="Times New Roman"/>
                <w:sz w:val="20"/>
              </w:rPr>
            </w:pPr>
            <w:r>
              <w:rPr>
                <w:rFonts w:ascii="Times New Roman" w:hAnsi="Times New Roman"/>
                <w:sz w:val="20"/>
              </w:rPr>
              <w:t>Troy Ignelzi</w:t>
            </w:r>
          </w:p>
        </w:tc>
        <w:tc>
          <w:tcPr>
            <w:tcW w:w="85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35</w:t>
            </w:r>
          </w:p>
        </w:tc>
        <w:tc>
          <w:tcPr>
            <w:tcW w:w="276" w:type="dxa"/>
            <w:tcBorders/>
            <w:vAlign w:val="bottom"/>
          </w:tcPr>
          <w:p>
            <w:pPr>
              <w:pStyle w:val="TableContents"/>
              <w:bidi w:val="0"/>
              <w:spacing w:before="0" w:after="283"/>
              <w:jc w:val="left"/>
              <w:rPr/>
            </w:pPr>
            <w:r>
              <w:rPr/>
              <w:t>% </w:t>
            </w:r>
          </w:p>
        </w:tc>
      </w:tr>
      <w:tr>
        <w:trPr/>
        <w:tc>
          <w:tcPr>
            <w:tcW w:w="7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Cheryl Gault</w:t>
            </w:r>
          </w:p>
        </w:tc>
        <w:tc>
          <w:tcPr>
            <w:tcW w:w="85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35</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We have granted our named executive officers restricted stock awards or stock options pursuant to each executives respective offer letter with us. </w:t>
      </w:r>
    </w:p>
    <w:p>
      <w:pPr>
        <w:pStyle w:val="TextBody"/>
        <w:bidi w:val="0"/>
        <w:spacing w:before="240" w:after="0"/>
        <w:jc w:val="left"/>
        <w:rPr>
          <w:rFonts w:ascii="Times New Roman" w:hAnsi="Times New Roman"/>
          <w:sz w:val="20"/>
        </w:rPr>
      </w:pPr>
      <w:r>
        <w:rPr>
          <w:rFonts w:ascii="Times New Roman" w:hAnsi="Times New Roman"/>
          <w:sz w:val="20"/>
        </w:rPr>
        <w:t>For additional information regarding outstanding equity awards held by our named executive officers as of December 31, 2023, see the </w:t>
      </w:r>
      <w:r>
        <w:rPr>
          <w:rFonts w:ascii="Times New Roman" w:hAnsi="Times New Roman"/>
          <w:i/>
          <w:sz w:val="20"/>
        </w:rPr>
        <w:t>Outstanding Equity Awards at 2023 Fiscal Year End</w:t>
      </w:r>
      <w:r>
        <w:rPr>
          <w:rFonts w:ascii="Times New Roman" w:hAnsi="Times New Roman"/>
          <w:sz w:val="20"/>
        </w:rPr>
        <w:t xml:space="preserve">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Perquisites/Personal Benefits </w:t>
      </w:r>
    </w:p>
    <w:p>
      <w:pPr>
        <w:pStyle w:val="TextBody"/>
        <w:bidi w:val="0"/>
        <w:spacing w:before="120" w:after="0"/>
        <w:jc w:val="left"/>
        <w:rPr>
          <w:rFonts w:ascii="Times New Roman" w:hAnsi="Times New Roman"/>
          <w:sz w:val="20"/>
        </w:rPr>
      </w:pPr>
      <w:r>
        <w:rPr>
          <w:rFonts w:ascii="Times New Roman" w:hAnsi="Times New Roman"/>
          <w:sz w:val="20"/>
        </w:rPr>
        <w:t>We have provided limited perquisites or personal benefits primarily in the form of (i) legal fee reimbursement in connection with the negotiation of Mr. Ceesays offer letter and Mr. Ignelzis offer letter and (ii) reasonable commuting expenses and a potential relocation bonus pursuant to Mr. Ignelzis offer letter, in each case, as described below under the section titled </w:t>
      </w:r>
      <w:r>
        <w:rPr>
          <w:rFonts w:ascii="Times New Roman" w:hAnsi="Times New Roman"/>
          <w:i/>
          <w:sz w:val="20"/>
        </w:rPr>
        <w:t>Executive Compensation ArrangementsEmployment Arrangements in Place Prior to the Offering for Named Executive Officers.</w:t>
      </w:r>
      <w:r>
        <w:rPr>
          <w:rFonts w:ascii="Times New Roman" w:hAnsi="Times New Roman"/>
          <w:sz w:val="20"/>
        </w:rPr>
        <w:t></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retirement savings plan (401(k) plan) that is intended to qualify for favorable tax treatment under Section 401(a) of the Code, and contains a cash or deferred feature that is intended to meet the requirements of Section 401(k) of the Code. U.S. employees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We make matching contributions equal to 100% of salary deferrals up to 4% of eligible compensation, with 100% immediate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2023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lists all outstanding equity awards held by our named executive officers as of December 31, 2023. </w:t>
      </w:r>
    </w:p>
    <w:p>
      <w:pPr>
        <w:pStyle w:val="TextBody"/>
        <w:bidi w:val="0"/>
        <w:spacing w:before="0" w:after="0"/>
        <w:jc w:val="left"/>
        <w:rPr/>
      </w:pPr>
      <w:r>
        <w:rPr/>
        <w:t> </w:t>
      </w:r>
    </w:p>
    <w:tbl>
      <w:tblPr>
        <w:tblW w:w="11813" w:type="dxa"/>
        <w:jc w:val="center"/>
        <w:tblInd w:w="0" w:type="dxa"/>
        <w:tblLayout w:type="fixed"/>
        <w:tblCellMar>
          <w:top w:w="0" w:type="dxa"/>
          <w:left w:w="0" w:type="dxa"/>
          <w:bottom w:w="0" w:type="dxa"/>
          <w:right w:w="0" w:type="dxa"/>
        </w:tblCellMar>
      </w:tblPr>
      <w:tblGrid>
        <w:gridCol w:w="1655"/>
        <w:gridCol w:w="60"/>
        <w:gridCol w:w="178"/>
        <w:gridCol w:w="1492"/>
        <w:gridCol w:w="410"/>
        <w:gridCol w:w="60"/>
        <w:gridCol w:w="379"/>
        <w:gridCol w:w="886"/>
        <w:gridCol w:w="60"/>
        <w:gridCol w:w="60"/>
        <w:gridCol w:w="83"/>
        <w:gridCol w:w="1362"/>
        <w:gridCol w:w="60"/>
        <w:gridCol w:w="60"/>
        <w:gridCol w:w="211"/>
        <w:gridCol w:w="664"/>
        <w:gridCol w:w="60"/>
        <w:gridCol w:w="60"/>
        <w:gridCol w:w="60"/>
        <w:gridCol w:w="1055"/>
        <w:gridCol w:w="60"/>
        <w:gridCol w:w="60"/>
        <w:gridCol w:w="74"/>
        <w:gridCol w:w="1221"/>
        <w:gridCol w:w="64"/>
        <w:gridCol w:w="64"/>
        <w:gridCol w:w="383"/>
        <w:gridCol w:w="912"/>
        <w:gridCol w:w="60"/>
      </w:tblGrid>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6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(2)</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pPr>
            <w:r>
              <w:rPr>
                <w:b/>
              </w:rPr>
              <w:t>Vesting</w:t>
            </w:r>
            <w:r>
              <w:rPr/>
              <w:br/>
            </w:r>
            <w:r>
              <w:rPr>
                <w:b/>
              </w:rPr>
              <w:t>Commencement</w:t>
            </w:r>
            <w:r>
              <w:rPr/>
              <w:br/>
            </w:r>
            <w:r>
              <w:rPr>
                <w:b/>
              </w:rPr>
              <w:t>Date</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Unexercisable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Exercise</w:t>
            </w:r>
            <w:r>
              <w:rPr/>
              <w:br/>
            </w:r>
            <w:r>
              <w:rPr>
                <w:b/>
              </w:rPr>
              <w:t>Price</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Expiration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 (#) (3)</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b/>
              </w:rPr>
              <w:t>Market</w:t>
            </w:r>
            <w:r>
              <w:rPr/>
              <w:br/>
            </w:r>
            <w:r>
              <w:rPr>
                <w:b/>
              </w:rPr>
              <w:t>Value of</w:t>
            </w:r>
            <w:r>
              <w:rPr/>
              <w:br/>
            </w:r>
            <w:r>
              <w:rPr>
                <w:b/>
              </w:rPr>
              <w:t>Shares or</w:t>
            </w:r>
            <w:r>
              <w:rPr/>
              <w:br/>
            </w:r>
            <w:r>
              <w:rPr>
                <w:b/>
              </w:rPr>
              <w:t>Units of</w:t>
            </w:r>
            <w:r>
              <w:rPr/>
              <w:br/>
            </w:r>
            <w:r>
              <w:rPr>
                <w:b/>
              </w:rPr>
              <w:t>Stock that</w:t>
            </w:r>
            <w:r>
              <w:rPr/>
              <w:br/>
            </w:r>
            <w:r>
              <w:rPr>
                <w:b/>
              </w:rPr>
              <w:t>have Not</w:t>
            </w:r>
            <w:r>
              <w:rPr/>
              <w:br/>
            </w:r>
            <w:r>
              <w:rPr>
                <w:b/>
              </w:rPr>
              <w:t>Vested ($) (4)</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Abraham N. Ceesay, M.B.A.</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tcPr>
          <w:p>
            <w:pPr>
              <w:pStyle w:val="TableContents"/>
              <w:bidi w:val="0"/>
              <w:jc w:val="left"/>
              <w:rPr/>
            </w:pPr>
            <w:r>
              <w:rPr/>
              <w:t> </w:t>
            </w:r>
          </w:p>
          <w:p>
            <w:pPr>
              <w:pStyle w:val="TableContents"/>
              <w:bidi w:val="0"/>
              <w:spacing w:before="0" w:after="20"/>
              <w:jc w:val="left"/>
              <w:rPr/>
            </w:pPr>
            <w:r>
              <w:rPr/>
            </w:r>
          </w:p>
        </w:tc>
        <w:tc>
          <w:tcPr>
            <w:tcW w:w="1492" w:type="dxa"/>
            <w:tcBorders/>
            <w:shd w:fill="CCEEFF" w:val="clear"/>
          </w:tcPr>
          <w:p>
            <w:pPr>
              <w:pStyle w:val="TableContents"/>
              <w:bidi w:val="0"/>
              <w:jc w:val="right"/>
              <w:rPr/>
            </w:pPr>
            <w:r>
              <w:rPr/>
              <w:t>8/7/2023</w:t>
            </w:r>
          </w:p>
          <w:p>
            <w:pPr>
              <w:pStyle w:val="TableContents"/>
              <w:bidi w:val="0"/>
              <w:spacing w:before="0" w:after="20"/>
              <w:jc w:val="right"/>
              <w:rPr>
                <w:rFonts w:ascii="Times New Roman" w:hAnsi="Times New Roman"/>
                <w:sz w:val="20"/>
              </w:rPr>
            </w:pPr>
            <w:r>
              <w:rPr>
                <w:rFonts w:ascii="Times New Roman" w:hAnsi="Times New Roman"/>
                <w:sz w:val="20"/>
              </w:rPr>
              <w:t>12/9/2022</w:t>
              <w:br/>
              <w:t>2/21/2023</w:t>
            </w:r>
          </w:p>
        </w:tc>
        <w:tc>
          <w:tcPr>
            <w:tcW w:w="410" w:type="dxa"/>
            <w:tcBorders/>
            <w:shd w:fill="CCEEFF" w:val="clear"/>
          </w:tcPr>
          <w:p>
            <w:pPr>
              <w:pStyle w:val="TableContents"/>
              <w:bidi w:val="0"/>
              <w:jc w:val="left"/>
              <w:rPr/>
            </w:pPr>
            <w:r>
              <w:rPr/>
              <w:t> </w:t>
            </w:r>
            <w:r>
              <w:rPr/>
              <w:t>(5) </w:t>
            </w:r>
          </w:p>
          <w:p>
            <w:pPr>
              <w:pStyle w:val="TableContents"/>
              <w:bidi w:val="0"/>
              <w:spacing w:before="0" w:after="20"/>
              <w:jc w:val="left"/>
              <w:rPr/>
            </w:pPr>
            <w:r>
              <w:rPr/>
              <w:t> </w:t>
            </w:r>
            <w:r>
              <w:rPr>
                <w:rFonts w:ascii="Times New Roman" w:hAnsi="Times New Roman"/>
                <w:sz w:val="20"/>
              </w:rPr>
              <w:b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tcPr>
          <w:p>
            <w:pPr>
              <w:pStyle w:val="TableContents"/>
              <w:bidi w:val="0"/>
              <w:spacing w:before="0" w:after="283"/>
              <w:jc w:val="left"/>
              <w:rPr/>
            </w:pPr>
            <w:r>
              <w:rPr/>
              <w:t> </w:t>
            </w:r>
          </w:p>
        </w:tc>
        <w:tc>
          <w:tcPr>
            <w:tcW w:w="886" w:type="dxa"/>
            <w:tcBorders/>
            <w:shd w:fill="CCEEFF" w:val="clear"/>
          </w:tcPr>
          <w:p>
            <w:pPr>
              <w:pStyle w:val="TableContents"/>
              <w:bidi w:val="0"/>
              <w:spacing w:before="0" w:after="283"/>
              <w:jc w:val="right"/>
              <w:rPr/>
            </w:pPr>
            <w:r>
              <w:rPr/>
              <w:t> </w:t>
              <w:br/>
              <w:t> </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tcPr>
          <w:p>
            <w:pPr>
              <w:pStyle w:val="TableContents"/>
              <w:bidi w:val="0"/>
              <w:spacing w:before="0" w:after="283"/>
              <w:jc w:val="left"/>
              <w:rPr/>
            </w:pPr>
            <w:r>
              <w:rPr/>
              <w:t> </w:t>
            </w:r>
          </w:p>
        </w:tc>
        <w:tc>
          <w:tcPr>
            <w:tcW w:w="1362" w:type="dxa"/>
            <w:tcBorders/>
            <w:shd w:fill="CCEEFF" w:val="clear"/>
          </w:tcPr>
          <w:p>
            <w:pPr>
              <w:pStyle w:val="TableContents"/>
              <w:bidi w:val="0"/>
              <w:spacing w:before="0" w:after="283"/>
              <w:jc w:val="right"/>
              <w:rPr/>
            </w:pPr>
            <w:r>
              <w:rPr/>
              <w:t>2,259,411</w:t>
              <w:br/>
              <w:t> </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tcPr>
          <w:p>
            <w:pPr>
              <w:pStyle w:val="TableContents"/>
              <w:bidi w:val="0"/>
              <w:spacing w:before="0" w:after="283"/>
              <w:jc w:val="left"/>
              <w:rPr/>
            </w:pPr>
            <w:r>
              <w:rPr/>
              <w:t>$</w:t>
              <w:br/>
              <w:t> </w:t>
            </w:r>
          </w:p>
        </w:tc>
        <w:tc>
          <w:tcPr>
            <w:tcW w:w="664" w:type="dxa"/>
            <w:tcBorders/>
            <w:shd w:fill="CCEEFF" w:val="clear"/>
          </w:tcPr>
          <w:p>
            <w:pPr>
              <w:pStyle w:val="TableContents"/>
              <w:bidi w:val="0"/>
              <w:spacing w:before="0" w:after="283"/>
              <w:jc w:val="right"/>
              <w:rPr/>
            </w:pPr>
            <w:r>
              <w:rPr/>
              <w:t>0.21</w:t>
              <w:br/>
              <w:t> </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055" w:type="dxa"/>
            <w:tcBorders/>
            <w:shd w:fill="CCEEFF" w:val="clear"/>
          </w:tcPr>
          <w:p>
            <w:pPr>
              <w:pStyle w:val="TableContents"/>
              <w:bidi w:val="0"/>
              <w:spacing w:before="0" w:after="283"/>
              <w:jc w:val="right"/>
              <w:rPr/>
            </w:pPr>
            <w:r>
              <w:rPr/>
              <w:t>12/05/2033</w:t>
              <w:br/>
              <w:t> </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right"/>
              <w:rPr/>
            </w:pPr>
            <w:r>
              <w:rPr/>
              <w:t> </w:t>
              <w:br/>
              <w:t>2,762,148</w:t>
              <w:br/>
              <w:t>2,438,969</w:t>
            </w:r>
          </w:p>
        </w:tc>
        <w:tc>
          <w:tcPr>
            <w:tcW w:w="64" w:type="dxa"/>
            <w:tcBorders/>
            <w:shd w:fill="CCEEFF" w:val="clear"/>
          </w:tcPr>
          <w:p>
            <w:pPr>
              <w:pStyle w:val="TableContents"/>
              <w:bidi w:val="0"/>
              <w:spacing w:before="0" w:after="283"/>
              <w:jc w:val="left"/>
              <w:rPr/>
            </w:pPr>
            <w:r>
              <w:rPr/>
              <w:t> </w:t>
            </w:r>
            <w:r>
              <w:rPr/>
              <w:br/>
              <w:t> </w:t>
              <w:br/>
              <w:t> </w:t>
            </w:r>
          </w:p>
        </w:tc>
        <w:tc>
          <w:tcPr>
            <w:tcW w:w="64" w:type="dxa"/>
            <w:tcBorders/>
            <w:shd w:fill="CCEEFF" w:val="clear"/>
            <w:vAlign w:val="bottom"/>
          </w:tcPr>
          <w:p>
            <w:pPr>
              <w:pStyle w:val="TableContents"/>
              <w:bidi w:val="0"/>
              <w:spacing w:before="0" w:after="283"/>
              <w:jc w:val="left"/>
              <w:rPr/>
            </w:pPr>
            <w:r>
              <w:rPr/>
              <w:t> </w:t>
            </w:r>
          </w:p>
        </w:tc>
        <w:tc>
          <w:tcPr>
            <w:tcW w:w="383" w:type="dxa"/>
            <w:tcBorders/>
            <w:shd w:fill="CCEEFF" w:val="clear"/>
          </w:tcPr>
          <w:p>
            <w:pPr>
              <w:pStyle w:val="TableContents"/>
              <w:bidi w:val="0"/>
              <w:spacing w:before="0" w:after="283"/>
              <w:jc w:val="left"/>
              <w:rPr/>
            </w:pPr>
            <w:r>
              <w:rPr/>
              <w:t> </w:t>
            </w:r>
          </w:p>
        </w:tc>
        <w:tc>
          <w:tcPr>
            <w:tcW w:w="912"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Troy Ignelzi</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11/1/2023</w:t>
            </w:r>
          </w:p>
        </w:tc>
        <w:tc>
          <w:tcPr>
            <w:tcW w:w="410" w:type="dxa"/>
            <w:tcBorders/>
            <w:vAlign w:val="bottom"/>
          </w:tcPr>
          <w:p>
            <w:pPr>
              <w:pStyle w:val="TableContents"/>
              <w:bidi w:val="0"/>
              <w:spacing w:before="0" w:after="283"/>
              <w:jc w:val="left"/>
              <w:rPr/>
            </w:pPr>
            <w:r>
              <w:rPr/>
              <w:t> </w:t>
            </w:r>
            <w:r>
              <w:rPr/>
              <w:t>(5)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3,012,066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12/05/2033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Cheryl Gault</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jc w:val="right"/>
              <w:rPr/>
            </w:pPr>
            <w:r>
              <w:rPr/>
              <w:t>8/7/2023</w:t>
            </w:r>
          </w:p>
          <w:p>
            <w:pPr>
              <w:pStyle w:val="TableContents"/>
              <w:bidi w:val="0"/>
              <w:spacing w:before="0" w:after="20"/>
              <w:jc w:val="right"/>
              <w:rPr>
                <w:rFonts w:ascii="Times New Roman" w:hAnsi="Times New Roman"/>
                <w:sz w:val="20"/>
              </w:rPr>
            </w:pPr>
            <w:r>
              <w:rPr>
                <w:rFonts w:ascii="Times New Roman" w:hAnsi="Times New Roman"/>
                <w:sz w:val="20"/>
              </w:rPr>
              <w:t>9/7/2023</w:t>
            </w:r>
          </w:p>
        </w:tc>
        <w:tc>
          <w:tcPr>
            <w:tcW w:w="410" w:type="dxa"/>
            <w:tcBorders/>
            <w:shd w:fill="CCEEFF" w:val="clear"/>
            <w:vAlign w:val="bottom"/>
          </w:tcPr>
          <w:p>
            <w:pPr>
              <w:pStyle w:val="TableContents"/>
              <w:bidi w:val="0"/>
              <w:jc w:val="left"/>
              <w:rPr/>
            </w:pPr>
            <w:r>
              <w:rPr/>
              <w:t> </w:t>
            </w:r>
            <w:r>
              <w:rPr/>
              <w:t>(5) </w:t>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br/>
              <w:t> </w:t>
            </w:r>
          </w:p>
        </w:tc>
        <w:tc>
          <w:tcPr>
            <w:tcW w:w="60"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tcPr>
          <w:p>
            <w:pPr>
              <w:pStyle w:val="TableContents"/>
              <w:bidi w:val="0"/>
              <w:spacing w:before="0" w:after="283"/>
              <w:jc w:val="left"/>
              <w:rPr/>
            </w:pPr>
            <w:r>
              <w:rPr/>
              <w:t> </w:t>
            </w:r>
          </w:p>
        </w:tc>
        <w:tc>
          <w:tcPr>
            <w:tcW w:w="1362" w:type="dxa"/>
            <w:tcBorders/>
            <w:shd w:fill="CCEEFF" w:val="clear"/>
          </w:tcPr>
          <w:p>
            <w:pPr>
              <w:pStyle w:val="TableContents"/>
              <w:bidi w:val="0"/>
              <w:spacing w:before="0" w:after="283"/>
              <w:jc w:val="right"/>
              <w:rPr/>
            </w:pPr>
            <w:r>
              <w:rPr/>
              <w:t>988,446</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tcPr>
          <w:p>
            <w:pPr>
              <w:pStyle w:val="TableContents"/>
              <w:bidi w:val="0"/>
              <w:spacing w:before="0" w:after="283"/>
              <w:jc w:val="left"/>
              <w:rPr/>
            </w:pPr>
            <w:r>
              <w:rPr/>
              <w:t>$</w:t>
            </w:r>
          </w:p>
        </w:tc>
        <w:tc>
          <w:tcPr>
            <w:tcW w:w="664" w:type="dxa"/>
            <w:tcBorders/>
            <w:shd w:fill="CCEEFF" w:val="clear"/>
          </w:tcPr>
          <w:p>
            <w:pPr>
              <w:pStyle w:val="TableContents"/>
              <w:bidi w:val="0"/>
              <w:spacing w:before="0" w:after="283"/>
              <w:jc w:val="right"/>
              <w:rPr/>
            </w:pPr>
            <w:r>
              <w:rPr/>
              <w:t>0.21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055" w:type="dxa"/>
            <w:tcBorders/>
            <w:shd w:fill="CCEEFF" w:val="clear"/>
          </w:tcPr>
          <w:p>
            <w:pPr>
              <w:pStyle w:val="TableContents"/>
              <w:bidi w:val="0"/>
              <w:spacing w:before="0" w:after="283"/>
              <w:jc w:val="right"/>
              <w:rPr/>
            </w:pPr>
            <w:r>
              <w:rPr/>
              <w:t>12/05/2033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1,352,735</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Each stock option award is subject to the terms of our 2022 Stock Option and Grant Plan, as amended. Unless otherwise noted below, each stock option vests as follows: 25% of the shares subject to the stock option vested on the one-year anniversary of the vesting commencement date, and the remaining 75% of the shares subject to the stock option vest on a monthly basis thereafter, in each case, subject to the NEOs continuous service relationship with us through each applicable vesting date. Each stock option is subject to acceleration in the event of a qualified termination within the change in control period, as described below under the section titled </w:t>
            </w:r>
            <w:r>
              <w:rPr>
                <w:rFonts w:ascii="Times New Roman" w:hAnsi="Times New Roman"/>
                <w:i/>
                <w:sz w:val="20"/>
              </w:rPr>
              <w:t>Executive Compensation ArrangementsEmployment Arrangements in Place Prior to the Offering for Named Executive Officers.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Huber served as our Chief Executive Officer until Mr. Ceesay commenced employment with us in February 2023. Dr. Huber did not receive any equity compensation from us for his services as our Chief Executive Officer.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Each restricted stock award is subject to an individual restricted stock award agreement. The restricted shares shall vest over a four-year period, as follows: 25% of the restricted shares shall vest on the first anniversary following the vesting commencement date, and the remaining 75% of the restricted shares vest on each monthly anniversary thereafter over the following three years, subject to the NEOs continuous service relationship with us through each applicable vesting date. The restricted shares are also subject to certain acceleration of vesting provisions as provided in the each named executive officers restricted stock agreement and as summarized below under the section titled </w:t>
            </w:r>
            <w:r>
              <w:rPr>
                <w:rFonts w:ascii="Times New Roman" w:hAnsi="Times New Roman"/>
                <w:i/>
                <w:sz w:val="20"/>
              </w:rPr>
              <w:t>Executive Compensation ArrangementsEmployment Arrangements in Place Prior to the Offering for Named Executive Officers.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for our common stock is based on the assumed initial public offering price of our common stock is based on the assumed initial public offering price of $     per share, which is the midpoint of the price range set forth on the cover page of this prospectus.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stock option award was granted on December 6,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offer letters with each of our named executive officers. Each offer letter or employment agreement provides for at-will employment and the compensation and benefits described below. In connection with this offering, we intend to enter into a new employment agreement with our named executive officers that will be effective as of the closing of this offering, including new severance and change in control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Employment Arrangements in Place Prior to the Offering for Named Executive Officers </w:t>
      </w:r>
    </w:p>
    <w:p>
      <w:pPr>
        <w:pStyle w:val="TextBody"/>
        <w:bidi w:val="0"/>
        <w:spacing w:before="120" w:after="0"/>
        <w:jc w:val="left"/>
        <w:rPr>
          <w:rFonts w:ascii="Times New Roman" w:hAnsi="Times New Roman"/>
          <w:i/>
          <w:sz w:val="20"/>
        </w:rPr>
      </w:pPr>
      <w:r>
        <w:rPr>
          <w:rFonts w:ascii="Times New Roman" w:hAnsi="Times New Roman"/>
          <w:i/>
          <w:sz w:val="20"/>
        </w:rPr>
        <w:t xml:space="preserve">Abraham N. Ceesay, M.B.A.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2022, we entered into an executive offer letter with Mr. Ceesay (the Ceesay Offer Letter) for the position of Chief Executive Officer. The Ceesay Offer Letter provides for Mr. Ceesays at-will employment. Mr. Ceesays current base salary is $475,000 and he is eligible to receive an annual bonus with an annual target amount of 40% of his annual base salary. Mr. Ceesay is eligible to participate in the employee benefit plans available to our employees, subject to the terms of such plans. Pursuant to the Ceesay Offer Letter, Mr. Ceesay received a legal fee reimbursement in connection with the negotiation of the Ceesay Offer Letter. Mr. Ceesay also received a $250,000 signing bonus in connection with the commencement of his employment. This signing bonus is subject to repayment if Mr. Ceesays employment is terminated for Cause (as defined in the Ceesay Offer Letter) or he resigns without Good Reason (as defined in the Ceesay Offer Letter) prior to the third anniversary of his start date as follows: 100% must be repaid if the termination occurs less than 12 months following his start date; 50% must be repaid if the termination occurs at least 12 months and less than 24 months following his start date; and 25% must be repaid if the termination occurs at least 24 months but less than 36 months following his start date. </w:t>
      </w:r>
    </w:p>
    <w:p>
      <w:pPr>
        <w:pStyle w:val="TextBody"/>
        <w:bidi w:val="0"/>
        <w:spacing w:before="240" w:after="0"/>
        <w:jc w:val="left"/>
        <w:rPr>
          <w:rFonts w:ascii="Times New Roman" w:hAnsi="Times New Roman"/>
          <w:sz w:val="20"/>
        </w:rPr>
      </w:pPr>
      <w:r>
        <w:rPr>
          <w:rFonts w:ascii="Times New Roman" w:hAnsi="Times New Roman"/>
          <w:sz w:val="20"/>
        </w:rPr>
        <w:t xml:space="preserve">Upon a termination of Mr. Ceesays employment by us without Cause or his resignation for Good Reason outside of the Change in Control Period (which is the twelve (12) month period that immediately follows the first event constituting a Change in Control), as such terms are defined in the Ceesay Offer Letter, subject to (i) signing a general release of claims in favor of us and (ii) not breaching any of the post-employment covenants and contractual obligations to us Mr. Ceesay shall be entitled to (A) continued payment of his then current base salary for a period of twelve (12) months (or the base salary in effect prior to the applicable material diminution that constitutes Good Reason, in the event of a resignation for Good Reason) and (B) if Mr. Ceesay was participating in our group health plan immediately prior to the termination date and timely elects continuation coverage under COBRA, a monthly payment equal to the monthly employer contribution that we would have made to provide health insurance to Mr. Ceesay had Mr. Ceesay remained employed by us until the earliest of (a) the twelve (12) month anniversary of the date of termination; (b) Mr. Ceesays eligibility for group health plan benefits under any other employers group health plan; or (c) cessation of the continuation rights under COBRA. In addition, and subject to the same conditions, upon a termination by us without Cause or his resignation for Good Reason during the Change in Control Period, in addition to the severance pay and benefits set forth in (A) and (B) above, Mr. Ceesay shall be entitled to (i) a lump sum cash payment equal to Mr. Ceesays target bonus for the year in which the date of termination occurs, (ii) any bonus award to Mr. Ceesay for the prior calendar year but has not yet been paid, other than the target bonus and (iii) full acceleration of his then outstanding and unvested time-based equity awards. </w:t>
      </w:r>
    </w:p>
    <w:p>
      <w:pPr>
        <w:pStyle w:val="TextBody"/>
        <w:bidi w:val="0"/>
        <w:spacing w:before="240" w:after="0"/>
        <w:jc w:val="left"/>
        <w:rPr>
          <w:rFonts w:ascii="Times New Roman" w:hAnsi="Times New Roman"/>
          <w:sz w:val="20"/>
        </w:rPr>
      </w:pPr>
      <w:r>
        <w:rPr>
          <w:rFonts w:ascii="Times New Roman" w:hAnsi="Times New Roman"/>
          <w:sz w:val="20"/>
        </w:rPr>
        <w:t xml:space="preserve">Mr. Ceesay has entered into an Employee Confidentiality, Assignment, and Nonsolicitation Agreement that contains various restrictive covenants, including confidentiality and nonsolicitation. </w:t>
      </w:r>
    </w:p>
    <w:p>
      <w:pPr>
        <w:pStyle w:val="TextBody"/>
        <w:bidi w:val="0"/>
        <w:spacing w:before="360" w:after="0"/>
        <w:jc w:val="left"/>
        <w:rPr>
          <w:rFonts w:ascii="Times New Roman" w:hAnsi="Times New Roman"/>
          <w:i/>
          <w:sz w:val="20"/>
        </w:rPr>
      </w:pPr>
      <w:r>
        <w:rPr>
          <w:rFonts w:ascii="Times New Roman" w:hAnsi="Times New Roman"/>
          <w:i/>
          <w:sz w:val="20"/>
        </w:rPr>
        <w:t xml:space="preserve">Troy Ignelzi </w:t>
      </w:r>
    </w:p>
    <w:p>
      <w:pPr>
        <w:pStyle w:val="TextBody"/>
        <w:bidi w:val="0"/>
        <w:spacing w:before="120" w:after="0"/>
        <w:jc w:val="left"/>
        <w:rPr>
          <w:rFonts w:ascii="Times New Roman" w:hAnsi="Times New Roman"/>
          <w:sz w:val="20"/>
        </w:rPr>
      </w:pPr>
      <w:r>
        <w:rPr>
          <w:rFonts w:ascii="Times New Roman" w:hAnsi="Times New Roman"/>
          <w:sz w:val="20"/>
        </w:rPr>
        <w:t xml:space="preserve">On October 24, 2023, we entered into an executive offer letter with Mr. Ignelzi (the Ignelzi Offer Letter) for the position of Chief Financial Officer. The Ignelzi Offer Letter provides for Mr. Ignelzis at-will employment. Mr. Ignelzis current base salary is $420,000 and he is eligible to receive an annual bonus with an annual target amount of 35% of his annual base salary. Mr. Ignelzi is eligible to participate in the employee benefit plans available to our employees, subject to the terms of such plans. Mr. Ignelzi is also eligible to receive (a) a reimbursement for all reasonable commuting expenses incurred in performing services, (b) a relocation bonus in the event Mr. Ignelzi purchases a new residence in the Cambridge/Boston area within three (3) years of the employment start date, specific terms of which shall be determined at a future date, and (c) a reimbursement for legal expenses incurred of up to $5,000. </w:t>
      </w:r>
    </w:p>
    <w:p>
      <w:pPr>
        <w:pStyle w:val="TextBody"/>
        <w:bidi w:val="0"/>
        <w:spacing w:before="240" w:after="0"/>
        <w:jc w:val="left"/>
        <w:rPr>
          <w:rFonts w:ascii="Times New Roman" w:hAnsi="Times New Roman"/>
          <w:sz w:val="20"/>
        </w:rPr>
      </w:pPr>
      <w:r>
        <w:rPr>
          <w:rFonts w:ascii="Times New Roman" w:hAnsi="Times New Roman"/>
          <w:sz w:val="20"/>
        </w:rPr>
        <w:t xml:space="preserve">Upon a termination of Mr. Ignelzis employment by us without Cause or his resignation for Good Reason outside of the Change in Control Period (which is the two (2) months before or the twelve (12) month period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follows the first event constituting a Change in Control), as such terms are defined in the Ignelzi Offer Letter, subject to (i) signing a general release of claims in favor of us and (ii) not breaching any of the post-employment covenants and contractual obligations to us Mr. Ignelzi shall be entitled to (A) continued payment of his then current base salary for a period of twelve (12) months, and (B) if Mr. Ignelzi was participating in our group health plan immediately prior to the termination date and timely elects continuation coverage under COBRA, a monthly payment equal to the monthly employer contribution that we would have made to provide health insurance to Mr. Ignelzi had Mr. Ignelzi remained employed by us until the earliest of (a) the twelve (12) month anniversary of the date of termination; (b) Mr. Ignelzis eligibility for group health plan benefits under any other employers group health plan; or (c) cessation of the continuation rights under COBRA. In addition, and subject to the same conditions, upon a termination by us without Cause or his resignation for Good Reason during the Change in Control Period, in addition to the severance pay and benefits set forth in (A) and (B) above, Mr. Ignelzi shall be entitled to full acceleration of his then outstanding and unvested time-based equity awards. </w:t>
      </w:r>
    </w:p>
    <w:p>
      <w:pPr>
        <w:pStyle w:val="TextBody"/>
        <w:bidi w:val="0"/>
        <w:spacing w:before="240" w:after="0"/>
        <w:jc w:val="left"/>
        <w:rPr>
          <w:rFonts w:ascii="Times New Roman" w:hAnsi="Times New Roman"/>
          <w:sz w:val="20"/>
        </w:rPr>
      </w:pPr>
      <w:r>
        <w:rPr>
          <w:rFonts w:ascii="Times New Roman" w:hAnsi="Times New Roman"/>
          <w:sz w:val="20"/>
        </w:rPr>
        <w:t xml:space="preserve">Mr. Ignelzi has entered into an Employee Confidentiality, Assignment, and Nonsolicitation Agreement that contains various restrictive covenants, including confidentiality and nonsolicitation. </w:t>
      </w:r>
    </w:p>
    <w:p>
      <w:pPr>
        <w:pStyle w:val="TextBody"/>
        <w:bidi w:val="0"/>
        <w:spacing w:before="360" w:after="0"/>
        <w:jc w:val="left"/>
        <w:rPr>
          <w:rFonts w:ascii="Times New Roman" w:hAnsi="Times New Roman"/>
          <w:i/>
          <w:sz w:val="20"/>
        </w:rPr>
      </w:pPr>
      <w:r>
        <w:rPr>
          <w:rFonts w:ascii="Times New Roman" w:hAnsi="Times New Roman"/>
          <w:i/>
          <w:sz w:val="20"/>
        </w:rPr>
        <w:t xml:space="preserve">Cheryl Gault </w:t>
      </w:r>
    </w:p>
    <w:p>
      <w:pPr>
        <w:pStyle w:val="TextBody"/>
        <w:bidi w:val="0"/>
        <w:spacing w:before="120" w:after="0"/>
        <w:jc w:val="left"/>
        <w:rPr>
          <w:rFonts w:ascii="Times New Roman" w:hAnsi="Times New Roman"/>
          <w:sz w:val="20"/>
        </w:rPr>
      </w:pPr>
      <w:r>
        <w:rPr>
          <w:rFonts w:ascii="Times New Roman" w:hAnsi="Times New Roman"/>
          <w:sz w:val="20"/>
        </w:rPr>
        <w:t xml:space="preserve">On June 29, 2023, we entered into an executive offer letter with Ms. Gault (the Gault Offer Letter) for the position of Chief Operating Officer. The Gault Offer Letter provides for Ms. Gaults at-will employment. Ms. Gaults current base salary is $420,000 and she is eligible to receive an annual bonus with an annual target amount of 35% of her annual base salary. Ms. Gault is eligible to participate in the employee benefit plans available to our employees, subject to the terms of such plans. Ms. Gault also received a $75,000 signing bonus in connection with the commencement of her employment. This signing bonus is subject to 100% repayment if Ms. Gaults employment is terminated for Cause (as defined in the Gault Offer Letter) or she resigns without Good Reason (as defined in the Offer Letter) prior to the first anniversary of her start date. </w:t>
      </w:r>
    </w:p>
    <w:p>
      <w:pPr>
        <w:pStyle w:val="TextBody"/>
        <w:bidi w:val="0"/>
        <w:spacing w:before="240" w:after="0"/>
        <w:jc w:val="left"/>
        <w:rPr>
          <w:rFonts w:ascii="Times New Roman" w:hAnsi="Times New Roman"/>
          <w:sz w:val="20"/>
        </w:rPr>
      </w:pPr>
      <w:r>
        <w:rPr>
          <w:rFonts w:ascii="Times New Roman" w:hAnsi="Times New Roman"/>
          <w:sz w:val="20"/>
        </w:rPr>
        <w:t xml:space="preserve">Upon a termination of Ms. Gaults employment by us without Cause or her resignation for Good Reason outside of the Change in Control Period (which is the two (2) months before or the twelve (12) month period that immediately follows the first event constituting a Change in Control), as such terms are defined in the Gault Offer Letter, subject to (i) signing a general release of claims in favor of us and (ii) not breaching any of the post-employment covenants and contractual obligations to us Ms. Gault shall be entitled to (A) continued payment of her then current base salary for a period of nine (9) months and (B) if Ms. Gault was participating in our group health plan immediately prior to the termination date and timely elects continuation coverage under COBRA, a monthly payment equal to the monthly employer contribution that we would have made to provide health insurance to Ms. Gault had Ms. Gault remained employed by us until the earliest of (a) the twelve (12) month anniversary of the date of termination; (b) Ms. Gaults eligibility for group health plan benefits under any other employers group health plan; or (c) cessation of the continuation rights under COBRA for a period of twelve (12) months. In addition, and subject to the same conditions, upon a termination by us without Cause or her resignation for Good Reason during the Change in Control Period, in addition to the severance pay and benefits set forth in (A) and (B) above, Ms. Gault shall be entitled to a full acceleration of her then outstanding and unvested time-based equity awards. </w:t>
      </w:r>
    </w:p>
    <w:p>
      <w:pPr>
        <w:pStyle w:val="TextBody"/>
        <w:bidi w:val="0"/>
        <w:spacing w:before="240" w:after="0"/>
        <w:jc w:val="left"/>
        <w:rPr>
          <w:rFonts w:ascii="Times New Roman" w:hAnsi="Times New Roman"/>
          <w:sz w:val="20"/>
        </w:rPr>
      </w:pPr>
      <w:r>
        <w:rPr>
          <w:rFonts w:ascii="Times New Roman" w:hAnsi="Times New Roman"/>
          <w:sz w:val="20"/>
        </w:rPr>
        <w:t xml:space="preserve">Ms. Gault has entered into an Employee Confidentiality, Assignment, and Nonsolicitation Agreement that contains various restrictive covenants, including confidentiality and nonsolicitation.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Benefit and Equity Compensation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2022 Stock Option and Grant Plan </w:t>
      </w:r>
    </w:p>
    <w:p>
      <w:pPr>
        <w:pStyle w:val="TextBody"/>
        <w:bidi w:val="0"/>
        <w:spacing w:before="120" w:after="0"/>
        <w:jc w:val="left"/>
        <w:rPr>
          <w:rFonts w:ascii="Times New Roman" w:hAnsi="Times New Roman"/>
          <w:sz w:val="20"/>
        </w:rPr>
      </w:pPr>
      <w:r>
        <w:rPr>
          <w:rFonts w:ascii="Times New Roman" w:hAnsi="Times New Roman"/>
          <w:sz w:val="20"/>
        </w:rPr>
        <w:t xml:space="preserve">Our 2022 Stock Option and Grant Plan was adopted by our board of directors on December 9, 2022 and approved by our stockholders on December 9, 2022. On August 7, 2023, our board of directors adopted and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approved an amendment to the 2022 Stock Option and Grant Plan (as amended, the 2022 Plan). On February 7, 2024, our board of directors adopted a second amendment to the 2022 Plan and our stockholders approved this amendment on February 26, 2024. The 2022 Plan will continue to govern outstanding equity awards granted thereunder. As of May 10, 2024, options to purchase 23,722,506 shares of our common stock at a weighted-average exercise price of $0.64 per share and 1,305,000 shares of restricted stock were outstanding under the 2022 Plan, and 226,323 shares of our common stock remained available for future issuance under the 2022 Plan. Following this offering, we will not grant any further awards under our 2022 Plan, but all outstanding awards under the 2022 Plan will continue to be governed by their existing terms.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underlying any awards under the 2022 Plan that are forfeited, canceled, reacquired by us prior to vesting, satisfied without the issuance of stock or otherwise terminated (other than by exercise) and shares withheld upon exercise of an option or settlement of an award to cover the exercise price or tax withholding, are currently added back to the shares of common stock available for issuance under the 2022 Plan. Following this offering, such shares will be added to the shares of common stock available for issuance under the 2024 Plan.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and our compensation committee have acted as administrators of the 2022 Plan. The administrator has the full power, among other things,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2022 Plan. Persons eligible to participate in the 2022 Plan are officers, employees, non-employee directors, consultants and advisors as selected from time to time by our board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2022 Plan permits the granting of nonqualified stock options and options intended to qualify as incentive stock options under Section 422 of the Code. The per share exercise price of each option is determined by our board of directors but may not be less than 100% of the fair market value of the common stock on the date of grant. The term of each option is fixed by the administrator but may not exceed 10 years from the date of grant. The administrator determines at what time or times each option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The 2022 Plan permits the granting of restricted stock awards. Restricted stock awards are grants of common stock that are subject to various restrictions, including restrictions on transferability and forfeitures provisions. Shares of restricted stock will vest, and the restrictions on such shares will lapse, in accordance with terms and conditions established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2022 Plan permits the granting of unrestricted stock awards and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The 2022 Plan provides that upon the effectiveness of a sale event, as defined in the 2022 Plan, the administrator may take any one or more of the following actions as to all or any (or any portion of) outstanding option awards: (i) provide that all such awards will be assumed or substituted with substantially equivalent awards by the acquiring or succeeding corporation (or affiliate thereof); (ii) provide that all such awards will terminate or forfeit upon the effective time of any such sale event unless assumed or continued by the successor entity, or new stock options or other awards are substituted therefor; or (iii) provide for a cash payment to the holders of awards for each vested award canceled in the sale event. In addition, the administrator may take one or more of the following actions as to all or any (or any portion of) outstanding restricted stock awards and restricted stock units: (i) provide that all unvested awards will be forfeited immediately prior to the effective time of the sale event unless assumed or continued by the successor entity, or awards of the successor entity or parent thereof are substituted therefore; (ii) in the event of the forfeiture of restricted stock, provide that such restricted stock shall be repurchased; or (iii) provide for a cash payment to the holders of awards for the cancellation of the awards. Upon the occurrence of any reorganization, recapitalization, reclassification, stock dividend, stock split, reverse stock split or other similar change in common stock, the administrator will equitably adjust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awards, which may include adjustments to the number and type of securities subject to such outstanding award and/or the exercise price or grant price, thereof.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the administrator, awards may generally not be sold, assigned, transferred, pledged or otherwise encumbered by the person to whom they are granted, either voluntarily or by operation of law, except by will or the laws of descent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amend, suspend or terminate the 2022 Plan at any time, subject to stockholder approval where such approval is required by applicable law. The administrator of the 2022 Plan may also amend, modify or cancel any outstanding award, provided that no amendment to an award may materially and adversely affect a participants rights without his or her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Stock Option and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2024 Plan was adopted by our board of directors on,    , 2024, approved by our stockholders on    , 2024 and will become effective upon the date immediately preceding the date on which the registration statement of which this prospectus is part is declared effective by the SEC. The 2024 Plan will replace the 2022 Plan as our board of directors has determined not to make additional awards under the 2022 Plan following the closing of our initial public offering. However, the 2022 Plan will continue to govern outstanding equity awards granted thereunder. The 2024 Plan allows us to make equity-based and cash-based incentive awards to our officers, employees, directors and consultants.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initially reserved    shares of our common stock for the issuance of awards under the 2024 Plan (the Initial Limit). The 2024 Plan provides that the number of shares reserved and available for issuance under the 2024 Plan will automatically increase on January 1, 2025 and each January 1 thereafter, by     percent of the outstanding number of shares of our common stock on the immediately preceding December 31 or such lesser number of shares as determined by our compensation committee (the Annual Increase). The number of shares reserved under the 2024 Plan is subject to adjustment in the event of a stock split, stock dividend or other change in our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we issue under the 2024 Plan will be authorized but unissued shares or shares that we reacquire. The shares of common stock underlying any awards under the 2024 Plan and the 2022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2024 Plan. </w:t>
      </w:r>
    </w:p>
    <w:p>
      <w:pPr>
        <w:pStyle w:val="TextBody"/>
        <w:bidi w:val="0"/>
        <w:spacing w:before="240" w:after="0"/>
        <w:jc w:val="left"/>
        <w:rPr>
          <w:rFonts w:ascii="Times New Roman" w:hAnsi="Times New Roman"/>
          <w:sz w:val="20"/>
        </w:rPr>
      </w:pPr>
      <w:r>
        <w:rPr>
          <w:rFonts w:ascii="Times New Roman" w:hAnsi="Times New Roman"/>
          <w:sz w:val="20"/>
        </w:rPr>
        <w:t xml:space="preserve">The maximum number of shares of common stock that may be issued in the form of incentive stock options shall not exceed the Initial Limit, cumulatively increased on January 1, 2025 and on each January 1 thereafter by the lesser of the Annual Increase for such year 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grant date fair value of all awards made under our 2024 Plan and all other cash compensation paid by us to any non-employee director in any calendar year for services as a non-employee director shall not exceed $    ; provided, however, that such amount shall be $     for the calendar year in which the applicable non-employee director is initially elected or appointed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2024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2024 Plan. Persons eligible to participate in the 2024 Plan will be those full or part-time officers, employees, non-employee directors and consultants as selected from time to time by our compensation committee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2024 Plan permits the granting of both options to purchase common stock intended to qualify as incentive stock options under Section 422 of the Code and options that do not so qualify. The option exercise price of each option will be determined by our compensation committee but generally may not be less than 100 percent of the fair market value of our common stock on the date of grant unless the option (i) is granted pursuant to a transaction described in, and in a manner consistent with Section 424(a) of the Code, (ii) is granted to an individual who is not subject to U.S. income tax or (iii) complies with Section 409A of the Code. The term of each option will be fixed by our compensation committee and may not exceed 10 years from the date of grant. Our compensation committee will determine at what time or times each option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may award stock appreciation rights under the 2024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will be determined by our compensation committee but generally may not be less than 100 percent of the fair market value of our common stock on the date of grant unless the stock appreciation right (i) is granted pursuant to a transaction described in, and in a manner consistent with Section 424(a) of the Code, (ii) is granted to an individual who is not subject to U.S. income tax or (iii) complies with Section 409A of the Code. The term of each stock appreciation right will be fixed by our compensation committee and may not exceed 10 years from the date of grant. Our compensation committee will determine at what time or times each stock appreciation right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2024 Plan. Unrestricted stock may be granted to participants in recognition of past services or for other valid consideration and may be issued in lieu of cash compensation due to such participant.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may grant dividend equivalent rights to participants that entitle the recipient to receive credits for dividends that would be paid if the recipient had held a specified number of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may grant cash bonuses under the 2024 Plan to participants, subject to the achievement of certain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The 2024 Plan provides that upon the effectiveness of a sale event, as defined in the 2024 Plan, an acquirer or successor entity may assume, continue or substitute outstanding awards under the 2024 Plan. To the extent that awards granted under the 2024 Plan are not assumed or continued or substituted by the successor entity, upon the effective time of the sale event, such awards shall terminate.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(A) the difference between the per share cash consideration payable to stockholders in the sale event and the per share exercise price of the options or stock appreciation rights, multiplied by (B) the number of shares subject to such outstanding vested and exercisable options and stock appreciation rights (to the extent exercisable at prices not in excess of the per share cash consideration), and we may make or provide for a payment, in cash or in kind, to participants holding other vested awards equal to the per share cash consideration multiplied by the number of vested shares underlying such awards.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amend or discontinue the 2024 Plan and our compensation committee may amend or cancel outstanding awards for purposes of satisfying changes in law or any other lawful purpose, but no such action may adversely affect rights under an award without the holders consent. Certain amendments to the 2024 Plan require the approval of our stockholders. The administrator of the 2024 Plan is specifically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exercise its discretion to reduce the exercise price of outstanding stock options and stock appreciation rights or effect the repricing of such awards through cancellation and re-grants without stockholder consent. No awards may be granted under the 2024 Plan after the date that is 10 years from the effective date of the 2024 Plan. No awards under the 2024 Plan have been made prior to the date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Our ESPP was adopted by our board of directors on    , 2024, approved by our stockholders on    , 2024 and will become effective on the date immediately preceding the date on which the registration statement of which this prospectus forms a part is declared effective by the SEC. The ESPP is intended to qualify as an employee stock purchase plan within the meaning of Section 423 of the Code. The ESPP initially reserves and authorizes the issuance of up to a total of    shares of our common stock to participating employees. The ESPP provides that the number of shares reserved and available for issuance will automatically increase on January 1, 2025 and each January 1 thereafter through January 1, 2034, by the least of (i)    shares of common stock, (ii)    percent of the outstanding number of shares of common stock on the immediately preceding December 31, or (iii) such lesser number of shares of common stock as determined by the administrator of the ESPP. The number of shares reserved under the ESPP is subject to adjustment in the event of a stock split, stock dividend or other change in our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All employees employed by us or any designated subsidiary as of the first day of an offering are eligible to participate; provided that the administrator of the ESPP may determine that employees must satisfy one or more of the following service requirements before participating in the ESPP: (1) customary employment with us for more than 20 hours per week and 5 or more months per calendar year, (2) continuous employment with us for a minimum period of time, not to exceed two years, prior to the first date of an offering or (3) such other criteria as the administrator of the ESPP may determine consistent with the requirements of section 423 of the Code. However, any employee who owns 5 percent or more of the total combined voting power or value of all classes of our stock will not be eligible to purchase shares of common stock under the ESPP. </w:t>
      </w:r>
    </w:p>
    <w:p>
      <w:pPr>
        <w:pStyle w:val="TextBody"/>
        <w:bidi w:val="0"/>
        <w:spacing w:before="240" w:after="0"/>
        <w:jc w:val="left"/>
        <w:rPr>
          <w:rFonts w:ascii="Times New Roman" w:hAnsi="Times New Roman"/>
          <w:sz w:val="20"/>
        </w:rPr>
      </w:pPr>
      <w:r>
        <w:rPr>
          <w:rFonts w:ascii="Times New Roman" w:hAnsi="Times New Roman"/>
          <w:sz w:val="20"/>
        </w:rPr>
        <w:t xml:space="preserve">We may make one or more offerings each year to our employees to purchase shares under the ESPP, consisting of one or more purchase periods. Each eligible employee may elect to participate in any offering by submitting an enrollment form at least 15 business days before the applicable offering date. </w:t>
      </w:r>
    </w:p>
    <w:p>
      <w:pPr>
        <w:pStyle w:val="TextBody"/>
        <w:bidi w:val="0"/>
        <w:spacing w:before="240" w:after="0"/>
        <w:jc w:val="left"/>
        <w:rPr>
          <w:rFonts w:ascii="Times New Roman" w:hAnsi="Times New Roman"/>
          <w:sz w:val="20"/>
        </w:rPr>
      </w:pPr>
      <w:r>
        <w:rPr>
          <w:rFonts w:ascii="Times New Roman" w:hAnsi="Times New Roman"/>
          <w:sz w:val="20"/>
        </w:rPr>
        <w:t xml:space="preserve">Each employee who is a participant in the ESPP may purchase shares of our common stock by authorizing payroll deductions of up to percent of his or her eligible compensation during an offering period. Unless the participating employee has previously withdrawn from the offering, his or her accumulated payroll deductions will be used to purchase shares of our common stock on the last business day of the offering period at a price equal to 85 percent of the fair market value of the shares of our common stock on the first business day of the offering period or the last business day of the purchase period, whichever is lower, provided that no more than the number of shares of common stock determined by dividing $25,000 by the fair market value of our common stock on the offering date of the offering (or such other number as established by the administrator in advance of the offering period) may be purchased by any one employee during each offering period. Under applicable tax rules, an employee may purchase no more than $25,000 worth of shares of our common stock, valued at the start of the purchase period, under the ESPP in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accumulated payroll deductions of any employee who is not a participant on the last day of an offering period will be refunded. An employees rights under the ESPP terminate upon voluntary withdrawal from the plan or when the employee ceases employment with us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The ESPP may be terminated or amended by our board of directors at any time. An amendment that increases the number of shares of our common stock authorized under the ESPP and certain other amendments require the approval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Senior Executive Cash Incentive Bonus Plan </w:t>
      </w:r>
    </w:p>
    <w:p>
      <w:pPr>
        <w:pStyle w:val="TextBody"/>
        <w:bidi w:val="0"/>
        <w:spacing w:before="120" w:after="0"/>
        <w:jc w:val="left"/>
        <w:rPr>
          <w:rFonts w:ascii="Times New Roman" w:hAnsi="Times New Roman"/>
          <w:sz w:val="20"/>
        </w:rPr>
      </w:pPr>
      <w:r>
        <w:rPr>
          <w:rFonts w:ascii="Times New Roman" w:hAnsi="Times New Roman"/>
          <w:sz w:val="20"/>
        </w:rPr>
        <w:t xml:space="preserve">On    , 2024 our board of directors adopted the Senior Executive Cash Incentive Bonus Plan (the Bonus Plan). The Bonus Plan provides for annual cash bonus payments based upon the attainment of Company and individual performance targets established by our compensation committee. The payment targets will be related to financial and operational measures or objectives with respect to our Company (the Corporate Performance Goals) as well as individual performance objectives.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may select Corporate Performance Goals from among the following: research, pre-clinical, non-clinical, developmental, publication, clinical or regulatory milestones; scientific or technological advances; R&amp;D capabilities;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including collaborations, joint ventures, or promotion arrangements; operating income (loss); return on capital assets, equity, or investment; stockholder returns; sales; net sales;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organizational health; or any other performance goal as selected by the compensation committee, any of which may be measured in absolute terms, as compared to any incremental increase, in terms of growth, as compared to results of a peer group, against the market as a whole, compared to applicable market indices, and/or measured on a pre-tax or post-tax basis.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 later than 74 days after the end of the fiscal year in which such performance period ends.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803738_11a"/>
      <w:bookmarkEnd w:id="14"/>
      <w:r>
        <w:rPr>
          <w:rFonts w:ascii="Times New Roman" w:hAnsi="Times New Roman"/>
          <w:b/>
          <w:sz w:val="20"/>
        </w:rPr>
        <w:t xml:space="preserve">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2023 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presents the total compensation paid by us to non-employee members of our board of directors during the fiscal year ended December 31, 2023. Other than as set forth in the table and described more fully below, we did not pay any compensation, make any equity awards or non-equity awards to, or pay any other compensation to any of the members of our board of directors in 2023 for their services as members of the board of directors. Mr. Ceesay, our Chief Executive Officer, does not receive any compensation from us for his service on our board of directors. See the section titled </w:t>
      </w:r>
      <w:r>
        <w:rPr>
          <w:rFonts w:ascii="Times New Roman" w:hAnsi="Times New Roman"/>
          <w:i/>
          <w:sz w:val="20"/>
        </w:rPr>
        <w:t>Executive Compensation</w:t>
      </w:r>
      <w:r>
        <w:rPr>
          <w:rFonts w:ascii="Times New Roman" w:hAnsi="Times New Roman"/>
          <w:sz w:val="20"/>
        </w:rPr>
        <w:t> for more information on the compensation paid to or earned by Mr. Ceesay as an employee for year ended December 31, 2023. In addition, Dr. Huber did not receive any compensation from us for his service on our board of directors for year ended December 31, 2023. See the section titled </w:t>
      </w:r>
      <w:r>
        <w:rPr>
          <w:rFonts w:ascii="Times New Roman" w:hAnsi="Times New Roman"/>
          <w:i/>
          <w:sz w:val="20"/>
        </w:rPr>
        <w:t>Executive Compensation</w:t>
      </w:r>
      <w:r>
        <w:rPr>
          <w:rFonts w:ascii="Times New Roman" w:hAnsi="Times New Roman"/>
          <w:sz w:val="20"/>
        </w:rPr>
        <w:t xml:space="preserve"> for more information on the compensation paid to or earned by Dr. Huber for his services to us as our former Chief Executive Officer through the TRV Agreement for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14"/>
        <w:gridCol w:w="303"/>
        <w:gridCol w:w="496"/>
        <w:gridCol w:w="1224"/>
        <w:gridCol w:w="60"/>
        <w:gridCol w:w="303"/>
        <w:gridCol w:w="63"/>
        <w:gridCol w:w="970"/>
        <w:gridCol w:w="60"/>
        <w:gridCol w:w="303"/>
        <w:gridCol w:w="118"/>
        <w:gridCol w:w="1802"/>
        <w:gridCol w:w="361"/>
        <w:gridCol w:w="247"/>
        <w:gridCol w:w="60"/>
        <w:gridCol w:w="854"/>
        <w:gridCol w:w="67"/>
      </w:tblGrid>
      <w:tr>
        <w:trPr/>
        <w:tc>
          <w:tcPr>
            <w:tcW w:w="291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(1)</w:t>
            </w:r>
          </w:p>
        </w:tc>
        <w:tc>
          <w:tcPr>
            <w:tcW w:w="303" w:type="dxa"/>
            <w:tcBorders/>
            <w:vAlign w:val="bottom"/>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 (2)</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 ($)</w:t>
            </w:r>
          </w:p>
        </w:tc>
        <w:tc>
          <w:tcPr>
            <w:tcW w:w="3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7" w:type="dxa"/>
            <w:tcBorders/>
            <w:vAlign w:val="bottom"/>
          </w:tcPr>
          <w:p>
            <w:pPr>
              <w:pStyle w:val="TableContents"/>
              <w:bidi w:val="0"/>
              <w:spacing w:before="0" w:after="283"/>
              <w:jc w:val="left"/>
              <w:rPr/>
            </w:pPr>
            <w:r>
              <w:rPr/>
              <w:t> </w:t>
            </w:r>
          </w:p>
        </w:tc>
      </w:tr>
      <w:tr>
        <w:trPr/>
        <w:tc>
          <w:tcPr>
            <w:tcW w:w="2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Paul, M.D. (3)</w:t>
            </w:r>
          </w:p>
        </w:tc>
        <w:tc>
          <w:tcPr>
            <w:tcW w:w="303"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548,822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802" w:type="dxa"/>
            <w:tcBorders/>
            <w:shd w:fill="CCEEFF" w:val="clear"/>
            <w:vAlign w:val="bottom"/>
          </w:tcPr>
          <w:p>
            <w:pPr>
              <w:pStyle w:val="TableContents"/>
              <w:bidi w:val="0"/>
              <w:spacing w:before="0" w:after="283"/>
              <w:jc w:val="right"/>
              <w:rPr/>
            </w:pPr>
            <w:r>
              <w:rPr/>
              <w:t>20,165 </w:t>
            </w:r>
          </w:p>
        </w:tc>
        <w:tc>
          <w:tcPr>
            <w:tcW w:w="361" w:type="dxa"/>
            <w:tcBorders/>
            <w:shd w:fill="CCEEFF" w:val="clear"/>
            <w:vAlign w:val="bottom"/>
          </w:tcPr>
          <w:p>
            <w:pPr>
              <w:pStyle w:val="TableContents"/>
              <w:bidi w:val="0"/>
              <w:spacing w:before="0" w:after="283"/>
              <w:jc w:val="left"/>
              <w:rPr/>
            </w:pPr>
            <w:r>
              <w:rPr/>
              <w:t>(4)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568,987</w:t>
            </w:r>
          </w:p>
        </w:tc>
        <w:tc>
          <w:tcPr>
            <w:tcW w:w="67" w:type="dxa"/>
            <w:tcBorders/>
            <w:shd w:fill="CCEEFF" w:val="clear"/>
            <w:vAlign w:val="bottom"/>
          </w:tcPr>
          <w:p>
            <w:pPr>
              <w:pStyle w:val="TableContents"/>
              <w:bidi w:val="0"/>
              <w:spacing w:before="0" w:after="283"/>
              <w:jc w:val="left"/>
              <w:rPr/>
            </w:pPr>
            <w:r>
              <w:rPr/>
              <w:t> </w:t>
            </w:r>
          </w:p>
        </w:tc>
      </w:tr>
      <w:tr>
        <w:trPr/>
        <w:tc>
          <w:tcPr>
            <w:tcW w:w="2914" w:type="dxa"/>
            <w:tcBorders/>
          </w:tcPr>
          <w:p>
            <w:pPr>
              <w:pStyle w:val="TableContents"/>
              <w:bidi w:val="0"/>
              <w:spacing w:before="0" w:after="0"/>
              <w:jc w:val="left"/>
              <w:rPr>
                <w:rFonts w:ascii="Times New Roman" w:hAnsi="Times New Roman"/>
                <w:sz w:val="20"/>
              </w:rPr>
            </w:pPr>
            <w:r>
              <w:rPr>
                <w:rFonts w:ascii="Times New Roman" w:hAnsi="Times New Roman"/>
                <w:sz w:val="20"/>
              </w:rPr>
              <w:t>Reid Huber, Ph.D.</w:t>
            </w:r>
          </w:p>
        </w:tc>
        <w:tc>
          <w:tcPr>
            <w:tcW w:w="303"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802" w:type="dxa"/>
            <w:tcBorders/>
            <w:vAlign w:val="bottom"/>
          </w:tcPr>
          <w:p>
            <w:pPr>
              <w:pStyle w:val="TableContents"/>
              <w:bidi w:val="0"/>
              <w:spacing w:before="0" w:after="283"/>
              <w:jc w:val="right"/>
              <w:rPr/>
            </w:pPr>
            <w:r>
              <w:rPr/>
              <w:t>400,255 </w:t>
            </w:r>
          </w:p>
        </w:tc>
        <w:tc>
          <w:tcPr>
            <w:tcW w:w="361" w:type="dxa"/>
            <w:tcBorders/>
            <w:vAlign w:val="bottom"/>
          </w:tcPr>
          <w:p>
            <w:pPr>
              <w:pStyle w:val="TableContents"/>
              <w:bidi w:val="0"/>
              <w:spacing w:before="0" w:after="283"/>
              <w:jc w:val="left"/>
              <w:rPr/>
            </w:pPr>
            <w:r>
              <w:rPr/>
              <w:t>(4)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400,255</w:t>
            </w:r>
          </w:p>
        </w:tc>
        <w:tc>
          <w:tcPr>
            <w:tcW w:w="67" w:type="dxa"/>
            <w:tcBorders/>
            <w:vAlign w:val="bottom"/>
          </w:tcPr>
          <w:p>
            <w:pPr>
              <w:pStyle w:val="TableContents"/>
              <w:bidi w:val="0"/>
              <w:spacing w:before="0" w:after="283"/>
              <w:jc w:val="left"/>
              <w:rPr/>
            </w:pPr>
            <w:r>
              <w:rPr/>
              <w:t> </w:t>
            </w:r>
          </w:p>
        </w:tc>
      </w:tr>
      <w:tr>
        <w:trPr/>
        <w:tc>
          <w:tcPr>
            <w:tcW w:w="2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K. Tong, Ph.D.</w:t>
            </w:r>
          </w:p>
        </w:tc>
        <w:tc>
          <w:tcPr>
            <w:tcW w:w="303"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802" w:type="dxa"/>
            <w:tcBorders/>
            <w:shd w:fill="CCEEFF" w:val="clear"/>
            <w:vAlign w:val="bottom"/>
          </w:tcPr>
          <w:p>
            <w:pPr>
              <w:pStyle w:val="TableContents"/>
              <w:bidi w:val="0"/>
              <w:spacing w:before="0" w:after="283"/>
              <w:jc w:val="right"/>
              <w:rPr/>
            </w:pPr>
            <w:r>
              <w:rPr/>
              <w:t>55,500 </w:t>
            </w:r>
          </w:p>
        </w:tc>
        <w:tc>
          <w:tcPr>
            <w:tcW w:w="361" w:type="dxa"/>
            <w:tcBorders/>
            <w:shd w:fill="CCEEFF" w:val="clear"/>
            <w:vAlign w:val="bottom"/>
          </w:tcPr>
          <w:p>
            <w:pPr>
              <w:pStyle w:val="TableContents"/>
              <w:bidi w:val="0"/>
              <w:spacing w:before="0" w:after="283"/>
              <w:jc w:val="left"/>
              <w:rPr/>
            </w:pPr>
            <w:r>
              <w:rPr/>
              <w:t>(4)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55,500</w:t>
            </w:r>
          </w:p>
        </w:tc>
        <w:tc>
          <w:tcPr>
            <w:tcW w:w="67" w:type="dxa"/>
            <w:tcBorders/>
            <w:shd w:fill="CCEEFF" w:val="clear"/>
            <w:vAlign w:val="bottom"/>
          </w:tcPr>
          <w:p>
            <w:pPr>
              <w:pStyle w:val="TableContents"/>
              <w:bidi w:val="0"/>
              <w:spacing w:before="0" w:after="283"/>
              <w:jc w:val="left"/>
              <w:rPr/>
            </w:pPr>
            <w:r>
              <w:rPr/>
              <w:t> </w:t>
            </w:r>
          </w:p>
        </w:tc>
      </w:tr>
      <w:tr>
        <w:trPr/>
        <w:tc>
          <w:tcPr>
            <w:tcW w:w="2914" w:type="dxa"/>
            <w:tcBorders/>
          </w:tcPr>
          <w:p>
            <w:pPr>
              <w:pStyle w:val="TableContents"/>
              <w:bidi w:val="0"/>
              <w:spacing w:before="0" w:after="0"/>
              <w:jc w:val="left"/>
              <w:rPr>
                <w:rFonts w:ascii="Times New Roman" w:hAnsi="Times New Roman"/>
                <w:sz w:val="20"/>
              </w:rPr>
            </w:pPr>
            <w:r>
              <w:rPr>
                <w:rFonts w:ascii="Times New Roman" w:hAnsi="Times New Roman"/>
                <w:sz w:val="20"/>
              </w:rPr>
              <w:t>James I. Healy, M.D., Ph.D.</w:t>
            </w:r>
          </w:p>
        </w:tc>
        <w:tc>
          <w:tcPr>
            <w:tcW w:w="303"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802"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Kelleher, M.D., Ph.D.</w:t>
            </w:r>
          </w:p>
        </w:tc>
        <w:tc>
          <w:tcPr>
            <w:tcW w:w="303"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802" w:type="dxa"/>
            <w:tcBorders/>
            <w:shd w:fill="CCEEFF" w:val="clear"/>
            <w:vAlign w:val="bottom"/>
          </w:tcPr>
          <w:p>
            <w:pPr>
              <w:pStyle w:val="TableContents"/>
              <w:bidi w:val="0"/>
              <w:spacing w:before="0" w:after="283"/>
              <w:jc w:val="right"/>
              <w:rPr/>
            </w:pPr>
            <w:r>
              <w:rPr/>
              <w:t> </w:t>
            </w:r>
          </w:p>
        </w:tc>
        <w:tc>
          <w:tcPr>
            <w:tcW w:w="36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914" w:type="dxa"/>
            <w:tcBorders/>
          </w:tcPr>
          <w:p>
            <w:pPr>
              <w:pStyle w:val="TableContents"/>
              <w:bidi w:val="0"/>
              <w:spacing w:before="0" w:after="0"/>
              <w:jc w:val="left"/>
              <w:rPr>
                <w:rFonts w:ascii="Times New Roman" w:hAnsi="Times New Roman"/>
                <w:sz w:val="20"/>
              </w:rPr>
            </w:pPr>
            <w:r>
              <w:rPr>
                <w:rFonts w:ascii="Times New Roman" w:hAnsi="Times New Roman"/>
                <w:sz w:val="20"/>
              </w:rPr>
              <w:t>Sanjay Mistry, Ph.D.</w:t>
            </w:r>
          </w:p>
        </w:tc>
        <w:tc>
          <w:tcPr>
            <w:tcW w:w="303"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802"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permitted by SEC rules, David Bredt, M.D., Ph.D., our Chief Scientific Officer, has been omitted from the table as he does not earn compensation for his services as a director.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reported in this column represent the aggregate grant date fair value of a stock option granted to Dr. Paul during 2023, as calculated in accordance with FASB ASC Topic 718. Such grant date value does not take into account any estimated forfeitures related to service-based vesting conditions. The assumptions used in the grant date fair value of the awards in this column are described in Note 9</w:t>
            </w:r>
            <w:r>
              <w:rPr>
                <w:rFonts w:ascii="Times New Roman" w:hAnsi="Times New Roman"/>
                <w:i/>
                <w:sz w:val="20"/>
              </w:rPr>
              <w:t>Stock-Based Compensation</w:t>
            </w:r>
            <w:r>
              <w:rPr>
                <w:rFonts w:ascii="Times New Roman" w:hAnsi="Times New Roman"/>
                <w:sz w:val="20"/>
              </w:rPr>
              <w:t xml:space="preserve"> to our consolidated financial statements included elsewhere in this prospectus.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Paul held 2,500,279 unvested shares of restricted stock and an unexercised stock option to purchase 819,138 shares of our common stock. None of our other non-employee directors held any outstanding unvested stock awards or unexercised stock option.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Dr. Huber and Dr. Tong did not receive any cash compensation from us for their services as our Chief Executive Officer and Treasurer, respectively, or as members of our board of directors. Dr. Paul did not receive any cash compensation from us for his services as a director. During the year ended December 31, 2023, each of Dr. Paul, Dr. Huber and Dr. Tong provided consulting services to us through the TRV Agreement. As described below under the section titled </w:t>
            </w:r>
            <w:r>
              <w:rPr>
                <w:rFonts w:ascii="Times New Roman" w:hAnsi="Times New Roman"/>
                <w:i/>
                <w:sz w:val="20"/>
              </w:rPr>
              <w:t>Certain Relationships and Related Party Transactions</w:t>
            </w:r>
            <w:r>
              <w:rPr>
                <w:rFonts w:ascii="Times New Roman" w:hAnsi="Times New Roman"/>
                <w:sz w:val="20"/>
              </w:rPr>
              <w:t xml:space="preserve">, we incurred costs totaling $1.2 million during the fiscal year ended December 31, 2023 for the services provided by Third Rock Ventures, LLC, which included, among other things, the consulting services of Dr. Paul, Dr. Huber and Dr. Tong. Of the total fees we incurred under the TRV Agreement in the year ended December 31, 2023, (i) $20,165 was related to the consulting services provided by Dr. Paul, (ii) $400,225 was related to the consulting services provided by Dr. Huber and (iii) $55,500 was related to the consulting services provided by Dr. Tong.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and in connection with Ms. Burrells appointment to the board of directors in January 2024, Ms. Burrell entered into an offer letter agreement in connection with her appointment to the board, pursuant to which she is eligible to receive an annual cash retainer of $30,000 per year, payable in arrears in equal quarterly installments, and a stock option award to purchase 300,000 shares of our common stock.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this offering, we intend to adopt a new non-employee director compensation policy that will become effective as of the completion of this offering and will be designed to enable us to attract and retain, on a long-term basis, highly qualified non-employee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our non-employee directors will be eligible to receive cash retainers (which will be payable quarterly in arrears and prorated for partial years of service) and equity awards as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78"/>
        <w:gridCol w:w="325"/>
        <w:gridCol w:w="140"/>
        <w:gridCol w:w="800"/>
        <w:gridCol w:w="62"/>
      </w:tblGrid>
      <w:tr>
        <w:trPr/>
        <w:tc>
          <w:tcPr>
            <w:tcW w:w="8878"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Annual Retainer for Board Membership</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tcPr>
          <w:p>
            <w:pPr>
              <w:pStyle w:val="TableContents"/>
              <w:bidi w:val="0"/>
              <w:spacing w:before="0" w:after="283"/>
              <w:jc w:val="left"/>
              <w:rPr>
                <w:sz w:val="4"/>
                <w:szCs w:val="4"/>
              </w:rPr>
            </w:pPr>
            <w:r>
              <w:rPr>
                <w:sz w:val="4"/>
                <w:szCs w:val="4"/>
              </w:rPr>
            </w:r>
          </w:p>
        </w:tc>
      </w:tr>
      <w:tr>
        <w:trPr/>
        <w:tc>
          <w:tcPr>
            <w:tcW w:w="8878" w:type="dxa"/>
            <w:tcBorders/>
          </w:tcPr>
          <w:p>
            <w:pPr>
              <w:pStyle w:val="TableContents"/>
              <w:bidi w:val="0"/>
              <w:spacing w:before="0" w:after="0"/>
              <w:jc w:val="left"/>
              <w:rPr>
                <w:rFonts w:ascii="Times New Roman" w:hAnsi="Times New Roman"/>
                <w:sz w:val="20"/>
              </w:rPr>
            </w:pPr>
            <w:r>
              <w:rPr>
                <w:rFonts w:ascii="Times New Roman" w:hAnsi="Times New Roman"/>
                <w:sz w:val="20"/>
              </w:rPr>
              <w:t>$     for general availability and participation in meetings and conference calls of our Board of Directors</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8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Additional Annual Retainer for Committee Membership</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2" w:type="dxa"/>
            <w:tcBorders/>
            <w:shd w:fill="CCEEFF" w:val="clear"/>
          </w:tcPr>
          <w:p>
            <w:pPr>
              <w:pStyle w:val="TableContents"/>
              <w:bidi w:val="0"/>
              <w:spacing w:before="0" w:after="283"/>
              <w:jc w:val="left"/>
              <w:rPr>
                <w:sz w:val="4"/>
                <w:szCs w:val="4"/>
              </w:rPr>
            </w:pPr>
            <w:r>
              <w:rPr>
                <w:sz w:val="4"/>
                <w:szCs w:val="4"/>
              </w:rPr>
            </w:r>
          </w:p>
        </w:tc>
      </w:tr>
      <w:tr>
        <w:trPr/>
        <w:tc>
          <w:tcPr>
            <w:tcW w:w="8878"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 Chairperson:</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8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Committee member (other than Chairperson):</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78"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Committee Chairperson:</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8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Committee member (other than Chairperson):</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78" w:type="dxa"/>
            <w:tcBorders/>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Chairperson:</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8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member (other than Chairperson):</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878" w:type="dxa"/>
            <w:tcBorders/>
          </w:tcPr>
          <w:p>
            <w:pPr>
              <w:pStyle w:val="TableContents"/>
              <w:bidi w:val="0"/>
              <w:spacing w:before="0" w:after="0"/>
              <w:jc w:val="left"/>
              <w:rPr>
                <w:rFonts w:ascii="Times New Roman" w:hAnsi="Times New Roman"/>
                <w:sz w:val="20"/>
              </w:rPr>
            </w:pPr>
            <w:r>
              <w:rPr>
                <w:rFonts w:ascii="Times New Roman" w:hAnsi="Times New Roman"/>
                <w:sz w:val="20"/>
              </w:rPr>
              <w:t>Science &amp; Technology Committee Chairperson:</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8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Science &amp; Technology Committee member (other than Chairperson):</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policy will provide that, upon initial election or appointment to our board of directors, each new non-employee director will be granted a one-time grant of a non-statutory stock option to purchase     shares of our common stock on the date of such directors election or appointment to the board of directors (the Director Initial Grant). The Director Initial Grant will vest in substantially equal annual installments over three years, subject to the non-employee directors continued services to us. On the date of each annual meeting of stockholders of our company following the completion of this offering, each non-employee director who will continue as a non-employee director following such meeting will be granted an annual award of a non-statutory stock option to purchase    shares of common stock (the Director Annual Grant). The Director Annual Grant will vest in full on the earlier of the first anniversary of the grant date or on the date of our next annual meeting of stockholders, subject to the non-employee directors continued services to us. If a new non-employee director joins our Board on a date other than the date of our annual meeting of stockholders, then such non-employee director will be granted a pro-rata portion of the Director Annual Grant based on the time between such non-employee directors appointment and such next annual meeting of stockholders on the first eligible grant date following such non-employee directors appointment to our board of directors. Such awards are subject to full acceleration vesting upon the sale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to any non-employee director for service as a non-employee director in a calendar year period will not exceed $    in the first calendar year such individual becomes a non-employee director and $    in any other calendar year. </w:t>
      </w:r>
    </w:p>
    <w:p>
      <w:pPr>
        <w:pStyle w:val="TextBody"/>
        <w:bidi w:val="0"/>
        <w:spacing w:before="240" w:after="0"/>
        <w:jc w:val="left"/>
        <w:rPr>
          <w:rFonts w:ascii="Times New Roman" w:hAnsi="Times New Roman"/>
          <w:sz w:val="20"/>
        </w:rPr>
      </w:pPr>
      <w:r>
        <w:rPr>
          <w:rFonts w:ascii="Times New Roman" w:hAnsi="Times New Roman"/>
          <w:sz w:val="20"/>
        </w:rPr>
        <w:t xml:space="preserve">We will reimburse all reasonable out-of-pocket expenses incurred by directors for their attendance at meetings of our board of directors or any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Employee directors will receive no additional compensation for their service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803738_12"/>
      <w:bookmarkEnd w:id="15"/>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and indemnification arrangements discussed, when required, in the sections titled </w:t>
      </w:r>
      <w:r>
        <w:rPr>
          <w:rFonts w:ascii="Times New Roman" w:hAnsi="Times New Roman"/>
          <w:i/>
          <w:sz w:val="20"/>
        </w:rPr>
        <w:t>Management</w:t>
      </w:r>
      <w:r>
        <w:rPr>
          <w:rFonts w:ascii="Times New Roman" w:hAnsi="Times New Roman"/>
          <w:sz w:val="20"/>
        </w:rPr>
        <w:t> and </w:t>
      </w:r>
      <w:r>
        <w:rPr>
          <w:rFonts w:ascii="Times New Roman" w:hAnsi="Times New Roman"/>
          <w:i/>
          <w:sz w:val="20"/>
        </w:rPr>
        <w:t>Executive Compensation</w:t>
      </w:r>
      <w:r>
        <w:rPr>
          <w:rFonts w:ascii="Times New Roman" w:hAnsi="Times New Roman"/>
          <w:sz w:val="20"/>
        </w:rPr>
        <w:t> and the registration rights described in the section titled </w:t>
      </w:r>
      <w:r>
        <w:rPr>
          <w:rFonts w:ascii="Times New Roman" w:hAnsi="Times New Roman"/>
          <w:i/>
          <w:sz w:val="20"/>
        </w:rPr>
        <w:t>Description of Capital StockRegistration Rights</w:t>
      </w:r>
      <w:r>
        <w:rPr>
          <w:rFonts w:ascii="Times New Roman" w:hAnsi="Times New Roman"/>
          <w:sz w:val="20"/>
        </w:rPr>
        <w:t xml:space="preserve">, the following is a description of all transactions since our date of incorporation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or 1% of the average of our total assets at year-end for the last two completed fiscal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Convertible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we issued convertible promissory notes to Third Rock Ventures V, L.P. and Johnson &amp; Johnson InnovationJJDC, Inc. (JJDC), each in the principal amount of $2,000,000. In September 2022, we issued additional convertible promissory notes to Third Rock Ventures V, L.P. and JJDC, each in the principal amount of $2,000,000. Each of notes accrued interest at a rate of 8% per year and converted into shares of our Series A convertible preferred stock, as further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Convertible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we issued and sold an aggregate of 40,182,354 of Series A convertible preferred stock at a price per share of $1.00 to Third Rock Ventures V, L.P. and JJDC, for an aggregate purchase price of approximately $40.2 million. Included in this amount was approximately $8.2 million of outstanding principal and interest on convertible promissory notes issued in August and September 2022, all of which converted into Series A convertible preferred stock in this financing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we amended the Series A convertible preferred stock purchase agreement to add an additional investor, ARCH Venture Fund XII, L.P. In conjunction with this amendment, the existing requisite stockholders waived certain milestones to accelerate the milestone tranches. As a result, during February 2023, we issued and sold an aggregate of 60,000,000 of Series A convertible preferred stock at a price per share of $1.00 to Third Rock Ventures V, L.P., Third Rock Ventures VI, L.P., JJDC and ARCH Venture Fund XII, L.P., for an aggregate purchase price of $60.0 million.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share of Series A convertible preferred stock will convert into one share of common stock immediately prior to the completion of this offering. The following table summarizes the shares of our Series A convertible preferred stock issued to our related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3"/>
        <w:gridCol w:w="425"/>
        <w:gridCol w:w="109"/>
        <w:gridCol w:w="2123"/>
        <w:gridCol w:w="60"/>
        <w:gridCol w:w="425"/>
        <w:gridCol w:w="231"/>
        <w:gridCol w:w="2043"/>
        <w:gridCol w:w="356"/>
      </w:tblGrid>
      <w:tr>
        <w:trPr/>
        <w:tc>
          <w:tcPr>
            <w:tcW w:w="4433"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4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Purchasers (1)</w:t>
            </w:r>
          </w:p>
        </w:tc>
        <w:tc>
          <w:tcPr>
            <w:tcW w:w="425" w:type="dxa"/>
            <w:tcBorders/>
            <w:vAlign w:val="bottom"/>
          </w:tcPr>
          <w:p>
            <w:pPr>
              <w:pStyle w:val="TableContents"/>
              <w:bidi w:val="0"/>
              <w:spacing w:before="0" w:after="283"/>
              <w:jc w:val="left"/>
              <w:rPr/>
            </w:pPr>
            <w:r>
              <w:rPr/>
              <w:t>  </w:t>
            </w:r>
          </w:p>
        </w:tc>
        <w:tc>
          <w:tcPr>
            <w:tcW w:w="2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 Convertible</w:t>
              <w:br/>
              <w:t>Preferred Stock</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2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 Price</w:t>
            </w:r>
          </w:p>
        </w:tc>
        <w:tc>
          <w:tcPr>
            <w:tcW w:w="356" w:type="dxa"/>
            <w:tcBorders/>
            <w:vAlign w:val="bottom"/>
          </w:tcPr>
          <w:p>
            <w:pPr>
              <w:pStyle w:val="TableContents"/>
              <w:bidi w:val="0"/>
              <w:spacing w:before="0" w:after="283"/>
              <w:jc w:val="left"/>
              <w:rPr/>
            </w:pPr>
            <w:r>
              <w:rPr/>
              <w:t> </w:t>
            </w:r>
          </w:p>
        </w:tc>
      </w:tr>
      <w:tr>
        <w:trPr/>
        <w:tc>
          <w:tcPr>
            <w:tcW w:w="4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Rock Ventures V, L.P. (2)</w:t>
            </w:r>
          </w:p>
        </w:tc>
        <w:tc>
          <w:tcPr>
            <w:tcW w:w="42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bidi w:val="0"/>
              <w:spacing w:before="0" w:after="283"/>
              <w:jc w:val="right"/>
              <w:rPr/>
            </w:pPr>
            <w:r>
              <w:rPr/>
              <w:t>56,091,177</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2043" w:type="dxa"/>
            <w:tcBorders/>
            <w:shd w:fill="CCEEFF" w:val="clear"/>
            <w:vAlign w:val="bottom"/>
          </w:tcPr>
          <w:p>
            <w:pPr>
              <w:pStyle w:val="TableContents"/>
              <w:bidi w:val="0"/>
              <w:spacing w:before="0" w:after="283"/>
              <w:jc w:val="right"/>
              <w:rPr/>
            </w:pPr>
            <w:r>
              <w:rPr/>
              <w:t>56,091,177 </w:t>
            </w:r>
          </w:p>
        </w:tc>
        <w:tc>
          <w:tcPr>
            <w:tcW w:w="356" w:type="dxa"/>
            <w:tcBorders/>
            <w:shd w:fill="CCEEFF" w:val="clear"/>
            <w:vAlign w:val="bottom"/>
          </w:tcPr>
          <w:p>
            <w:pPr>
              <w:pStyle w:val="TableContents"/>
              <w:bidi w:val="0"/>
              <w:spacing w:before="0" w:after="283"/>
              <w:jc w:val="left"/>
              <w:rPr/>
            </w:pPr>
            <w:r>
              <w:rPr/>
              <w:t>(3) </w:t>
            </w:r>
          </w:p>
        </w:tc>
      </w:tr>
      <w:tr>
        <w:trPr/>
        <w:tc>
          <w:tcPr>
            <w:tcW w:w="4433" w:type="dxa"/>
            <w:tcBorders/>
          </w:tcPr>
          <w:p>
            <w:pPr>
              <w:pStyle w:val="TableContents"/>
              <w:bidi w:val="0"/>
              <w:spacing w:before="0" w:after="0"/>
              <w:jc w:val="left"/>
              <w:rPr>
                <w:rFonts w:ascii="Times New Roman" w:hAnsi="Times New Roman"/>
                <w:sz w:val="20"/>
              </w:rPr>
            </w:pPr>
            <w:r>
              <w:rPr>
                <w:rFonts w:ascii="Times New Roman" w:hAnsi="Times New Roman"/>
                <w:sz w:val="20"/>
              </w:rPr>
              <w:t>Third Rock Ventures VI, L.P. (2)</w:t>
            </w:r>
          </w:p>
        </w:tc>
        <w:tc>
          <w:tcPr>
            <w:tcW w:w="42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23"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2043" w:type="dxa"/>
            <w:tcBorders/>
            <w:vAlign w:val="bottom"/>
          </w:tcPr>
          <w:p>
            <w:pPr>
              <w:pStyle w:val="TableContents"/>
              <w:bidi w:val="0"/>
              <w:spacing w:before="0" w:after="283"/>
              <w:jc w:val="right"/>
              <w:rPr/>
            </w:pPr>
            <w:r>
              <w:rPr/>
              <w:t>8,000,000</w:t>
            </w:r>
          </w:p>
        </w:tc>
        <w:tc>
          <w:tcPr>
            <w:tcW w:w="356" w:type="dxa"/>
            <w:tcBorders/>
            <w:vAlign w:val="bottom"/>
          </w:tcPr>
          <w:p>
            <w:pPr>
              <w:pStyle w:val="TableContents"/>
              <w:bidi w:val="0"/>
              <w:spacing w:before="0" w:after="283"/>
              <w:jc w:val="left"/>
              <w:rPr/>
            </w:pPr>
            <w:r>
              <w:rPr/>
              <w:t> </w:t>
            </w:r>
          </w:p>
        </w:tc>
      </w:tr>
      <w:tr>
        <w:trPr/>
        <w:tc>
          <w:tcPr>
            <w:tcW w:w="4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Johnson &amp; Johnson InnovationJJDC, Inc. (4)</w:t>
            </w:r>
          </w:p>
        </w:tc>
        <w:tc>
          <w:tcPr>
            <w:tcW w:w="42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bidi w:val="0"/>
              <w:spacing w:before="0" w:after="283"/>
              <w:jc w:val="right"/>
              <w:rPr/>
            </w:pPr>
            <w:r>
              <w:rPr/>
              <w:t>16,091,177</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2043" w:type="dxa"/>
            <w:tcBorders/>
            <w:shd w:fill="CCEEFF" w:val="clear"/>
            <w:vAlign w:val="bottom"/>
          </w:tcPr>
          <w:p>
            <w:pPr>
              <w:pStyle w:val="TableContents"/>
              <w:bidi w:val="0"/>
              <w:spacing w:before="0" w:after="283"/>
              <w:jc w:val="right"/>
              <w:rPr/>
            </w:pPr>
            <w:r>
              <w:rPr/>
              <w:t>16,091,177 </w:t>
            </w:r>
          </w:p>
        </w:tc>
        <w:tc>
          <w:tcPr>
            <w:tcW w:w="356" w:type="dxa"/>
            <w:tcBorders/>
            <w:shd w:fill="CCEEFF" w:val="clear"/>
            <w:vAlign w:val="bottom"/>
          </w:tcPr>
          <w:p>
            <w:pPr>
              <w:pStyle w:val="TableContents"/>
              <w:bidi w:val="0"/>
              <w:spacing w:before="0" w:after="283"/>
              <w:jc w:val="left"/>
              <w:rPr/>
            </w:pPr>
            <w:r>
              <w:rPr/>
              <w:t>(5) </w:t>
            </w:r>
          </w:p>
        </w:tc>
      </w:tr>
      <w:tr>
        <w:trPr/>
        <w:tc>
          <w:tcPr>
            <w:tcW w:w="4433" w:type="dxa"/>
            <w:tcBorders/>
          </w:tcPr>
          <w:p>
            <w:pPr>
              <w:pStyle w:val="TableContents"/>
              <w:bidi w:val="0"/>
              <w:spacing w:before="0" w:after="0"/>
              <w:jc w:val="left"/>
              <w:rPr>
                <w:rFonts w:ascii="Times New Roman" w:hAnsi="Times New Roman"/>
                <w:sz w:val="20"/>
              </w:rPr>
            </w:pPr>
            <w:r>
              <w:rPr>
                <w:rFonts w:ascii="Times New Roman" w:hAnsi="Times New Roman"/>
                <w:sz w:val="20"/>
              </w:rPr>
              <w:t>ARCH Venture Fund XII, L.P. (6)</w:t>
            </w:r>
          </w:p>
        </w:tc>
        <w:tc>
          <w:tcPr>
            <w:tcW w:w="42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23"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2043" w:type="dxa"/>
            <w:tcBorders/>
            <w:vAlign w:val="bottom"/>
          </w:tcPr>
          <w:p>
            <w:pPr>
              <w:pStyle w:val="TableContents"/>
              <w:bidi w:val="0"/>
              <w:spacing w:before="0" w:after="283"/>
              <w:jc w:val="right"/>
              <w:rPr/>
            </w:pPr>
            <w:r>
              <w:rPr/>
              <w:t>20,000,000</w:t>
            </w:r>
          </w:p>
        </w:tc>
        <w:tc>
          <w:tcPr>
            <w:tcW w:w="356"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details regarding these stockholders and their equity holdings are included in the section titled </w:t>
            </w:r>
            <w:r>
              <w:rPr>
                <w:rFonts w:ascii="Times New Roman" w:hAnsi="Times New Roman"/>
                <w:i/>
                <w:sz w:val="20"/>
              </w:rPr>
              <w:t>Principal Stockholders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Third Rock Ventures beneficially own more than 5% of our outstanding capital stock. Dr. Huber and Dr. Tong, members of our board of directors, were designated to our board of directors by Third Rock Ventures and are each partners at Third Rock Ventures.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$52,000,000 of the total purchase price was funded in cash and $4,091,177 was funded by the conversion of Third Rock Ventures V, L.P.s convertible promissory note (inclusive of principal and accrued interest).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JJDC beneficially owns more than 5% of our outstanding capital stock. Dr. Mistry, a former member of our board of directors, was designated to our board of directors by JJDC and is the Vice President of Venture Investments at JJDC.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$12,000,000 of the total purchase price was funded in cash and $4,091,177 was funded by the conversion of JJDCs convertible promissory note (inclusive of principal and accrued interest).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ARCH Venture Fund XII, L.P. beneficially owns more than 5% of our outstanding capital stock. Dr. Maraganore, a member of our board of directors, was designated to our board of directors by ARCH Venture Fund XII, L.P. and is a venture partner at ARCH Venture Partners.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B Convertible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we issued and sold an aggregate of 51,273,790 of Series B convertible preferred stock at a price per share of $1.67727, for an aggregate purchase price of approximately $86.0 million, which included the voluntary early exercise of certain stockholders milestone tranche shares of Series B convertible preferred stock. In March 2024, we issued and sold an aggregate of 38,157,240 of Series B convertible preferred stock at a price per share of $1.67727, for an aggregate purchase price of approximately $64.0 million.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share of Series B convertible preferred stock will convert into one share of common stock immediately prior to the completion of this offering. The following table summarizes the shares of our Series B convertible preferred stock issued to our related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24"/>
        <w:gridCol w:w="338"/>
        <w:gridCol w:w="108"/>
        <w:gridCol w:w="2002"/>
        <w:gridCol w:w="60"/>
        <w:gridCol w:w="338"/>
        <w:gridCol w:w="176"/>
        <w:gridCol w:w="1395"/>
        <w:gridCol w:w="64"/>
      </w:tblGrid>
      <w:tr>
        <w:trPr/>
        <w:tc>
          <w:tcPr>
            <w:tcW w:w="5724"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Purchasers (1)</w:t>
            </w:r>
          </w:p>
        </w:tc>
        <w:tc>
          <w:tcPr>
            <w:tcW w:w="338" w:type="dxa"/>
            <w:tcBorders/>
            <w:vAlign w:val="bottom"/>
          </w:tcPr>
          <w:p>
            <w:pPr>
              <w:pStyle w:val="TableContents"/>
              <w:bidi w:val="0"/>
              <w:spacing w:before="0" w:after="283"/>
              <w:jc w:val="left"/>
              <w:rPr/>
            </w:pPr>
            <w:r>
              <w:rPr/>
              <w:t>  </w:t>
            </w:r>
          </w:p>
        </w:tc>
        <w:tc>
          <w:tcPr>
            <w:tcW w:w="2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 Convertible</w:t>
              <w:br/>
              <w:t>Preferred Stock</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5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w:t>
              <w:br/>
              <w:t>Price</w:t>
            </w:r>
          </w:p>
        </w:tc>
        <w:tc>
          <w:tcPr>
            <w:tcW w:w="64" w:type="dxa"/>
            <w:tcBorders/>
            <w:vAlign w:val="bottom"/>
          </w:tcPr>
          <w:p>
            <w:pPr>
              <w:pStyle w:val="TableContents"/>
              <w:bidi w:val="0"/>
              <w:spacing w:before="0" w:after="283"/>
              <w:jc w:val="left"/>
              <w:rPr/>
            </w:pPr>
            <w:r>
              <w:rPr/>
              <w:t> </w:t>
            </w:r>
          </w:p>
        </w:tc>
      </w:tr>
      <w:tr>
        <w:trPr/>
        <w:tc>
          <w:tcPr>
            <w:tcW w:w="5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Rock Ventures VI, L.P. (2)</w:t>
            </w:r>
          </w:p>
        </w:tc>
        <w:tc>
          <w:tcPr>
            <w:tcW w:w="33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2" w:type="dxa"/>
            <w:tcBorders/>
            <w:shd w:fill="CCEEFF" w:val="clear"/>
            <w:vAlign w:val="bottom"/>
          </w:tcPr>
          <w:p>
            <w:pPr>
              <w:pStyle w:val="TableContents"/>
              <w:bidi w:val="0"/>
              <w:spacing w:before="0" w:after="283"/>
              <w:jc w:val="right"/>
              <w:rPr/>
            </w:pPr>
            <w:r>
              <w:rPr/>
              <w:t>298,103</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95" w:type="dxa"/>
            <w:tcBorders/>
            <w:shd w:fill="CCEEFF" w:val="clear"/>
            <w:vAlign w:val="bottom"/>
          </w:tcPr>
          <w:p>
            <w:pPr>
              <w:pStyle w:val="TableContents"/>
              <w:bidi w:val="0"/>
              <w:spacing w:before="0" w:after="283"/>
              <w:jc w:val="right"/>
              <w:rPr/>
            </w:pPr>
            <w:r>
              <w:rPr/>
              <w:t>499,999</w:t>
            </w:r>
          </w:p>
        </w:tc>
        <w:tc>
          <w:tcPr>
            <w:tcW w:w="64" w:type="dxa"/>
            <w:tcBorders/>
            <w:shd w:fill="CCEEFF" w:val="clear"/>
            <w:vAlign w:val="bottom"/>
          </w:tcPr>
          <w:p>
            <w:pPr>
              <w:pStyle w:val="TableContents"/>
              <w:bidi w:val="0"/>
              <w:spacing w:before="0" w:after="283"/>
              <w:jc w:val="left"/>
              <w:rPr/>
            </w:pPr>
            <w:r>
              <w:rPr/>
              <w:t> </w:t>
            </w:r>
          </w:p>
        </w:tc>
      </w:tr>
      <w:tr>
        <w:trPr/>
        <w:tc>
          <w:tcPr>
            <w:tcW w:w="5724" w:type="dxa"/>
            <w:tcBorders/>
          </w:tcPr>
          <w:p>
            <w:pPr>
              <w:pStyle w:val="TableContents"/>
              <w:bidi w:val="0"/>
              <w:spacing w:before="0" w:after="0"/>
              <w:jc w:val="left"/>
              <w:rPr>
                <w:rFonts w:ascii="Times New Roman" w:hAnsi="Times New Roman"/>
                <w:sz w:val="20"/>
              </w:rPr>
            </w:pPr>
            <w:r>
              <w:rPr>
                <w:rFonts w:ascii="Times New Roman" w:hAnsi="Times New Roman"/>
                <w:sz w:val="20"/>
              </w:rPr>
              <w:t>Johnson &amp; Johnson InnovationJJDC, Inc. (3)</w:t>
            </w:r>
          </w:p>
        </w:tc>
        <w:tc>
          <w:tcPr>
            <w:tcW w:w="33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2" w:type="dxa"/>
            <w:tcBorders/>
            <w:vAlign w:val="bottom"/>
          </w:tcPr>
          <w:p>
            <w:pPr>
              <w:pStyle w:val="TableContents"/>
              <w:bidi w:val="0"/>
              <w:spacing w:before="0" w:after="283"/>
              <w:jc w:val="right"/>
              <w:rPr/>
            </w:pPr>
            <w:r>
              <w:rPr/>
              <w:t>298,103</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395" w:type="dxa"/>
            <w:tcBorders/>
            <w:vAlign w:val="bottom"/>
          </w:tcPr>
          <w:p>
            <w:pPr>
              <w:pStyle w:val="TableContents"/>
              <w:bidi w:val="0"/>
              <w:spacing w:before="0" w:after="283"/>
              <w:jc w:val="right"/>
              <w:rPr/>
            </w:pPr>
            <w:r>
              <w:rPr/>
              <w:t>499,999</w:t>
            </w:r>
          </w:p>
        </w:tc>
        <w:tc>
          <w:tcPr>
            <w:tcW w:w="64" w:type="dxa"/>
            <w:tcBorders/>
            <w:vAlign w:val="bottom"/>
          </w:tcPr>
          <w:p>
            <w:pPr>
              <w:pStyle w:val="TableContents"/>
              <w:bidi w:val="0"/>
              <w:spacing w:before="0" w:after="283"/>
              <w:jc w:val="left"/>
              <w:rPr/>
            </w:pPr>
            <w:r>
              <w:rPr/>
              <w:t> </w:t>
            </w:r>
          </w:p>
        </w:tc>
      </w:tr>
      <w:tr>
        <w:trPr/>
        <w:tc>
          <w:tcPr>
            <w:tcW w:w="5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ARCH Venture Fund XII, L.P. (4)</w:t>
            </w:r>
          </w:p>
        </w:tc>
        <w:tc>
          <w:tcPr>
            <w:tcW w:w="33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2" w:type="dxa"/>
            <w:tcBorders/>
            <w:shd w:fill="CCEEFF" w:val="clear"/>
            <w:vAlign w:val="bottom"/>
          </w:tcPr>
          <w:p>
            <w:pPr>
              <w:pStyle w:val="TableContents"/>
              <w:bidi w:val="0"/>
              <w:spacing w:before="0" w:after="283"/>
              <w:jc w:val="right"/>
              <w:rPr/>
            </w:pPr>
            <w:r>
              <w:rPr/>
              <w:t>11,924,138</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95" w:type="dxa"/>
            <w:tcBorders/>
            <w:shd w:fill="CCEEFF" w:val="clear"/>
            <w:vAlign w:val="bottom"/>
          </w:tcPr>
          <w:p>
            <w:pPr>
              <w:pStyle w:val="TableContents"/>
              <w:bidi w:val="0"/>
              <w:spacing w:before="0" w:after="283"/>
              <w:jc w:val="right"/>
              <w:rPr/>
            </w:pPr>
            <w:r>
              <w:rPr/>
              <w:t>19,999,999</w:t>
            </w:r>
          </w:p>
        </w:tc>
        <w:tc>
          <w:tcPr>
            <w:tcW w:w="64" w:type="dxa"/>
            <w:tcBorders/>
            <w:shd w:fill="CCEEFF" w:val="clear"/>
            <w:vAlign w:val="bottom"/>
          </w:tcPr>
          <w:p>
            <w:pPr>
              <w:pStyle w:val="TableContents"/>
              <w:bidi w:val="0"/>
              <w:spacing w:before="0" w:after="283"/>
              <w:jc w:val="left"/>
              <w:rPr/>
            </w:pPr>
            <w:r>
              <w:rPr/>
              <w:t> </w:t>
            </w:r>
          </w:p>
        </w:tc>
      </w:tr>
      <w:tr>
        <w:trPr/>
        <w:tc>
          <w:tcPr>
            <w:tcW w:w="572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 (5)</w:t>
            </w:r>
          </w:p>
        </w:tc>
        <w:tc>
          <w:tcPr>
            <w:tcW w:w="33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2" w:type="dxa"/>
            <w:tcBorders/>
            <w:vAlign w:val="bottom"/>
          </w:tcPr>
          <w:p>
            <w:pPr>
              <w:pStyle w:val="TableContents"/>
              <w:bidi w:val="0"/>
              <w:spacing w:before="0" w:after="283"/>
              <w:jc w:val="right"/>
              <w:rPr/>
            </w:pPr>
            <w:r>
              <w:rPr/>
              <w:t>14,905,172</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395" w:type="dxa"/>
            <w:tcBorders/>
            <w:vAlign w:val="bottom"/>
          </w:tcPr>
          <w:p>
            <w:pPr>
              <w:pStyle w:val="TableContents"/>
              <w:bidi w:val="0"/>
              <w:spacing w:before="0" w:after="283"/>
              <w:jc w:val="right"/>
              <w:rPr/>
            </w:pPr>
            <w:r>
              <w:rPr/>
              <w:t>24,999,998</w:t>
            </w:r>
          </w:p>
        </w:tc>
        <w:tc>
          <w:tcPr>
            <w:tcW w:w="64" w:type="dxa"/>
            <w:tcBorders/>
            <w:vAlign w:val="bottom"/>
          </w:tcPr>
          <w:p>
            <w:pPr>
              <w:pStyle w:val="TableContents"/>
              <w:bidi w:val="0"/>
              <w:spacing w:before="0" w:after="283"/>
              <w:jc w:val="left"/>
              <w:rPr/>
            </w:pPr>
            <w:r>
              <w:rPr/>
              <w:t> </w:t>
            </w:r>
          </w:p>
        </w:tc>
      </w:tr>
      <w:tr>
        <w:trPr/>
        <w:tc>
          <w:tcPr>
            <w:tcW w:w="5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Sofinnova Venture Partners XI, L.P. (6)</w:t>
            </w:r>
          </w:p>
        </w:tc>
        <w:tc>
          <w:tcPr>
            <w:tcW w:w="33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2" w:type="dxa"/>
            <w:tcBorders/>
            <w:shd w:fill="CCEEFF" w:val="clear"/>
            <w:vAlign w:val="bottom"/>
          </w:tcPr>
          <w:p>
            <w:pPr>
              <w:pStyle w:val="TableContents"/>
              <w:bidi w:val="0"/>
              <w:spacing w:before="0" w:after="283"/>
              <w:jc w:val="right"/>
              <w:rPr/>
            </w:pPr>
            <w:r>
              <w:rPr/>
              <w:t>11,924,138</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95" w:type="dxa"/>
            <w:tcBorders/>
            <w:shd w:fill="CCEEFF" w:val="clear"/>
            <w:vAlign w:val="bottom"/>
          </w:tcPr>
          <w:p>
            <w:pPr>
              <w:pStyle w:val="TableContents"/>
              <w:bidi w:val="0"/>
              <w:spacing w:before="0" w:after="283"/>
              <w:jc w:val="right"/>
              <w:rPr/>
            </w:pPr>
            <w:r>
              <w:rPr/>
              <w:t>19,999,999</w:t>
            </w:r>
          </w:p>
        </w:tc>
        <w:tc>
          <w:tcPr>
            <w:tcW w:w="64" w:type="dxa"/>
            <w:tcBorders/>
            <w:shd w:fill="CCEEFF" w:val="clear"/>
            <w:vAlign w:val="bottom"/>
          </w:tcPr>
          <w:p>
            <w:pPr>
              <w:pStyle w:val="TableContents"/>
              <w:bidi w:val="0"/>
              <w:spacing w:before="0" w:after="283"/>
              <w:jc w:val="left"/>
              <w:rPr/>
            </w:pPr>
            <w:r>
              <w:rPr/>
              <w:t> </w:t>
            </w:r>
          </w:p>
        </w:tc>
      </w:tr>
      <w:tr>
        <w:trPr/>
        <w:tc>
          <w:tcPr>
            <w:tcW w:w="572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 (7)</w:t>
            </w:r>
          </w:p>
        </w:tc>
        <w:tc>
          <w:tcPr>
            <w:tcW w:w="33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2" w:type="dxa"/>
            <w:tcBorders/>
            <w:vAlign w:val="bottom"/>
          </w:tcPr>
          <w:p>
            <w:pPr>
              <w:pStyle w:val="TableContents"/>
              <w:bidi w:val="0"/>
              <w:spacing w:before="0" w:after="283"/>
              <w:jc w:val="right"/>
              <w:rPr/>
            </w:pPr>
            <w:r>
              <w:rPr/>
              <w:t>14,905,173</w:t>
            </w:r>
          </w:p>
        </w:tc>
        <w:tc>
          <w:tcPr>
            <w:tcW w:w="6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395" w:type="dxa"/>
            <w:tcBorders/>
            <w:vAlign w:val="bottom"/>
          </w:tcPr>
          <w:p>
            <w:pPr>
              <w:pStyle w:val="TableContents"/>
              <w:bidi w:val="0"/>
              <w:spacing w:before="0" w:after="283"/>
              <w:jc w:val="right"/>
              <w:rPr/>
            </w:pPr>
            <w:r>
              <w:rPr/>
              <w:t>25,000,000</w:t>
            </w:r>
          </w:p>
        </w:tc>
        <w:tc>
          <w:tcPr>
            <w:tcW w:w="64" w:type="dxa"/>
            <w:tcBorders/>
            <w:vAlign w:val="bottom"/>
          </w:tcPr>
          <w:p>
            <w:pPr>
              <w:pStyle w:val="TableContents"/>
              <w:bidi w:val="0"/>
              <w:spacing w:before="0" w:after="283"/>
              <w:jc w:val="left"/>
              <w:rPr/>
            </w:pPr>
            <w:r>
              <w:rPr/>
              <w:t> </w:t>
            </w:r>
          </w:p>
        </w:tc>
      </w:tr>
      <w:tr>
        <w:trPr/>
        <w:tc>
          <w:tcPr>
            <w:tcW w:w="5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SMALLCAP World Fund, Inc. (8)</w:t>
            </w:r>
          </w:p>
        </w:tc>
        <w:tc>
          <w:tcPr>
            <w:tcW w:w="33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2" w:type="dxa"/>
            <w:tcBorders/>
            <w:shd w:fill="CCEEFF" w:val="clear"/>
            <w:vAlign w:val="bottom"/>
          </w:tcPr>
          <w:p>
            <w:pPr>
              <w:pStyle w:val="TableContents"/>
              <w:bidi w:val="0"/>
              <w:spacing w:before="0" w:after="283"/>
              <w:jc w:val="right"/>
              <w:rPr/>
            </w:pPr>
            <w:r>
              <w:rPr/>
              <w:t>14,905,173</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95"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details regarding these stockholders and their equity holdings are included in the section titled </w:t>
            </w:r>
            <w:r>
              <w:rPr>
                <w:rFonts w:ascii="Times New Roman" w:hAnsi="Times New Roman"/>
                <w:i/>
                <w:sz w:val="20"/>
              </w:rPr>
              <w:t>Principal Stockholders</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Third Rock Ventures beneficially own more than 5% of our outstanding capital stock. Dr. Huber and Dr. Tong, members of our board of directors, were designated to our board of directors by Third Rock Ventures and are each partners at Third Rock Ventures.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JJDC beneficially owns more than 5% of our outstanding capital stock. Dr. Mistry, a former member of our board of directors, was designated to our board of directors by JJDC and is the Vice President of Venture Investments at JJDC.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ARCH Venture Fund XII, L.P. beneficially owns more than 5% of our outstanding capital stock. Dr. Maraganore, a member of our board of directors, was designated to our board of directors by ARCH Venture Fund XII, L.P. and is a venture partner at ARCH Venture Partners.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Cormorant collectively refers to Cormorant Global Healthcare Master Fund, LP, Cormorant Private Healthcare Fund III, LP, Cormorant Private Healthcare Fund IV, LP and Cormorant Private Healthcare Fund V, LP. Dr. Kelleher, a member of our board of directors, was designated to our board of directors by Cormorant and is a Managing Director at Cormorant.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Healy, a member of our board of directors, was designated to our board of directors by Sofinnova Venture Partners XI, L.P. and is Managing Partner of Sofinnova Investments,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Fidelity collectively refers to Fidelity Advisor Series VII: Fidelity Advisor Biotechnology Fund, Fidelity Mt. Vernon Street Trust: Fidelity Series Growth Company Fund, Fidelity Mt. Vernon Street Trust: Fidelity Growth Company Fund, Fidelity Growth Company Commingled Pool and Fidelity Mt. Vernon Street Trust: Fidelity Growth Company K6 Fund. Entities affiliated with Fidelity beneficially own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SMALLCAP World Fund, Inc. beneficially owns more than 5% of our outstanding capital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Agreements with Stockholders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License and Collaboration Agreements </w:t>
      </w:r>
    </w:p>
    <w:p>
      <w:pPr>
        <w:pStyle w:val="TextBody"/>
        <w:bidi w:val="0"/>
        <w:spacing w:before="120" w:after="0"/>
        <w:jc w:val="left"/>
        <w:rPr>
          <w:rFonts w:ascii="Times New Roman" w:hAnsi="Times New Roman"/>
          <w:sz w:val="20"/>
        </w:rPr>
      </w:pPr>
      <w:r>
        <w:rPr>
          <w:rFonts w:ascii="Times New Roman" w:hAnsi="Times New Roman"/>
          <w:sz w:val="20"/>
        </w:rPr>
        <w:t>On August 9, 2022, we entered into an Option and License Agreement with Janssen Pharmaceutica NV (Janssen), as amended (the Janssen License). Sanjay Mistry, Ph.D., a former member of our board of directors, is Vice President of Venture Investments at JJDC, and JJDC, which is a beneficial owner of more than 5% of our outstanding capital stock, is an affiliate of Janssen. Please see the section titled </w:t>
      </w:r>
      <w:r>
        <w:rPr>
          <w:rFonts w:ascii="Times New Roman" w:hAnsi="Times New Roman"/>
          <w:i/>
          <w:sz w:val="20"/>
        </w:rPr>
        <w:t>Managements Discussion and Analysis of Financial Condition and Results of OperationsLicense and Collaboration Agreements</w:t>
      </w:r>
      <w:r>
        <w:rPr>
          <w:rFonts w:ascii="Times New Roman" w:hAnsi="Times New Roman"/>
          <w:sz w:val="20"/>
        </w:rPr>
        <w:t xml:space="preserve"> for a description of and payments made under the Janssen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Service Agreement with Third Rock Ventures </w:t>
      </w:r>
    </w:p>
    <w:p>
      <w:pPr>
        <w:pStyle w:val="TextBody"/>
        <w:bidi w:val="0"/>
        <w:spacing w:before="120" w:after="0"/>
        <w:jc w:val="left"/>
        <w:rPr>
          <w:rFonts w:ascii="Times New Roman" w:hAnsi="Times New Roman"/>
          <w:sz w:val="20"/>
        </w:rPr>
      </w:pPr>
      <w:r>
        <w:rPr>
          <w:rFonts w:ascii="Times New Roman" w:hAnsi="Times New Roman"/>
          <w:sz w:val="20"/>
        </w:rPr>
        <w:t xml:space="preserve">Third Rock Ventures, a beneficial owner of more than 5% of our outstanding capital stock, has provided us with business, technical, financial, IT or scientific advice pursuant to a service agreement with Third Rock Ventures, dated August 9, 2022 (service agreement). In accordance with the service agreement, during the period from February 10, 2022 (inception) to December 31, 2022, the year ended December 31, 2023, and the three months ended March 31, 2023 and 2024 we incurred costs for services totaling $2.1 million, $1.2 million, $0.5 million and $0.1 million, respectively, which were reimbursed to Third Rock Ventures. Such costs were invoiced without service markups.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an amended and restated investors rights agreement, dated as of August 7, 2023 (investors rights agreement), with certain holders of more than 5% of our outstanding capital stock, including entities affiliated with our directors. </w:t>
      </w:r>
    </w:p>
    <w:p>
      <w:pPr>
        <w:pStyle w:val="TextBody"/>
        <w:bidi w:val="0"/>
        <w:spacing w:before="240" w:after="0"/>
        <w:jc w:val="left"/>
        <w:rPr>
          <w:rFonts w:ascii="Times New Roman" w:hAnsi="Times New Roman"/>
          <w:sz w:val="20"/>
        </w:rPr>
      </w:pPr>
      <w:r>
        <w:rPr>
          <w:rFonts w:ascii="Times New Roman" w:hAnsi="Times New Roman"/>
          <w:sz w:val="20"/>
        </w:rPr>
        <w:t>The investors rights agreement provides certain holders of our convertible preferred stock with a participation right to purchase their pro rata share of new securities that we may propose to sell and issue, subject to certain exceptions. Such participation right will terminate upon the completion of this offering. The investors rights agreement further provides certain holders of our convertible preferred stock with certain rights, including certain registration rights with respect to the registrable securities held by them. See the section titled </w:t>
      </w:r>
      <w:r>
        <w:rPr>
          <w:rFonts w:ascii="Times New Roman" w:hAnsi="Times New Roman"/>
          <w:i/>
          <w:sz w:val="20"/>
        </w:rPr>
        <w:t>Description of Capital StockRegistration Rights</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to an amended and restated stockholders agreement, dated as of August 7, 2023 (stockholders agreement), with certain holders of more than 5% of our outstanding capital stock, including entities affiliated with our directors. The stockholders agreement provides for drag-along rights in respect of sales by certain holders of our capital stock. The stockholders agreement also contains provisions with respect to the elections of our board of directors and its composition.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agreement also provides certain investors the right to purchase all or any portion of transfer stock, as well as the right of co-sale and participate in any proposed transfers. The stockholders agreement will terminate upon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We have entered into offer letter agreements with certain of our executive officers, and granted stock options to our executive officers, as more fully described in the section titled </w:t>
      </w:r>
      <w:r>
        <w:rPr>
          <w:rFonts w:ascii="Times New Roman" w:hAnsi="Times New Roman"/>
          <w:i/>
          <w:sz w:val="20"/>
        </w:rPr>
        <w:t>Executive Compensation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Equity Grants </w:t>
      </w:r>
    </w:p>
    <w:p>
      <w:pPr>
        <w:pStyle w:val="TextBody"/>
        <w:bidi w:val="0"/>
        <w:spacing w:before="120" w:after="0"/>
        <w:jc w:val="left"/>
        <w:rPr>
          <w:rFonts w:ascii="Times New Roman" w:hAnsi="Times New Roman"/>
          <w:sz w:val="20"/>
        </w:rPr>
      </w:pPr>
      <w:r>
        <w:rPr>
          <w:rFonts w:ascii="Times New Roman" w:hAnsi="Times New Roman"/>
          <w:sz w:val="20"/>
        </w:rPr>
        <w:t>We have granted options to purchase shares of our common stock to certain of our executive officers and directors. For more information regarding the options granted to our executive officers and directors, see the sections titled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Our third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third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w:t>
      </w:r>
      <w:r>
        <w:rPr>
          <w:rFonts w:ascii="Times New Roman" w:hAnsi="Times New Roman"/>
          <w:i/>
          <w:sz w:val="20"/>
        </w:rPr>
        <w:t>ManagementLimitations on Liability and Indemnification Agreements</w:t>
      </w:r>
      <w:r>
        <w:rPr>
          <w:rFonts w:ascii="Times New Roman" w:hAnsi="Times New Roman"/>
          <w:sz w:val="20"/>
        </w:rPr>
        <w:t xml:space="preserve">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Prior to completion of this offering, we intend to adopt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803738_13"/>
      <w:bookmarkEnd w:id="16"/>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beneficial ownership of our capital stock as of May 10,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current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May 10, 2024 to be outstanding and to be beneficially owned by the person holding the option for the purpose of computing the percentage ownership of that person but have not treated them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before the offering is based on an aggregate of 225,335,786 shares of common stock (which includes 16,601,195 shares of unvested restricted common stock) deemed to be outstanding as of May 10, 2024, after giving effect to the automatic conversion of all outstanding shares of convertible preferred stock into 189,613,384 shares of common stock immediately prior to the completion of this offering, and assuming an initial public offering price of $   per share, which is the midpoint of the price range set forth on the cover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after the offering is based on   shares of common stock assumed to be outstanding immediately after the completion of this offering (assuming the sale of shares of common stock in this offering and no exercise of the underwriters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Rapport Therapeutics, Inc., 1325 Boylston Street, Suite 401, Boston, MA 02215.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7"/>
        <w:gridCol w:w="478"/>
        <w:gridCol w:w="992"/>
        <w:gridCol w:w="993"/>
        <w:gridCol w:w="60"/>
        <w:gridCol w:w="478"/>
        <w:gridCol w:w="437"/>
        <w:gridCol w:w="438"/>
        <w:gridCol w:w="474"/>
        <w:gridCol w:w="949"/>
        <w:gridCol w:w="432"/>
        <w:gridCol w:w="443"/>
        <w:gridCol w:w="64"/>
      </w:tblGrid>
      <w:tr>
        <w:trPr/>
        <w:tc>
          <w:tcPr>
            <w:tcW w:w="3967"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6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3173" w:type="dxa"/>
            <w:gridSpan w:val="6"/>
            <w:tcBorders>
              <w:bottom w:val="single" w:sz="8" w:space="0" w:color="000000"/>
            </w:tcBorders>
            <w:tcMar>
              <w:bottom w:w="28" w:type="dxa"/>
            </w:tcMar>
            <w:vAlign w:val="bottom"/>
          </w:tcPr>
          <w:p>
            <w:pPr>
              <w:pStyle w:val="TableContents"/>
              <w:bidi w:val="0"/>
              <w:spacing w:before="0" w:after="283"/>
              <w:jc w:val="center"/>
              <w:rPr/>
            </w:pPr>
            <w:r>
              <w:rPr>
                <w:b/>
              </w:rPr>
              <w:t>Percentage of Shares</w:t>
            </w:r>
            <w:r>
              <w:rPr/>
              <w:br/>
            </w:r>
            <w:r>
              <w:rPr>
                <w:b/>
              </w:rPr>
              <w:t>Beneficially Owned</w:t>
            </w:r>
          </w:p>
        </w:tc>
        <w:tc>
          <w:tcPr>
            <w:tcW w:w="64"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78"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 Owned</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w:t>
              <w:br/>
              <w:t>Offering</w:t>
            </w:r>
          </w:p>
        </w:tc>
        <w:tc>
          <w:tcPr>
            <w:tcW w:w="474"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Offering</w:t>
            </w:r>
          </w:p>
        </w:tc>
        <w:tc>
          <w:tcPr>
            <w:tcW w:w="64"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Shareholders:</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ARCH Venture Fund XII, L. P.(1)</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Cormorant(2)</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Johnson &amp; Johnson InnovationJJDC, Inc.(3)</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Fidelity(4)</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One or more entities advised by Capital Research and Management Company(5)</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967"/>
        <w:gridCol w:w="478"/>
        <w:gridCol w:w="992"/>
        <w:gridCol w:w="993"/>
        <w:gridCol w:w="60"/>
        <w:gridCol w:w="478"/>
        <w:gridCol w:w="437"/>
        <w:gridCol w:w="438"/>
        <w:gridCol w:w="474"/>
        <w:gridCol w:w="949"/>
        <w:gridCol w:w="432"/>
        <w:gridCol w:w="443"/>
        <w:gridCol w:w="64"/>
      </w:tblGrid>
      <w:tr>
        <w:trPr/>
        <w:tc>
          <w:tcPr>
            <w:tcW w:w="3967"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67"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3173" w:type="dxa"/>
            <w:gridSpan w:val="6"/>
            <w:tcBorders>
              <w:bottom w:val="single" w:sz="8" w:space="0" w:color="000000"/>
            </w:tcBorders>
            <w:tcMar>
              <w:bottom w:w="28" w:type="dxa"/>
            </w:tcMar>
            <w:vAlign w:val="bottom"/>
          </w:tcPr>
          <w:p>
            <w:pPr>
              <w:pStyle w:val="TableContents"/>
              <w:bidi w:val="0"/>
              <w:spacing w:before="0" w:after="283"/>
              <w:jc w:val="center"/>
              <w:rPr/>
            </w:pPr>
            <w:r>
              <w:rPr>
                <w:b/>
              </w:rPr>
              <w:t>Percentage of Shares</w:t>
            </w:r>
            <w:r>
              <w:rPr/>
              <w:br/>
            </w:r>
            <w:r>
              <w:rPr>
                <w:b/>
              </w:rPr>
              <w:t>Beneficially Owned</w:t>
            </w:r>
          </w:p>
        </w:tc>
        <w:tc>
          <w:tcPr>
            <w:tcW w:w="64" w:type="dxa"/>
            <w:tcBorders/>
            <w:vAlign w:val="bottom"/>
          </w:tcPr>
          <w:p>
            <w:pPr>
              <w:pStyle w:val="TableContents"/>
              <w:bidi w:val="0"/>
              <w:spacing w:before="0" w:after="283"/>
              <w:jc w:val="left"/>
              <w:rPr/>
            </w:pPr>
            <w:r>
              <w:rPr/>
              <w:t> </w:t>
            </w:r>
          </w:p>
        </w:tc>
      </w:tr>
      <w:tr>
        <w:trPr/>
        <w:tc>
          <w:tcPr>
            <w:tcW w:w="39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78"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 Owned</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w:t>
              <w:br/>
              <w:t>Offering</w:t>
            </w:r>
          </w:p>
        </w:tc>
        <w:tc>
          <w:tcPr>
            <w:tcW w:w="474"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Offering</w:t>
            </w:r>
          </w:p>
        </w:tc>
        <w:tc>
          <w:tcPr>
            <w:tcW w:w="64" w:type="dxa"/>
            <w:tcBorders/>
            <w:vAlign w:val="bottom"/>
          </w:tcPr>
          <w:p>
            <w:pPr>
              <w:pStyle w:val="TableContents"/>
              <w:bidi w:val="0"/>
              <w:spacing w:before="0" w:after="283"/>
              <w:jc w:val="left"/>
              <w:rPr/>
            </w:pPr>
            <w:r>
              <w:rPr/>
              <w:t> </w:t>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Third Rock Ventures(6)</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Sofinnova Venture Partners, XI, L.P.(7)</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Abraham N. Ceesay, M.B.A., </w:t>
            </w:r>
            <w:r>
              <w:rPr>
                <w:rFonts w:ascii="Times New Roman" w:hAnsi="Times New Roman"/>
                <w:i/>
                <w:sz w:val="20"/>
              </w:rPr>
              <w:t>Chief Executive Officer and Director</w:t>
            </w:r>
            <w:r>
              <w:rPr>
                <w:rFonts w:ascii="Times New Roman" w:hAnsi="Times New Roman"/>
                <w:sz w:val="20"/>
              </w:rPr>
              <w:t>(8)</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Troy Ignelzi, </w:t>
            </w:r>
            <w:r>
              <w:rPr>
                <w:rFonts w:ascii="Times New Roman" w:hAnsi="Times New Roman"/>
                <w:i/>
                <w:sz w:val="20"/>
              </w:rPr>
              <w:t xml:space="preserve">Chief Financial Officer </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Cheryl Gault, </w:t>
            </w:r>
            <w:r>
              <w:rPr>
                <w:rFonts w:ascii="Times New Roman" w:hAnsi="Times New Roman"/>
                <w:i/>
                <w:sz w:val="20"/>
              </w:rPr>
              <w:t>Chief Operations Officer</w:t>
            </w:r>
            <w:r>
              <w:rPr>
                <w:rFonts w:ascii="Times New Roman" w:hAnsi="Times New Roman"/>
                <w:sz w:val="20"/>
              </w:rPr>
              <w:t>(9)</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Reid Huber, Ph.D., </w:t>
            </w:r>
            <w:r>
              <w:rPr>
                <w:rFonts w:ascii="Times New Roman" w:hAnsi="Times New Roman"/>
                <w:i/>
                <w:sz w:val="20"/>
              </w:rPr>
              <w:t>Former Chief Executive Officer and Director</w:t>
            </w:r>
            <w:r>
              <w:rPr>
                <w:rFonts w:ascii="Times New Roman" w:hAnsi="Times New Roman"/>
                <w:sz w:val="20"/>
              </w:rPr>
              <w:t>(6)</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Steven M. Paul, M.D.(10)</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Terry-Ann Burrell, M.B.A.(11)</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James I. Healy, M.D., Ph.D.(7)</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Kelleher, M.D., Ph.D.</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John Maraganore, Ph.D.(12)</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K. Tong, Ph.D.(6)</w:t>
            </w:r>
          </w:p>
        </w:tc>
        <w:tc>
          <w:tcPr>
            <w:tcW w:w="47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67"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(14 persons)(13)</w:t>
            </w:r>
          </w:p>
        </w:tc>
        <w:tc>
          <w:tcPr>
            <w:tcW w:w="47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c>
          <w:tcPr>
            <w:tcW w:w="9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issuable upon conversion of Series A preferred stock held by ARCH Venture Fund XII, L.P. (ARCH XII) and (ii)    shares of common stock issuable upon conversion of Series B preferred stock held by ARCH XII. ARCH Venture Partners XII, L.P. (AVP XII LP) is the general partner of ARCH XII. ARCH Venture Partners XII, LLC (AVP XII LLC) is the general partner of AVP XII LP. Keith Crandell, Kristina Burow, Steven Gillis and Robert Nelsen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XIILLC and the AVP XII LLC Committee Members disclaim beneficial ownership except to the extent of their pecuniary interest therein, if any. The address of ARCH Venture Partners is 8755 West Higgins Road, Suite 1025, Chicago, IL 60631.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issuable upon conversion of Series B preferred stock held by Cormorant Global Healthcare Master Fund, LP, (ii)    shares of common stock issuable upon conversion of Series B preferred stock held by Cormorant Private Healthcare Fund III, LP, (iii) shares of common stock issuable upon conversion of Series B preferred stock held by Cormorant Private Healthcare Fund IV, LP and (iii)    shares of common stock issuable upon conversion of Series B preferred stock held by Cormorant Private Healthcare Fund V, LP. Cormorant Asset Management LP (Cormorant Management) serves as the investment manager to the Cormorant funds listed above (the Cormorant Funds), and Bihua Chen serves as the managing member of Cormorant Management. Ms. Chen may be deemed to beneficially own the shares held by the Cormorant Funds. The business address of the Cormorant Funds, Cormorant Management and Ms. Chen is 200 Clarendon Street, 52nd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held by Johnson &amp; Johnson InnovationJJDC, Inc. (JJDC), (ii)    common stock issuable upon conversion of Series A preferred stock held by JJDC and (iii)     common stock issuable upon conversion of Series B preferred stock held by JJDC. JJDC is a wholly owned subsidiary of Johnson &amp; Johnson (J&amp;J). J&amp;J may be deemed to indirectly beneficially own the shares that are directly beneficially owned by JJDC. The principal business address of J&amp;J is One Johnson &amp; Johnson Plaza, New Brunswick, NJ 08933, and the principal business address of JJDC is 410 George Street, New Brunswick, NJ 08901.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issuable upon conversion of Series B preferred stock held by Bangle &amp; Co fbo Fidelity Advisor Series VII: Fidelity Advisor Biotechnology Fund, (ii)    shares of common stock issuable upon conversion of Series B preferred stock held by Mag &amp; Co fbo Fidelity Growth Company Commingled Pool, (iii)    shares of common stock issuable upon conversion of Series 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preferred stock held by Mag &amp; Co fbo Mt. Vernon Street Trust: Fidelity Series Growth Company Fund, (iv)    shares of common stock issuable upon conversion of Series B preferred stock held by Powhatan &amp; Co., LLC fbo Fidelity Mt. Vernon Street Trust: Fidelity Growth Company Fund and (v)    shares of common stock issuable upon conversion of Series B preferred stock held by Powhatan &amp; Co., LLC FBO Fidelity Mt. Vernon Street Trust: Fidelity Growth Company K6 Fund. All of the securities listed in the table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Series B Preferred Stock held by SMALLCAP World Fund, Inc. (the CRMC Stockholder). Capital Research and Management Company (CRMC) is the investment adviser for the CRMC Stockholder. CRMC and/or Capital International Investors (CII) may be deemed to be the beneficial owner of the shares held by the CRMC Stockholder; however, each of CRMC and CII expressly disclaims that it is the beneficial owner of such securities. Julian N. Abdey, Peter Eliot, Brady L. Enright, Bradford F. Freer, Peter Gusev, Leo Hee, M. Taylor Hinshaw, Roz Hongsaranagon, Akira Horiguchi, Shlok Melwani, Dimitrije M. Mitrinovic, Aidan OConnell, Samir Parekh, Piyada Phanaphat, Andraz Razen, Renaud H. Samyn, Arun Swaminathan, Thatcher Thompson and Gregory W. Wendt, as portfolio managers, have voting and investment power over the shares held by the CRMC Stockholder. The business address for each of the CRMC Stockholder, CMRC and CII is 333 South Hope Street, Los Angeles, California 90071. The CRMC Stockholder acquired the securities described above in the ordinary course of its business.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held by Third Rock Ventures V, L.P. (TRV V), (ii)    shares of common stock issuable upon conversion of Series A preferred stock held by TRV V, (iii)    shares of common stock issuable upon conversion of Series A preferred stock held by Third Rock Ventures VI, L.P. (TRV VI) and (iv)    shares of common stock issuable upon the conversion of Series B preferred stock held by TRV VI. The sole general partner of TRV V is Third Rock Ventures GP V, L.P. (TRV GP V). The sole general partner of TRV GP V is TRV GP V, LLC (TRV GP V LLC). The sole general partner of TRV VI is Third Rock Ventures GP VI, L.P. (TRV GP VI). The sole general partner of TRV GP VI is TRV GP VI, LLC (TRV GP VI LLC). Abbie Celniker, Ph.D., Robert Tepper, M.D., Reid Huber, Ph.D., Jeffrey Tong, Ph.D., Kevin Gillis, Neil Exter and Cary Pfeffer, M.D. are the managing members of TRV GP V LLC and TRV GP VI LLC and collectively make voting and investment decisions with respect to shares held by TRV V and TRV VI. David Kaufman is also a managing member of TRV GP VI LLC and contributes to voting decisions with respect to shares held by TRV VI. Dr. Huber and Dr. Tong are members of our board of directors. The principal address for the entities and individuals named in this paragraph is 201 Brookline Avenue, Suite 1401, Boston, Massachusetts 02215.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Series B Preferred Stock held by Sofinnova Venture Partners XI, L.P. (SVP XI), except that Sofinnova Management XI, L.P. (SM XI LP), the general partner of SVP XI, may be deemed to have sole voting power, Sofinnova Management XI, L.L.C. (SM XI LLC), the general partner of SM XI LP, may be deemed to have sole voting power, and James I. Healy, M.D., Ph.D. and Maha Katabi, Ph.D., the managing members of SM XI LLC, may be deemed to have shared power to vote these shares. Each of SM XI LP, SM XI LLC, Dr. Healy and Dr. Katabi disclaim beneficial ownership of the shares held by SVP XI, except to the extent of their respective pecuniary interest therein. The principal address for the entities and individuals named in this paragraph is 3000 Sand Hill Road, Building 4, Suite 250, Menlo Park, CA 94025.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restricted common stock and (ii)    shares of common stock issuable upon the exercise of options exercisable within 60 days of May 10, 2024 held by Mr. Ceesay.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restricted common stock and (ii)    shares of common stock issuable upon the exercise of options exercisable within 60 days of May 10, 2024 held by Ms. Gault.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restricted common stock and (ii)    shares of common stock issuable upon the exercise of options exercisable within 60 days of May 10, 2024 held by Dr. Paul.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upon the exercise of options exercisable within 60 days of May 10, 2024 held by Ms. Burrell.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common stock issuable upon the exercise of options exercisable within 60 days of May 10, 2024 held by Dr. Maraganore.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(ii)    shares of common stock issuable upon conversion of Series A preferred stock, (iii)    shares of common stock issuable upon conversion of Series B preferred stock, (iv)    shares of restricted common stock and (v)    shares of common stock issuable upon the exercise of options exercisable within 60 days of May 10,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803738_14"/>
      <w:bookmarkEnd w:id="17"/>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our capital stock and certain provisions of our third amended and restated certificate of incorporation and amended and restated bylaws are summaries and are qualified by reference to the third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Upon filing of our third amended and restated certificate of incorporation and the completion of this offering, our authorized capital stock will consist of     shares of common stock, par value $0.001 per share, and shares of preferred stock, par value $0.001 per share, all of which shares of preferred stock will be undesignated.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2024, there were 225,335,786 shares of common stock outstanding (which includes 17,388,750 shares of unvested restricted common stock) and held of record by 57 stockholders. This amount assumes the conversion of all outstanding shares of our convertible preferred stock into common stock, which will occur immediately prior to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As of May 10, 2024, 23,722,506 shares of common stock were issuable upon the exercise of outstanding stock options under the 2022 Plan, at a weighted-average exercise price of $0.64 per share; no shares of common stock were issuable upon exercise of outstanding stock options outside of our 2022 Plan; and    shares of our common stock reserved for future issuance under the 2024 Plan, which will become effective once the registration statement of which this prospectus forms a part is declared effective, as well as any future automatic annual increases in the number of shares of common stock reserved for issuance under the 2024 Plan and any shares underlying outstanding stock awards granted under the 2022 Plan, that expire or are repurchased, forfeited, cancelled, or withheld. For additional information regarding terms of our equity incentive plans, see the section titled </w:t>
      </w:r>
      <w:r>
        <w:rPr>
          <w:rFonts w:ascii="Times New Roman" w:hAnsi="Times New Roman"/>
          <w:i/>
          <w:sz w:val="20"/>
        </w:rPr>
        <w:t>Executive CompensationEmployee Benefit and Equity Compensation Plans</w:t>
      </w:r>
      <w:r>
        <w:rPr>
          <w:rFonts w:ascii="Times New Roman" w:hAnsi="Times New Roman"/>
          <w:sz w:val="20"/>
        </w:rPr>
        <w:t xml:space="preserve">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third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certain holders of our common stock, including those issuable upon the conversion of shares of our convertible preferred stock upon completion of this offering, will be entitled to certain demand registration rights. At any time beginning 180 days after the completion of this offering, the holders of at least 25% of these shares may request that we register all or a portion of their shares. We are not required to effect more than two registration statements which are declared or ordered effective. Such request for registration must cover shares with an anticipated aggregate offering price of at least $5 million. With certain exceptions, we are not required to effect the filing of a registration statement during the period starting with the date of the filing of, and ending on a date 60 days following the effective date of the registration statement for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holders of our common stock, including those issuable upon the conversion of shares of our convertible preferred stock upon completion of this offering,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Form S-3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certain holders of our common stock, including those issuable upon the conversion of shares of our convertible preferred stock upon completion of this offering, will be entitled to certain Form S-3 registration rights. Holders of at least 10% of these shares can make a request that we register their shares on Form S-3 if we are qualified to file a registration statement on Form S-3 and if the reasonably anticipated aggregate net proceeds of the shares offered would equal or exceed $1 million. We will not be required to effect more than two registrations on Form S-3 within any twelve-month period. The right to have such shares registered on Form S-3 is further subject to other specified conditions and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Expiration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demand registration rights and short-form registration rights granted under the investor rights agreement will terminate upon the earliest of (i) the closing of a Deemed Liquidation Event, as such term is defined in our amended and restated certificate of incorporation (as currently in effect), (ii) with respect to each stockholder, such date, on or after the completion of this offering, on which all registrable shares held by such stockholder may immediately be sold during any three-month period pursuant to Rule 144 of the Securities Act or another similar exemption and (iii) the fifth anniversary of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will provide for the division of our board of directors into three classes serving staggered three-year terms, with one class being elected each year. Our third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third amended and restated certificate of incorporation must first be approved by a majority of our board of directors, and if required by law or our third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provides for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third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third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 </w:t>
      </w:r>
    </w:p>
    <w:p>
      <w:pPr>
        <w:pStyle w:val="TextBody"/>
        <w:bidi w:val="0"/>
        <w:spacing w:before="240" w:after="0"/>
        <w:jc w:val="left"/>
        <w:rPr>
          <w:rFonts w:ascii="Times New Roman" w:hAnsi="Times New Roman"/>
          <w:sz w:val="20"/>
        </w:rPr>
      </w:pPr>
      <w:r>
        <w:rPr>
          <w:rFonts w:ascii="Times New Roman" w:hAnsi="Times New Roman"/>
          <w:sz w:val="20"/>
        </w:rPr>
        <w:t xml:space="preserve">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bylaws will provide that any person or entity holding, owning or otherwise acquiring any interest in any of our securities shall be deemed to have notice of and consented to these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w:t>
      </w:r>
    </w:p>
    <w:p>
      <w:pPr>
        <w:pStyle w:val="TextBody"/>
        <w:bidi w:val="0"/>
        <w:spacing w:before="12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ManagementLimitations on Liability and Indemnification Agreements</w:t>
      </w:r>
      <w:r>
        <w:rPr>
          <w:rFonts w:ascii="Times New Roman" w:hAnsi="Times New Roman"/>
          <w:sz w:val="20"/>
        </w:rPr>
        <w:t xml:space="preserve">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not listed on any securities exchange. We have applied to have our common stock approved for listing on The Nasdaq Global Market under the symbol RAPP.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On the completion of this offering, the transfer agent and registrar for our common stock will be Computer Trust Company, N.A. The transfer agents address is 150 Royall Street, Canton, Massachusetts 02021.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803738_15"/>
      <w:bookmarkEnd w:id="18"/>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The Nasdaq Global Market, we cannot assure you that there will be an active public market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this offering, based on our shares outstanding as of March 31, 2024, a total of    shares of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common stock then outstanding, which will equal approximately    shares immediately after this offering, assuming no exercise of the underwriters option to purchase additional shares of common stock from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of our common stock on Nasdaq during the four calendar weeks preceding the filing of a notice on Form 144 with respect to such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Rule 701 under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Form S-8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one or more registration statements on Form S-8 under the Securities Act with the SEC to register the offer and sale of shares of our common stock that are issuable under the 2022 Plan, the 2024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Arrangements </w:t>
      </w:r>
    </w:p>
    <w:p>
      <w:pPr>
        <w:pStyle w:val="TextBody"/>
        <w:bidi w:val="0"/>
        <w:spacing w:before="120" w:after="0"/>
        <w:jc w:val="left"/>
        <w:rPr>
          <w:rFonts w:ascii="Times New Roman" w:hAnsi="Times New Roman"/>
          <w:sz w:val="20"/>
        </w:rPr>
      </w:pPr>
      <w:r>
        <w:rPr>
          <w:rFonts w:ascii="Times New Roman" w:hAnsi="Times New Roman"/>
          <w:sz w:val="20"/>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Goldman Sachs &amp; Co. LLC and Jefferies LLC, subject to certain exceptions. See the section titled </w:t>
      </w:r>
      <w:r>
        <w:rPr>
          <w:rFonts w:ascii="Times New Roman" w:hAnsi="Times New Roman"/>
          <w:i/>
          <w:sz w:val="20"/>
        </w:rPr>
        <w:t>Underwriting</w:t>
      </w:r>
      <w:r>
        <w:rPr>
          <w:rFonts w:ascii="Times New Roman" w:hAnsi="Times New Roman"/>
          <w:sz w:val="20"/>
        </w:rPr>
        <w:t xml:space="preserve"> included elsewhere in this prospectus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w:t>
      </w:r>
      <w:r>
        <w:rPr>
          <w:rFonts w:ascii="Times New Roman" w:hAnsi="Times New Roman"/>
          <w:i/>
          <w:sz w:val="20"/>
        </w:rPr>
        <w:t>Description of Capital StockRegistration rights</w:t>
      </w:r>
      <w:r>
        <w:rPr>
          <w:rFonts w:ascii="Times New Roman" w:hAnsi="Times New Roman"/>
          <w:sz w:val="20"/>
        </w:rPr>
        <w:t xml:space="preserve"> included elsewhere in this 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803738_16"/>
      <w:bookmarkEnd w:id="19"/>
      <w:r>
        <w:rPr>
          <w:rFonts w:ascii="Times New Roman" w:hAnsi="Times New Roman"/>
          <w:b/>
          <w:sz w:val="20"/>
        </w:rPr>
        <w:t xml:space="preserve">MATERIAL U.S. FEDERAL INCOME TAX CONSEQUENCES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consequences to non-U.S. holders (as defined below) of the ownership and disposition of our common stock issued pursuant to this offering. This discussion is based on the Internal Revenue Code of 1986, as amended (referred to as the Code), Treasury Regulations promulgated thereunder, published rulings and administrative pronouncements of the U.S. Internal Revenue Service (IRS) and judicial decisions, all as in effect on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pass-through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 our common stock through the exercise of an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elect to apply Section 1400Z-2 of the Code to gains recognized with respect to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hedging or conversion transaction or straddle, or synthetic security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the U.S. federal income tax treatment of a partner in the partnership generally will depend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owning and disposing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organization taxable as a corporation for U.S. federal income taxes that is not created or organized under the laws of the United States, any state thereof, or the District of Columbia;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trust or estate, the income of which is not subject to U.S. federal income tax on a net income basis.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left"/>
        <w:rPr>
          <w:rFonts w:ascii="Times New Roman" w:hAnsi="Times New Roman"/>
          <w:sz w:val="20"/>
        </w:rPr>
      </w:pPr>
      <w:r>
        <w:rPr>
          <w:rFonts w:ascii="Times New Roman" w:hAnsi="Times New Roman"/>
          <w:sz w:val="20"/>
        </w:rPr>
        <w:t>As described under </w:t>
      </w:r>
      <w:r>
        <w:rPr>
          <w:rFonts w:ascii="Times New Roman" w:hAnsi="Times New Roman"/>
          <w:i/>
          <w:sz w:val="20"/>
        </w:rPr>
        <w:t>Dividend Policy</w:t>
      </w:r>
      <w:r>
        <w:rPr>
          <w:rFonts w:ascii="Times New Roman" w:hAnsi="Times New Roman"/>
          <w:sz w:val="20"/>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w:t>
      </w:r>
      <w:r>
        <w:rPr>
          <w:rFonts w:ascii="Times New Roman" w:hAnsi="Times New Roman"/>
          <w:i/>
          <w:sz w:val="20"/>
        </w:rPr>
        <w:t>Gain on sale or other taxable disposition of our common stock</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the non-U.S. holder generally will be exempt from U.S. federal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 </w:t>
      </w:r>
    </w:p>
    <w:p>
      <w:pPr>
        <w:pStyle w:val="TextBody"/>
        <w:bidi w:val="0"/>
        <w:spacing w:before="240" w:after="0"/>
        <w:jc w:val="left"/>
        <w:rPr>
          <w:rFonts w:ascii="Times New Roman" w:hAnsi="Times New Roman"/>
          <w:sz w:val="20"/>
        </w:rPr>
      </w:pPr>
      <w:r>
        <w:rPr>
          <w:rFonts w:ascii="Times New Roman" w:hAnsi="Times New Roman"/>
          <w:sz w:val="20"/>
        </w:rPr>
        <w:t xml:space="preserve">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(as defined below),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a period or periods aggregating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the second bullet point above will be subject to U.S. federal income tax at a flat 30% rate (or such lower rate specified by an applicable income tax treaty), but may be offset by certain U.S.- source capital losses of the non-U.S. holder (even though the individual is not considered a resident of the United States),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Determining whether we are a USRPHC depends on the fair market value of our U.S.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will not in the future become a USRPHC. Even if we are treated as a USRPHC, gain realized by a non-U.S. holder on a disposition of our common stock will not be subject to U.S. federal income tax so long as (1) the non-U.S. holder owned, directly, indirectly and constructively, no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are, or were to become, a USRPHC.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withholding does not apply to gross proceeds from sales or other dispositions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tax advisors regarding the possible implications of FATCA on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PROSPECTIVE INVESTOR SHOULD CONSULT ITS TAX ADVISOR REGARDING THE TAX CONSEQUENCES OF OWNING AND DISPOSING OF OUR COMMON STOCK, INCLUDING THE CONSEQUENCES OF ANY RECENT AND PROPOSED CHANGE IN APPLICABLE LAW, AS WELL AS TAX CONSEQUENCES ARISING UNDER ANY STATE, LOCAL, NON-U.S. OR U.S. FEDERAL NON-INCOME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803738_17"/>
      <w:bookmarkEnd w:id="2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Jefferies LLC, TD Securities (USA) LLC and Stifel, Nicolaus &amp; Company, Incorporated are the representatives of the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6"/>
        <w:gridCol w:w="718"/>
        <w:gridCol w:w="141"/>
        <w:gridCol w:w="1778"/>
        <w:gridCol w:w="62"/>
      </w:tblGrid>
      <w:tr>
        <w:trPr/>
        <w:tc>
          <w:tcPr>
            <w:tcW w:w="7506" w:type="dxa"/>
            <w:tcBorders/>
            <w:vAlign w:val="center"/>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5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718" w:type="dxa"/>
            <w:tcBorders/>
            <w:vAlign w:val="bottom"/>
          </w:tcPr>
          <w:p>
            <w:pPr>
              <w:pStyle w:val="TableContents"/>
              <w:bidi w:val="0"/>
              <w:spacing w:before="0" w:after="283"/>
              <w:jc w:val="left"/>
              <w:rPr/>
            </w:pPr>
            <w:r>
              <w:rPr/>
              <w:t>  </w:t>
            </w:r>
          </w:p>
        </w:tc>
        <w:tc>
          <w:tcPr>
            <w:tcW w:w="1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7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7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7506"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7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77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506"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TD Securities (USA) LLC</w:t>
            </w:r>
          </w:p>
        </w:tc>
        <w:tc>
          <w:tcPr>
            <w:tcW w:w="7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77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506" w:type="dxa"/>
            <w:tcBorders/>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7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77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506"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77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77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506"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77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us. Such amounts are shown assuming both no exercise and full exercise of the underwriters option to purchase up to an additional    shares of our common stock from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8"/>
        <w:gridCol w:w="400"/>
        <w:gridCol w:w="183"/>
        <w:gridCol w:w="1074"/>
        <w:gridCol w:w="60"/>
        <w:gridCol w:w="400"/>
        <w:gridCol w:w="199"/>
        <w:gridCol w:w="1217"/>
        <w:gridCol w:w="64"/>
      </w:tblGrid>
      <w:tr>
        <w:trPr/>
        <w:tc>
          <w:tcPr>
            <w:tcW w:w="6608"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608"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6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40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60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We and our officers, directors, and holders of substantially all of our capital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(collectively, Lock-Up Securities) during the period from the date of this prospectus continuing through the date 180 days after the date of this prospectus, except with the prior written consent of Goldman Sachs &amp; Co. LLC and Jefferies LLC. See the section titled </w:t>
      </w:r>
      <w:r>
        <w:rPr>
          <w:rFonts w:ascii="Times New Roman" w:hAnsi="Times New Roman"/>
          <w:i/>
          <w:sz w:val="20"/>
        </w:rPr>
        <w:t>Shares Eligible for Future Sale</w:t>
      </w:r>
      <w:r>
        <w:rPr>
          <w:rFonts w:ascii="Times New Roman" w:hAnsi="Times New Roman"/>
          <w:sz w:val="20"/>
        </w:rPr>
        <w:t xml:space="preserve"> for a discussion of certain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our officers, directors and holders of substantially all of our capital stock and securities convertible into or exchangeable for our common stock with respect to: </w:t>
      </w:r>
    </w:p>
    <w:p>
      <w:pPr>
        <w:pStyle w:val="TextBody"/>
        <w:bidi w:val="0"/>
        <w:spacing w:before="240" w:after="0"/>
        <w:jc w:val="left"/>
        <w:rPr>
          <w:rFonts w:ascii="Times New Roman" w:hAnsi="Times New Roman"/>
          <w:sz w:val="20"/>
        </w:rPr>
      </w:pPr>
      <w:r>
        <w:rPr>
          <w:rFonts w:ascii="Times New Roman" w:hAnsi="Times New Roman"/>
          <w:sz w:val="20"/>
        </w:rPr>
        <w:t xml:space="preserve">Transfers of Lock-Up Securities (i) as one or more bona fide gifts or charitable contributions, or for bona fide estate planning purposes, (ii) upon death by will, testamentary document or intestate succession, (iii)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lock-up party is a natural person, to any member of the lock-up partys immediate family or to any trust for the direct or indirect benefit of such lock-up party or the immediate family of such lock-up party or, if such lock-up party is a trust, to a trust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or other business entity, (A) to another corporation, partnership, limited liability company or other business entity that is a subsidiary or an affiliate (as defined in Rule 405 under the Securities Act) of such lock-up party, or to any investment fund or other entity which fund or entity is controlled or managed by the lock-up party or affiliates of such lock-up party (including, for the avoidance of doubt, where the undersigned is a partnership, to its general partner or a successor partnership or fund, or any other funds managed by such partnership), or (B) as part of a disposition, transfer or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from one of our employees upon death, disability or termination of employment, in each case, of such employee, (ix) if the lock-up party is not one of our officers or directors, in connection with a sale of such lock-up partys shares of common stock acquired (A) from the underwriters in this offering or (B) in open market transactions after the closing date of this offering or (x) to us in connection with the vesting, settlement or exercise of restricted stock units, options, warrants or other rights to purchase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 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 up agreement containing the same restrictions set forth above,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(i) or (vii) above, that the donee, devisee, transferee or distributee has agreed to be bound by a lock-up agreement containing the same restrictions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 (b) transfer the lock-up partys Lock-Up Securities to us pursuant to an agreement under which we have the option to repurchase shares or a right of first refusal with respect to transfer of such shares, provided that no filing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(c) (i) transfer its Lock-Up Securities pursuant to a bona fide third-party tender offer, merger, consolidation or other similar transaction that is approved by our board of directors and made to all holders of our capital stock involving a change of control of us, in one transaction or a series of related transactions, to a person or group of affiliated persons, of shares of capital stock if, after such transfer, such person or group of affiliated persons would hold at least a majority of our outstanding voting securities (or the voting securities of the surviving entity) and (ii) enter into any lock-up, voting or similar agreement pursuant to which the undersigned may agree to transfer, sell, tender or otherwise dispose of common stock or other such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(d) convert outstanding shares of our convertible preferred stock into shares of common stock, provided that any such shares received upon such conversion shall remain subject to the provisions of the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transfers or other dispositions by us described above do not apply to us with respect to (i) the sale of shares of common stock pursuant to this offering, (ii) the issuance of shares of common stock or any securities (or any securities (including without limitation options, restricted stock or restricted stock units) convertible into, or exercisable for, shares of common stock pursuant to any employee stock option plan, incentive plan, stock plan, dividend reinvestment plan or otherwise in equity compensation arrangements in place as of the date of the underwriting agreement and described in this prospectus, (iii) the grant of awards pursuant to employee equity-based compensation plans, incentive plans, stock plans, or other arrangements in place as of the date of the underwriting agreement and described in this prospectus, (iv) the filing of a registration statement on Form S-8 in connection with the registration of shares of common stock issuable under any employee equity-based compensation plan, incentive plan, stock plan, dividend reinvestment plan adopted and approved by the our board of directors prior to the date of the underwriting agreement and described in this prospectus and (v) the issuance of up to 5% of the outstanding shares of our common stock in connection with the acquisition of the assets of, or a majority or controlling portion of the equity of, or a joint venture with another entity in connection with its acquisition us of such entity; provided that each recipient of any shares of common stock issued or sold pursuant to (ii)-(iii) and (v) above enter into a lock-up agreement with the underwriters with the same restrictions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 </w:t>
      </w:r>
    </w:p>
    <w:p>
      <w:pPr>
        <w:pStyle w:val="TextBody"/>
        <w:bidi w:val="0"/>
        <w:spacing w:before="240" w:after="0"/>
        <w:jc w:val="left"/>
        <w:rPr>
          <w:rFonts w:ascii="Times New Roman" w:hAnsi="Times New Roman"/>
          <w:sz w:val="20"/>
        </w:rPr>
      </w:pPr>
      <w:r>
        <w:rPr>
          <w:rFonts w:ascii="Times New Roman" w:hAnsi="Times New Roman"/>
          <w:sz w:val="20"/>
        </w:rPr>
        <w:t xml:space="preserve">We have applied to list our common stock on the Nasdaq Global Market under the symbol RAPP.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and commissions, will be approximately $    . We have agreed to reimburse the underwriters for certain of their expenses in an amount up to $    .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For example, affiliates of Goldman Sachs &amp; Co. LLC, including certain investment funds managed by Goldman Sachs &amp; Co. LLC, own an aggregate of 5,365,861 shares of our Series B preferred stock, which will automatically convert into an aggregate of 5,365,861 shares of our common stock in connection with this offering.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in that Relevant Member, all in accordance with the Prospectus Regulation, except that the shares may be offered to the public in that Relevant Member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left"/>
        <w:rPr>
          <w:rFonts w:ascii="Times New Roman" w:hAnsi="Times New Roman"/>
          <w:sz w:val="20"/>
        </w:rPr>
      </w:pPr>
      <w:r>
        <w:rPr>
          <w:rFonts w:ascii="Times New Roman" w:hAnsi="Times New Roman"/>
          <w:sz w:val="20"/>
        </w:rPr>
        <w:t xml:space="preserve">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803738_18"/>
      <w:bookmarkEnd w:id="2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being offered in this prospectus will be passed upon for us by Goodwin Procter LLP, Boston, Massachusetts. Cooley LLP, New York, New York, is representing the underwriters in this offering. </w:t>
      </w:r>
    </w:p>
    <w:p>
      <w:pPr>
        <w:pStyle w:val="TextBody"/>
        <w:bidi w:val="0"/>
        <w:spacing w:before="480" w:after="0"/>
        <w:jc w:val="center"/>
        <w:rPr>
          <w:rFonts w:ascii="Times New Roman" w:hAnsi="Times New Roman"/>
          <w:b/>
          <w:sz w:val="20"/>
        </w:rPr>
      </w:pPr>
      <w:bookmarkStart w:id="22" w:name="tx803738_19"/>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as of December 31, 2023 and 2022 and for the year ended December 31, 2023 and the period from February 10, 2022 (inception) to December 31, 2022 included in this prospectus have been so included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3" w:name="tx803738_20"/>
      <w:bookmarkEnd w:id="23"/>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Times New Roman" w:hAnsi="Times New Roman"/>
          <w:i/>
          <w:sz w:val="20"/>
        </w:rPr>
        <w:t>www.sec.gov/edgar.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www.rapportrx.com</w:t>
      </w:r>
      <w:r>
        <w:rPr>
          <w:rFonts w:ascii="Times New Roman" w:hAnsi="Times New Roman"/>
          <w:sz w:val="20"/>
        </w:rPr>
        <w:t xml:space="preserve">.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 to those reported filed or furnished pursuant to Section 13(a) or 15(d) of the Exchange Act as soon as reasonably practicable after such material is electronically filed with, or furnished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803738_20a"/>
      <w:bookmarkStart w:id="25" w:name="index"/>
      <w:bookmarkEnd w:id="24"/>
      <w:bookmarkEnd w:id="25"/>
      <w:r>
        <w:rPr>
          <w:rFonts w:ascii="Times New Roman" w:hAnsi="Times New Roman"/>
          <w:b/>
          <w:sz w:val="20"/>
        </w:rPr>
        <w:t xml:space="preserve">INDEX TO THE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12"/>
        <w:gridCol w:w="124"/>
        <w:gridCol w:w="60"/>
        <w:gridCol w:w="247"/>
        <w:gridCol w:w="62"/>
      </w:tblGrid>
      <w:tr>
        <w:trPr/>
        <w:tc>
          <w:tcPr>
            <w:tcW w:w="97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pPr>
            <w:hyperlink w:anchor="fin803738_11">
              <w:r>
                <w:rPr>
                  <w:rStyle w:val="InternetLink"/>
                  <w:rFonts w:ascii="Times New Roman" w:hAnsi="Times New Roman"/>
                  <w:sz w:val="20"/>
                </w:rPr>
                <w:t xml:space="preserve">Report of Independent Registered Public Accounting Firm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rFonts w:ascii="Times New Roman" w:hAnsi="Times New Roman"/>
                <w:sz w:val="20"/>
              </w:rPr>
            </w:pPr>
            <w:r>
              <w:rPr>
                <w:rFonts w:ascii="Times New Roman" w:hAnsi="Times New Roman"/>
                <w:sz w:val="20"/>
              </w:rPr>
              <w:t>Audited Consolidated Financial Statements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pPr>
            <w:hyperlink w:anchor="fin803738_12">
              <w:r>
                <w:rPr>
                  <w:rStyle w:val="InternetLink"/>
                  <w:rFonts w:ascii="Times New Roman" w:hAnsi="Times New Roman"/>
                  <w:sz w:val="20"/>
                </w:rPr>
                <w:t>Consolidated Balance Sheets as of December 21, 2023 and 2022</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pPr>
            <w:hyperlink w:anchor="fin803738_13">
              <w:r>
                <w:rPr>
                  <w:rStyle w:val="InternetLink"/>
                  <w:rFonts w:ascii="Times New Roman" w:hAnsi="Times New Roman"/>
                  <w:sz w:val="20"/>
                </w:rPr>
                <w:t>Consolidated Statements of Operations and Comprehensive Loss for the Year Ended December 31, 2023 and for the Period from February 10, 2022 (inception) to December 31, 2022</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pPr>
            <w:hyperlink w:anchor="fin803738_14">
              <w:r>
                <w:rPr>
                  <w:rStyle w:val="InternetLink"/>
                  <w:rFonts w:ascii="Times New Roman" w:hAnsi="Times New Roman"/>
                  <w:sz w:val="20"/>
                </w:rPr>
                <w:t>Consolidated Statements of Convertible Preferred Stock and Stockholders Deficit for the Year Ended December 31, 2023 and for the Period from February 10, 2022 (inception) to December 31, 2022</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pPr>
            <w:hyperlink w:anchor="fin803738_15">
              <w:r>
                <w:rPr>
                  <w:rStyle w:val="InternetLink"/>
                  <w:rFonts w:ascii="Times New Roman" w:hAnsi="Times New Roman"/>
                  <w:sz w:val="20"/>
                </w:rPr>
                <w:t>Consolidated Statements of Cash Flows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75" w:hRule="atLeast"/>
        </w:trPr>
        <w:tc>
          <w:tcPr>
            <w:tcW w:w="9712" w:type="dxa"/>
            <w:tcBorders/>
            <w:vAlign w:val="center"/>
          </w:tcPr>
          <w:p>
            <w:pPr>
              <w:pStyle w:val="TableContents"/>
              <w:bidi w:val="0"/>
              <w:spacing w:before="0" w:after="283"/>
              <w:jc w:val="left"/>
              <w:rPr>
                <w:sz w:val="4"/>
                <w:szCs w:val="4"/>
              </w:rPr>
            </w:pPr>
            <w:r>
              <w:rPr>
                <w:sz w:val="4"/>
                <w:szCs w:val="4"/>
              </w:rPr>
            </w:r>
          </w:p>
        </w:tc>
        <w:tc>
          <w:tcPr>
            <w:tcW w:w="493" w:type="dxa"/>
            <w:gridSpan w:val="4"/>
            <w:tcBorders/>
            <w:vAlign w:val="center"/>
          </w:tcPr>
          <w:p>
            <w:pPr>
              <w:pStyle w:val="TableContents"/>
              <w:bidi w:val="0"/>
              <w:spacing w:before="0" w:after="283"/>
              <w:jc w:val="left"/>
              <w:rPr>
                <w:sz w:val="4"/>
                <w:szCs w:val="4"/>
              </w:rPr>
            </w:pPr>
            <w:r>
              <w:rPr>
                <w:sz w:val="4"/>
                <w:szCs w:val="4"/>
              </w:rPr>
            </w:r>
          </w:p>
        </w:tc>
      </w:tr>
      <w:tr>
        <w:trPr/>
        <w:tc>
          <w:tcPr>
            <w:tcW w:w="9712" w:type="dxa"/>
            <w:tcBorders/>
          </w:tcPr>
          <w:p>
            <w:pPr>
              <w:pStyle w:val="TableContents"/>
              <w:bidi w:val="0"/>
              <w:spacing w:before="0" w:after="0"/>
              <w:jc w:val="left"/>
              <w:rPr/>
            </w:pPr>
            <w:hyperlink w:anchor="fin803738_16">
              <w:r>
                <w:rPr>
                  <w:rStyle w:val="InternetLink"/>
                  <w:rFonts w:ascii="Times New Roman" w:hAnsi="Times New Roman"/>
                  <w:sz w:val="20"/>
                </w:rPr>
                <w:t>Notes to Consolidated Financial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3"/>
        <w:gridCol w:w="126"/>
        <w:gridCol w:w="60"/>
        <w:gridCol w:w="354"/>
        <w:gridCol w:w="62"/>
      </w:tblGrid>
      <w:tr>
        <w:trPr/>
        <w:tc>
          <w:tcPr>
            <w:tcW w:w="960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tcPr>
          <w:p>
            <w:pPr>
              <w:pStyle w:val="TableContents"/>
              <w:bidi w:val="0"/>
              <w:spacing w:before="0" w:after="0"/>
              <w:jc w:val="left"/>
              <w:rPr>
                <w:rFonts w:ascii="Times New Roman" w:hAnsi="Times New Roman"/>
                <w:sz w:val="20"/>
              </w:rPr>
            </w:pPr>
            <w:r>
              <w:rPr>
                <w:rFonts w:ascii="Times New Roman" w:hAnsi="Times New Roman"/>
                <w:sz w:val="20"/>
              </w:rPr>
              <w:t>Unaudited Interim Condensed Consolidated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tcPr>
          <w:p>
            <w:pPr>
              <w:pStyle w:val="TableContents"/>
              <w:bidi w:val="0"/>
              <w:spacing w:before="0" w:after="0"/>
              <w:jc w:val="left"/>
              <w:rPr/>
            </w:pPr>
            <w:hyperlink w:anchor="fin803738_17">
              <w:r>
                <w:rPr>
                  <w:rStyle w:val="InternetLink"/>
                  <w:rFonts w:ascii="Times New Roman" w:hAnsi="Times New Roman"/>
                  <w:sz w:val="20"/>
                </w:rPr>
                <w:t xml:space="preserve">Condensed Consolidated Balance Sheets as of December 31, 2023 and March 31, 2024 </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F-39</w:t>
            </w:r>
          </w:p>
        </w:tc>
        <w:tc>
          <w:tcPr>
            <w:tcW w:w="62" w:type="dxa"/>
            <w:tcBorders/>
            <w:vAlign w:val="bottom"/>
          </w:tcPr>
          <w:p>
            <w:pPr>
              <w:pStyle w:val="TableContents"/>
              <w:bidi w:val="0"/>
              <w:spacing w:before="0" w:after="283"/>
              <w:jc w:val="left"/>
              <w:rPr/>
            </w:pPr>
            <w:r>
              <w:rPr/>
              <w:t> </w:t>
            </w:r>
          </w:p>
        </w:tc>
      </w:tr>
      <w:tr>
        <w:trPr>
          <w:trHeight w:val="75" w:hRule="atLeast"/>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tcPr>
          <w:p>
            <w:pPr>
              <w:pStyle w:val="TableContents"/>
              <w:bidi w:val="0"/>
              <w:spacing w:before="0" w:after="0"/>
              <w:jc w:val="left"/>
              <w:rPr/>
            </w:pPr>
            <w:hyperlink w:anchor="fin803738_18">
              <w:r>
                <w:rPr>
                  <w:rStyle w:val="InternetLink"/>
                  <w:rFonts w:ascii="Times New Roman" w:hAnsi="Times New Roman"/>
                  <w:sz w:val="20"/>
                </w:rPr>
                <w:t>Condensed Consolidated Statements of Operations and Comprehensive Loss for the Three Months Ended March 31, 2023 and 2024</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F-40</w:t>
            </w:r>
          </w:p>
        </w:tc>
        <w:tc>
          <w:tcPr>
            <w:tcW w:w="62" w:type="dxa"/>
            <w:tcBorders/>
            <w:vAlign w:val="bottom"/>
          </w:tcPr>
          <w:p>
            <w:pPr>
              <w:pStyle w:val="TableContents"/>
              <w:bidi w:val="0"/>
              <w:spacing w:before="0" w:after="283"/>
              <w:jc w:val="left"/>
              <w:rPr/>
            </w:pPr>
            <w:r>
              <w:rPr/>
              <w:t> </w:t>
            </w:r>
          </w:p>
        </w:tc>
      </w:tr>
      <w:tr>
        <w:trPr>
          <w:trHeight w:val="75" w:hRule="atLeast"/>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tcPr>
          <w:p>
            <w:pPr>
              <w:pStyle w:val="TableContents"/>
              <w:bidi w:val="0"/>
              <w:spacing w:before="0" w:after="0"/>
              <w:jc w:val="left"/>
              <w:rPr/>
            </w:pPr>
            <w:hyperlink w:anchor="fin803738_19">
              <w:r>
                <w:rPr>
                  <w:rStyle w:val="InternetLink"/>
                  <w:rFonts w:ascii="Times New Roman" w:hAnsi="Times New Roman"/>
                  <w:sz w:val="20"/>
                </w:rPr>
                <w:t>Condensed Consolidated Statements of Convertible Preferred Stock and Stockholders Deficit for the Three Months Ended March 31, 2023 and 2024</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F-41</w:t>
            </w:r>
          </w:p>
        </w:tc>
        <w:tc>
          <w:tcPr>
            <w:tcW w:w="62" w:type="dxa"/>
            <w:tcBorders/>
            <w:vAlign w:val="bottom"/>
          </w:tcPr>
          <w:p>
            <w:pPr>
              <w:pStyle w:val="TableContents"/>
              <w:bidi w:val="0"/>
              <w:spacing w:before="0" w:after="283"/>
              <w:jc w:val="left"/>
              <w:rPr/>
            </w:pPr>
            <w:r>
              <w:rPr/>
              <w:t> </w:t>
            </w:r>
          </w:p>
        </w:tc>
      </w:tr>
      <w:tr>
        <w:trPr>
          <w:trHeight w:val="75" w:hRule="atLeast"/>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tcPr>
          <w:p>
            <w:pPr>
              <w:pStyle w:val="TableContents"/>
              <w:bidi w:val="0"/>
              <w:spacing w:before="0" w:after="0"/>
              <w:jc w:val="left"/>
              <w:rPr/>
            </w:pPr>
            <w:hyperlink w:anchor="fin803738_20">
              <w:r>
                <w:rPr>
                  <w:rStyle w:val="InternetLink"/>
                  <w:rFonts w:ascii="Times New Roman" w:hAnsi="Times New Roman"/>
                  <w:sz w:val="20"/>
                </w:rPr>
                <w:t>Condensed Consolidated Statements of Cash Flows for the Three Months Ended March 31, 2023 and 2024</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F-42</w:t>
            </w:r>
          </w:p>
        </w:tc>
        <w:tc>
          <w:tcPr>
            <w:tcW w:w="62" w:type="dxa"/>
            <w:tcBorders/>
            <w:vAlign w:val="bottom"/>
          </w:tcPr>
          <w:p>
            <w:pPr>
              <w:pStyle w:val="TableContents"/>
              <w:bidi w:val="0"/>
              <w:spacing w:before="0" w:after="283"/>
              <w:jc w:val="left"/>
              <w:rPr/>
            </w:pPr>
            <w:r>
              <w:rPr/>
              <w:t> </w:t>
            </w:r>
          </w:p>
        </w:tc>
      </w:tr>
      <w:tr>
        <w:trPr>
          <w:trHeight w:val="75" w:hRule="atLeast"/>
        </w:trPr>
        <w:tc>
          <w:tcPr>
            <w:tcW w:w="9603" w:type="dxa"/>
            <w:tcBorders/>
            <w:vAlign w:val="center"/>
          </w:tcPr>
          <w:p>
            <w:pPr>
              <w:pStyle w:val="TableContents"/>
              <w:bidi w:val="0"/>
              <w:spacing w:before="0" w:after="283"/>
              <w:jc w:val="left"/>
              <w:rPr>
                <w:sz w:val="4"/>
                <w:szCs w:val="4"/>
              </w:rPr>
            </w:pPr>
            <w:r>
              <w:rPr>
                <w:sz w:val="4"/>
                <w:szCs w:val="4"/>
              </w:rPr>
            </w:r>
          </w:p>
        </w:tc>
        <w:tc>
          <w:tcPr>
            <w:tcW w:w="602" w:type="dxa"/>
            <w:gridSpan w:val="4"/>
            <w:tcBorders/>
            <w:vAlign w:val="center"/>
          </w:tcPr>
          <w:p>
            <w:pPr>
              <w:pStyle w:val="TableContents"/>
              <w:bidi w:val="0"/>
              <w:spacing w:before="0" w:after="283"/>
              <w:jc w:val="left"/>
              <w:rPr>
                <w:sz w:val="4"/>
                <w:szCs w:val="4"/>
              </w:rPr>
            </w:pPr>
            <w:r>
              <w:rPr>
                <w:sz w:val="4"/>
                <w:szCs w:val="4"/>
              </w:rPr>
            </w:r>
          </w:p>
        </w:tc>
      </w:tr>
      <w:tr>
        <w:trPr/>
        <w:tc>
          <w:tcPr>
            <w:tcW w:w="9603" w:type="dxa"/>
            <w:tcBorders/>
          </w:tcPr>
          <w:p>
            <w:pPr>
              <w:pStyle w:val="TableContents"/>
              <w:bidi w:val="0"/>
              <w:spacing w:before="0" w:after="0"/>
              <w:jc w:val="left"/>
              <w:rPr/>
            </w:pPr>
            <w:hyperlink w:anchor="fin803738_21">
              <w:r>
                <w:rPr>
                  <w:rStyle w:val="InternetLink"/>
                  <w:rFonts w:ascii="Times New Roman" w:hAnsi="Times New Roman"/>
                  <w:sz w:val="20"/>
                </w:rPr>
                <w:t>Notes to Condensed Consolidated Financial Statements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fin803738_11"/>
      <w:bookmarkEnd w:id="26"/>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Stockholders of Rapport Therapeutics,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Rapport Therapeutics, Inc. and its subsidiary (the Company) as of December 31, 2023 and 2022, and the related consolidated statements of operations and comprehensive loss, of convertible preferred stock and stockholders deficit and of cash flows for the year ended December 31, 2023 and for the period from February 10, 2022 (inception) to December 31, 2022,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 ended December 31, 2023 and for the period from February 10, 2022 (inception) to December 31, 2022 in conformity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 PricewaterhouseCoopers LLP</w:t>
            </w:r>
          </w:p>
        </w:tc>
      </w:tr>
      <w:tr>
        <w:trPr/>
        <w:tc>
          <w:tcPr>
            <w:tcW w:w="10205" w:type="dxa"/>
            <w:tcBorders/>
          </w:tcPr>
          <w:p>
            <w:pPr>
              <w:pStyle w:val="TableContents"/>
              <w:bidi w:val="0"/>
              <w:spacing w:before="0" w:after="283"/>
              <w:jc w:val="left"/>
              <w:rPr/>
            </w:pPr>
            <w:r>
              <w:rPr/>
              <w:t>Boston, Massachusetts</w:t>
            </w:r>
          </w:p>
        </w:tc>
      </w:tr>
      <w:tr>
        <w:trPr/>
        <w:tc>
          <w:tcPr>
            <w:tcW w:w="10205" w:type="dxa"/>
            <w:tcBorders/>
          </w:tcPr>
          <w:p>
            <w:pPr>
              <w:pStyle w:val="TableContents"/>
              <w:bidi w:val="0"/>
              <w:spacing w:before="0" w:after="283"/>
              <w:jc w:val="left"/>
              <w:rPr/>
            </w:pPr>
            <w:r>
              <w:rPr/>
              <w:t>March 27, 2024</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fin803738_12"/>
      <w:bookmarkEnd w:id="27"/>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71"/>
        <w:gridCol w:w="237"/>
        <w:gridCol w:w="140"/>
        <w:gridCol w:w="788"/>
        <w:gridCol w:w="155"/>
        <w:gridCol w:w="200"/>
        <w:gridCol w:w="140"/>
        <w:gridCol w:w="815"/>
        <w:gridCol w:w="159"/>
      </w:tblGrid>
      <w:tr>
        <w:trPr/>
        <w:tc>
          <w:tcPr>
            <w:tcW w:w="7571"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7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31,159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70,169</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77,309</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85</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3,309</w:t>
            </w:r>
          </w:p>
        </w:tc>
        <w:tc>
          <w:tcPr>
            <w:tcW w:w="159" w:type="dxa"/>
            <w:tcBorders/>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31,268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150,872</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335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1,916</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2,084</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551</w:t>
            </w:r>
          </w:p>
        </w:tc>
        <w:tc>
          <w:tcPr>
            <w:tcW w:w="159" w:type="dxa"/>
            <w:tcBorders/>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31,603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155,423</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(1)</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8"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2,502</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(1)</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5,631</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670</w:t>
            </w:r>
          </w:p>
        </w:tc>
        <w:tc>
          <w:tcPr>
            <w:tcW w:w="159" w:type="dxa"/>
            <w:tcBorders/>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1,663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8,803</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 tranche right liability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10,435</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preferred stock tranche right liability</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4,200</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net of current portion</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1,476</w:t>
            </w:r>
          </w:p>
        </w:tc>
        <w:tc>
          <w:tcPr>
            <w:tcW w:w="159" w:type="dxa"/>
            <w:tcBorders/>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12,098</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14,479</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14)</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$0.001 par value; 100,182,354 shares authorized as of December 31, 2022 and 2023; 40,182,354 and 100,182,354 shares issued and outstanding as of December 31, 2022 and 2023, respectively; liquidation preference of $40,182 and $100,182 as of December 31, 2022 and 2023, respectively</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29,567</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89,487</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 $0.001 par value; zero and 89,431,030 shares authorized as of December 31, 2022 and 2023, respectively; zero and 51,273,790 shares issued and outstanding as of December 31, 2022 and 2023, respectively; liquidation preference of zero and $86,000 as of December 31, 2022 and 2023, respectively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77,091</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$0.001 par value; 150,000,000 and 250,000,000 shares authorized at December 31, 2022 and 2023, respectively; 30,725,019 and 35,722,402 shares issued and outstanding as of December 31, 2022 and 2023, respectively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19,764</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(45,438</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(10,062</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(25,634</w:t>
            </w:r>
          </w:p>
        </w:tc>
        <w:tc>
          <w:tcPr>
            <w:tcW w:w="159" w:type="dxa"/>
            <w:tcBorders/>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31,603</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155,423</w:t>
            </w:r>
          </w:p>
        </w:tc>
        <w:tc>
          <w:tcPr>
            <w:tcW w:w="159" w:type="dxa"/>
            <w:tcBorders/>
            <w:shd w:fill="CCEEFF" w:val="clear"/>
            <w:vAlign w:val="bottom"/>
          </w:tcPr>
          <w:p>
            <w:pPr>
              <w:pStyle w:val="TableContents"/>
              <w:bidi w:val="0"/>
              <w:spacing w:before="0" w:after="283"/>
              <w:jc w:val="left"/>
              <w:rPr/>
            </w:pPr>
            <w:r>
              <w:rPr/>
              <w:t> </w:t>
            </w:r>
          </w:p>
        </w:tc>
      </w:tr>
      <w:tr>
        <w:trPr/>
        <w:tc>
          <w:tcPr>
            <w:tcW w:w="75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$0.7 million and $0.2 million (accounts payable) and less than $0.1 million and zero (accrued expenses) as of December 31, 2022 and 2023, respectively (see Notes 5 and 13). </w:t>
            </w:r>
          </w:p>
        </w:tc>
      </w:tr>
    </w:tbl>
    <w:p>
      <w:pPr>
        <w:pStyle w:val="TextBody"/>
        <w:bidi w:val="0"/>
        <w:spacing w:before="72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fin803738_13"/>
      <w:bookmarkEnd w:id="28"/>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sz w:val="20"/>
        </w:rPr>
      </w:pPr>
      <w:r>
        <w:rPr>
          <w:rFonts w:ascii="Times New Roman" w:hAnsi="Times New Roman"/>
          <w:b/>
          <w:i/>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2"/>
        <w:gridCol w:w="463"/>
        <w:gridCol w:w="238"/>
        <w:gridCol w:w="1682"/>
        <w:gridCol w:w="155"/>
        <w:gridCol w:w="410"/>
        <w:gridCol w:w="220"/>
        <w:gridCol w:w="1737"/>
        <w:gridCol w:w="158"/>
      </w:tblGrid>
      <w:tr>
        <w:trPr/>
        <w:tc>
          <w:tcPr>
            <w:tcW w:w="5142"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2"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920"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r>
            <w:r>
              <w:rPr/>
              <w:br/>
            </w:r>
            <w:r>
              <w:rPr>
                <w:b/>
              </w:rPr>
              <w:t>from February 10,</w:t>
            </w:r>
            <w:r>
              <w:rPr/>
              <w:br/>
            </w:r>
            <w:r>
              <w:rPr>
                <w:b/>
              </w:rPr>
              <w:t>2022 (inception) to</w:t>
            </w:r>
            <w:r>
              <w:rPr/>
              <w:br/>
            </w:r>
            <w:r>
              <w:rPr>
                <w:b/>
              </w:rPr>
              <w:t>December 31,</w:t>
              <w:br/>
              <w:t>2022</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2023</w:t>
            </w:r>
          </w:p>
        </w:tc>
        <w:tc>
          <w:tcPr>
            <w:tcW w:w="158" w:type="dxa"/>
            <w:tcBorders/>
            <w:vAlign w:val="bottom"/>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6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acquired in-process research and development</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682" w:type="dxa"/>
            <w:tcBorders/>
            <w:vAlign w:val="bottom"/>
          </w:tcPr>
          <w:p>
            <w:pPr>
              <w:pStyle w:val="TableContents"/>
              <w:bidi w:val="0"/>
              <w:spacing w:before="0" w:after="283"/>
              <w:jc w:val="right"/>
              <w:rPr/>
            </w:pPr>
            <w:r>
              <w:rPr/>
              <w:t>5,000</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3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(1)</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4,115</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27,999</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(2)</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1,252</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8,180</w:t>
            </w:r>
          </w:p>
        </w:tc>
        <w:tc>
          <w:tcPr>
            <w:tcW w:w="158" w:type="dxa"/>
            <w:tcBorders/>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10,367</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36,179</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(10,367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(36,179</w:t>
            </w:r>
          </w:p>
        </w:tc>
        <w:tc>
          <w:tcPr>
            <w:tcW w:w="158" w:type="dxa"/>
            <w:tcBorders/>
            <w:vAlign w:val="bottom"/>
          </w:tcPr>
          <w:p>
            <w:pPr>
              <w:pStyle w:val="TableContents"/>
              <w:bidi w:val="0"/>
              <w:spacing w:before="0" w:after="283"/>
              <w:jc w:val="left"/>
              <w:rPr/>
            </w:pPr>
            <w:r>
              <w:rPr/>
              <w:t>) </w:t>
            </w:r>
          </w:p>
        </w:tc>
      </w:tr>
      <w:tr>
        <w:trPr/>
        <w:tc>
          <w:tcPr>
            <w:tcW w:w="5142" w:type="dxa"/>
            <w:tcBorders/>
            <w:shd w:fill="CCEEFF" w:val="clear"/>
            <w:vAlign w:val="bottom"/>
          </w:tcPr>
          <w:p>
            <w:pPr>
              <w:pStyle w:val="TableContents"/>
              <w:bidi w:val="0"/>
              <w:spacing w:before="0" w:after="283"/>
              <w:jc w:val="left"/>
              <w:rPr>
                <w:sz w:val="4"/>
                <w:szCs w:val="4"/>
              </w:rPr>
            </w:pPr>
            <w:r>
              <w:rPr>
                <w:sz w:val="4"/>
                <w:szCs w:val="4"/>
              </w:rPr>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6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3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7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2,527</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(1,124</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1,403</w:t>
            </w:r>
          </w:p>
        </w:tc>
        <w:tc>
          <w:tcPr>
            <w:tcW w:w="158" w:type="dxa"/>
            <w:tcBorders/>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before income taxes</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(34,776</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7" w:type="dxa"/>
            <w:tcBorders/>
            <w:shd w:fill="CCEEFF" w:val="clear"/>
            <w:vAlign w:val="bottom"/>
          </w:tcPr>
          <w:p>
            <w:pPr>
              <w:pStyle w:val="TableContents"/>
              <w:bidi w:val="0"/>
              <w:spacing w:before="0" w:after="283"/>
              <w:jc w:val="right"/>
              <w:rPr/>
            </w:pPr>
            <w:r>
              <w:rPr/>
              <w:t>(34,786</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(2.70</w:t>
            </w:r>
          </w:p>
        </w:tc>
        <w:tc>
          <w:tcPr>
            <w:tcW w:w="158" w:type="dxa"/>
            <w:tcBorders/>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6,656,667</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12,896,713</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73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7" w:type="dxa"/>
            <w:tcBorders/>
            <w:shd w:fill="CCEEFF" w:val="clear"/>
            <w:vAlign w:val="bottom"/>
          </w:tcPr>
          <w:p>
            <w:pPr>
              <w:pStyle w:val="TableContents"/>
              <w:bidi w:val="0"/>
              <w:spacing w:before="0" w:after="283"/>
              <w:jc w:val="right"/>
              <w:rPr/>
            </w:pPr>
            <w:r>
              <w:rPr/>
              <w:t>(34,786</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unrealized gains on investments, net of tax</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w:t>
            </w:r>
          </w:p>
        </w:tc>
        <w:tc>
          <w:tcPr>
            <w:tcW w:w="46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7"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4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682" w:type="dxa"/>
            <w:tcBorders/>
            <w:vAlign w:val="bottom"/>
          </w:tcPr>
          <w:p>
            <w:pPr>
              <w:pStyle w:val="TableContents"/>
              <w:bidi w:val="0"/>
              <w:spacing w:before="0" w:after="283"/>
              <w:jc w:val="right"/>
              <w:rPr/>
            </w:pPr>
            <w:r>
              <w:rPr/>
              <w:t>(10,652</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37" w:type="dxa"/>
            <w:tcBorders/>
            <w:vAlign w:val="bottom"/>
          </w:tcPr>
          <w:p>
            <w:pPr>
              <w:pStyle w:val="TableContents"/>
              <w:bidi w:val="0"/>
              <w:spacing w:before="0" w:after="283"/>
              <w:jc w:val="right"/>
              <w:rPr/>
            </w:pPr>
            <w:r>
              <w:rPr/>
              <w:t>(34,782</w:t>
            </w:r>
          </w:p>
        </w:tc>
        <w:tc>
          <w:tcPr>
            <w:tcW w:w="158" w:type="dxa"/>
            <w:tcBorders/>
            <w:vAlign w:val="bottom"/>
          </w:tcPr>
          <w:p>
            <w:pPr>
              <w:pStyle w:val="TableContents"/>
              <w:bidi w:val="0"/>
              <w:spacing w:before="0" w:after="283"/>
              <w:jc w:val="left"/>
              <w:rPr/>
            </w:pPr>
            <w:r>
              <w:rPr/>
              <w:t>) </w:t>
            </w:r>
          </w:p>
        </w:tc>
      </w:tr>
      <w:tr>
        <w:trPr/>
        <w:tc>
          <w:tcPr>
            <w:tcW w:w="5142"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$1.6 million and $0.7 million for the period from February 10, 2022 (inception) to December 31, 2022 and for the year ended December 31, 2023, respectively (see Note 13).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$0.6 million and $0.9 million for the period from February 10, 2022 (inception) to December 31, 2022 and for the year ended December 31, 2023, respectively (see Note 13). </w:t>
            </w:r>
          </w:p>
        </w:tc>
      </w:tr>
    </w:tbl>
    <w:p>
      <w:pPr>
        <w:pStyle w:val="TextBody"/>
        <w:bidi w:val="0"/>
        <w:spacing w:before="300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fin803738_14"/>
      <w:bookmarkEnd w:id="29"/>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Convertible Preferred Stock and Stockholders Deficit </w:t>
      </w:r>
    </w:p>
    <w:p>
      <w:pPr>
        <w:pStyle w:val="TextBody"/>
        <w:bidi w:val="0"/>
        <w:spacing w:before="0" w:after="0"/>
        <w:jc w:val="center"/>
        <w:rPr>
          <w:rFonts w:ascii="Times New Roman" w:hAnsi="Times New Roman"/>
          <w:sz w:val="20"/>
        </w:rPr>
      </w:pPr>
      <w:r>
        <w:rPr>
          <w:rFonts w:ascii="Times New Roman" w:hAnsi="Times New Roman"/>
          <w:b/>
          <w:i/>
          <w:sz w:val="20"/>
        </w:rPr>
        <w:t>(In Thousands, Except Share Data)</w:t>
      </w:r>
      <w:r>
        <w:rPr>
          <w:rFonts w:ascii="Times New Roman" w:hAnsi="Times New Roman"/>
          <w:sz w:val="20"/>
        </w:rPr>
        <w:t xml:space="preserve"> </w:t>
      </w:r>
    </w:p>
    <w:p>
      <w:pPr>
        <w:pStyle w:val="TextBody"/>
        <w:bidi w:val="0"/>
        <w:spacing w:before="0" w:after="0"/>
        <w:jc w:val="left"/>
        <w:rPr/>
      </w:pPr>
      <w:r>
        <w:rPr/>
        <w:t> </w:t>
      </w:r>
    </w:p>
    <w:tbl>
      <w:tblPr>
        <w:tblW w:w="14990" w:type="dxa"/>
        <w:jc w:val="center"/>
        <w:tblInd w:w="0" w:type="dxa"/>
        <w:tblLayout w:type="fixed"/>
        <w:tblCellMar>
          <w:top w:w="0" w:type="dxa"/>
          <w:left w:w="0" w:type="dxa"/>
          <w:bottom w:w="0" w:type="dxa"/>
          <w:right w:w="0" w:type="dxa"/>
        </w:tblCellMar>
      </w:tblPr>
      <w:tblGrid>
        <w:gridCol w:w="1010"/>
        <w:gridCol w:w="120"/>
        <w:gridCol w:w="60"/>
        <w:gridCol w:w="1220"/>
        <w:gridCol w:w="60"/>
        <w:gridCol w:w="120"/>
        <w:gridCol w:w="140"/>
        <w:gridCol w:w="800"/>
        <w:gridCol w:w="60"/>
        <w:gridCol w:w="120"/>
        <w:gridCol w:w="60"/>
        <w:gridCol w:w="1100"/>
        <w:gridCol w:w="60"/>
        <w:gridCol w:w="120"/>
        <w:gridCol w:w="140"/>
        <w:gridCol w:w="800"/>
        <w:gridCol w:w="60"/>
        <w:gridCol w:w="120"/>
        <w:gridCol w:w="60"/>
        <w:gridCol w:w="1100"/>
        <w:gridCol w:w="155"/>
        <w:gridCol w:w="60"/>
        <w:gridCol w:w="140"/>
        <w:gridCol w:w="740"/>
        <w:gridCol w:w="60"/>
        <w:gridCol w:w="120"/>
        <w:gridCol w:w="141"/>
        <w:gridCol w:w="959"/>
        <w:gridCol w:w="155"/>
        <w:gridCol w:w="60"/>
        <w:gridCol w:w="140"/>
        <w:gridCol w:w="1470"/>
        <w:gridCol w:w="60"/>
        <w:gridCol w:w="120"/>
        <w:gridCol w:w="171"/>
        <w:gridCol w:w="1199"/>
        <w:gridCol w:w="155"/>
        <w:gridCol w:w="60"/>
        <w:gridCol w:w="140"/>
        <w:gridCol w:w="140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 Convertible</w:t>
              <w:br/>
              <w:t>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Convertible</w:t>
              <w:br/>
              <w:t>Preferred Stock</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22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February 10, 2022 (inception)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Settlement of convertible promissory notes and accrued interest to Series A convertible preferred stock, net of Series A preferred stock tranche right liability of $2,125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8,182,354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A convertible preferred stock, net of Series A preferred stock tranche right liability of $8,310 and issuance costs of $180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23,510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Issuance of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10,000,000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restricted common stock</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20,725,019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(10,652</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40,182,354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r>
              <w:rPr/>
              <w:t>29,567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30,725,019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  </w:t>
            </w: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    </w:t>
            </w:r>
            <w:r>
              <w:rPr/>
              <w:t>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(10,652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(10,062</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A convertible preferred stock for the settlement of the second and third tranche right liability, net of issuance costs of $80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59,920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11,465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11,465</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B convertible preferred stock, net of Series B preferred stock tranche right liability of $4,619 and issuance costs of $632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46,504,135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r>
              <w:rPr/>
              <w:t>69,860</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r>
              <w:rPr/>
              <w:t>2,887</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B convertible preferred stock for the settlement of the second tranche right liability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4,769,655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7,231</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1,283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1,283</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restricted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5,397,383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Repurchase of unvested restricted common stock</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(400,000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3,525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3,525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(34,786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(34,786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Change in unrealized gain on investments, net of tax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89,487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51,273,790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77,091</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35,722,402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19,764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0" w:type="dxa"/>
            <w:tcBorders/>
            <w:shd w:fill="CCEEFF" w:val="clear"/>
            <w:vAlign w:val="bottom"/>
          </w:tcPr>
          <w:p>
            <w:pPr>
              <w:pStyle w:val="TableContents"/>
              <w:bidi w:val="0"/>
              <w:spacing w:before="0" w:after="283"/>
              <w:jc w:val="right"/>
              <w:rPr/>
            </w:pPr>
            <w:r>
              <w:rPr/>
              <w:t>      </w:t>
            </w: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(45,438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(25,634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fin803738_15"/>
      <w:bookmarkEnd w:id="30"/>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sz w:val="20"/>
        </w:rPr>
      </w:pPr>
      <w:r>
        <w:rPr>
          <w:rFonts w:ascii="Times New Roman" w:hAnsi="Times New Roman"/>
          <w:b/>
          <w:i/>
          <w:sz w:val="20"/>
        </w:rPr>
        <w:t>(In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7"/>
        <w:gridCol w:w="206"/>
        <w:gridCol w:w="173"/>
        <w:gridCol w:w="1804"/>
        <w:gridCol w:w="155"/>
        <w:gridCol w:w="169"/>
        <w:gridCol w:w="152"/>
        <w:gridCol w:w="1529"/>
        <w:gridCol w:w="160"/>
      </w:tblGrid>
      <w:tr>
        <w:trPr/>
        <w:tc>
          <w:tcPr>
            <w:tcW w:w="585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5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r>
            <w:r>
              <w:rPr/>
              <w:br/>
            </w:r>
            <w:r>
              <w:rPr>
                <w:b/>
              </w:rPr>
              <w:t>from February 10,</w:t>
            </w:r>
            <w:r>
              <w:rPr/>
              <w:br/>
            </w:r>
            <w:r>
              <w:rPr>
                <w:b/>
              </w:rPr>
              <w:t>2022 (inception)</w:t>
            </w:r>
            <w:r>
              <w:rPr/>
              <w:br/>
            </w:r>
            <w:r>
              <w:rPr>
                <w:b/>
              </w:rPr>
              <w:t>to December 31,</w:t>
              <w:br/>
              <w:t>2022</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    2023    </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52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04" w:type="dxa"/>
            <w:tcBorders/>
            <w:vAlign w:val="bottom"/>
          </w:tcPr>
          <w:p>
            <w:pPr>
              <w:pStyle w:val="TableContents"/>
              <w:bidi w:val="0"/>
              <w:spacing w:before="0" w:after="283"/>
              <w:jc w:val="right"/>
              <w:rPr/>
            </w:pPr>
            <w:r>
              <w:rPr/>
              <w:t>(10,652</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529" w:type="dxa"/>
            <w:tcBorders/>
            <w:vAlign w:val="bottom"/>
          </w:tcPr>
          <w:p>
            <w:pPr>
              <w:pStyle w:val="TableContents"/>
              <w:bidi w:val="0"/>
              <w:spacing w:before="0" w:after="283"/>
              <w:jc w:val="right"/>
              <w:rPr/>
            </w:pPr>
            <w:r>
              <w:rPr/>
              <w:t>(34,786</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52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acquired in-process research &amp; development</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5,000</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(income) expense</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285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(6</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112</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(accretion) and amortization of investments in marketable securities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(75</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1,124</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206</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3,525</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and B preferred stock issuance costs allocated to tranche right liabilities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67</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8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52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(3,200</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(240</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1,445</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856</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5,380</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(144</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(3,242</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(27,181</w:t>
            </w:r>
          </w:p>
        </w:tc>
        <w:tc>
          <w:tcPr>
            <w:tcW w:w="160" w:type="dxa"/>
            <w:tcBorders/>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52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acquired in-process research &amp; development</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(5,000</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(77,224</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(1,636</w:t>
            </w:r>
          </w:p>
        </w:tc>
        <w:tc>
          <w:tcPr>
            <w:tcW w:w="160" w:type="dxa"/>
            <w:tcBorders/>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(5,284</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(78,860</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8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52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A convertible preferred stock, including tranche rights, net of issuance costs paid</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31,756</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59,920</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B convertible preferred stock, including tranche rights, net of issuance costs paid</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85,300</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promissory notes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8,000</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and restricted common stock</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54</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 unvested restricted common stock</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(4</w:t>
            </w:r>
          </w:p>
        </w:tc>
        <w:tc>
          <w:tcPr>
            <w:tcW w:w="160"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(134</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39,685</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145,136</w:t>
            </w:r>
          </w:p>
        </w:tc>
        <w:tc>
          <w:tcPr>
            <w:tcW w:w="160" w:type="dxa"/>
            <w:tcBorders/>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in cash, cash equivalents, and restricted cash</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31,159</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39,095</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31,159</w:t>
            </w:r>
          </w:p>
        </w:tc>
        <w:tc>
          <w:tcPr>
            <w:tcW w:w="160" w:type="dxa"/>
            <w:tcBorders/>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5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20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04" w:type="dxa"/>
            <w:tcBorders/>
            <w:shd w:fill="CCEEFF" w:val="clear"/>
            <w:vAlign w:val="bottom"/>
          </w:tcPr>
          <w:p>
            <w:pPr>
              <w:pStyle w:val="TableContents"/>
              <w:bidi w:val="0"/>
              <w:spacing w:before="0" w:after="283"/>
              <w:jc w:val="right"/>
              <w:rPr/>
            </w:pPr>
            <w:r>
              <w:rPr/>
              <w:t>   </w:t>
            </w:r>
            <w:r>
              <w:rPr/>
              <w:t>31,159</w:t>
            </w:r>
          </w:p>
        </w:tc>
        <w:tc>
          <w:tcPr>
            <w:tcW w:w="1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529" w:type="dxa"/>
            <w:tcBorders/>
            <w:shd w:fill="CCEEFF" w:val="clear"/>
            <w:vAlign w:val="bottom"/>
          </w:tcPr>
          <w:p>
            <w:pPr>
              <w:pStyle w:val="TableContents"/>
              <w:bidi w:val="0"/>
              <w:spacing w:before="0" w:after="283"/>
              <w:jc w:val="right"/>
              <w:rPr/>
            </w:pPr>
            <w:r>
              <w:rPr/>
              <w:t>   </w:t>
            </w:r>
            <w:r>
              <w:rPr/>
              <w:t>70,254</w:t>
            </w:r>
          </w:p>
        </w:tc>
        <w:tc>
          <w:tcPr>
            <w:tcW w:w="160" w:type="dxa"/>
            <w:tcBorders/>
            <w:shd w:fill="CCEEFF" w:val="clear"/>
            <w:vAlign w:val="bottom"/>
          </w:tcPr>
          <w:p>
            <w:pPr>
              <w:pStyle w:val="TableContents"/>
              <w:bidi w:val="0"/>
              <w:spacing w:before="0" w:after="283"/>
              <w:jc w:val="left"/>
              <w:rPr/>
            </w:pPr>
            <w:r>
              <w:rPr/>
              <w:t> </w:t>
            </w:r>
          </w:p>
        </w:tc>
      </w:tr>
      <w:tr>
        <w:trPr/>
        <w:tc>
          <w:tcPr>
            <w:tcW w:w="5857"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52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sz w:val="20"/>
        </w:rPr>
      </w:pPr>
      <w:r>
        <w:rPr>
          <w:rFonts w:ascii="Times New Roman" w:hAnsi="Times New Roman"/>
          <w:b/>
          <w:i/>
          <w:sz w:val="20"/>
        </w:rPr>
        <w:t>(In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6"/>
        <w:gridCol w:w="292"/>
        <w:gridCol w:w="174"/>
        <w:gridCol w:w="1748"/>
        <w:gridCol w:w="60"/>
        <w:gridCol w:w="292"/>
        <w:gridCol w:w="155"/>
        <w:gridCol w:w="1484"/>
        <w:gridCol w:w="64"/>
      </w:tblGrid>
      <w:tr>
        <w:trPr/>
        <w:tc>
          <w:tcPr>
            <w:tcW w:w="5936"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3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r>
            <w:r>
              <w:rPr/>
              <w:br/>
            </w:r>
            <w:r>
              <w:rPr>
                <w:b/>
              </w:rPr>
              <w:t>from February 10,</w:t>
            </w:r>
            <w:r>
              <w:rPr/>
              <w:br/>
            </w:r>
            <w:r>
              <w:rPr>
                <w:b/>
              </w:rPr>
              <w:t>2022 (inception)</w:t>
            </w:r>
            <w:r>
              <w:rPr/>
              <w:br/>
            </w:r>
            <w:r>
              <w:rPr>
                <w:b/>
              </w:rPr>
              <w:t>to December 31,</w:t>
              <w:br/>
              <w:t>2022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    2023    </w:t>
            </w:r>
          </w:p>
        </w:tc>
        <w:tc>
          <w:tcPr>
            <w:tcW w:w="64" w:type="dxa"/>
            <w:tcBorders/>
            <w:vAlign w:val="bottom"/>
          </w:tcPr>
          <w:p>
            <w:pPr>
              <w:pStyle w:val="TableContents"/>
              <w:bidi w:val="0"/>
              <w:spacing w:before="0" w:after="283"/>
              <w:jc w:val="left"/>
              <w:rPr/>
            </w:pPr>
            <w:r>
              <w:rPr/>
              <w:t> </w:t>
            </w:r>
          </w:p>
        </w:tc>
      </w:tr>
      <w:tr>
        <w:trPr/>
        <w:tc>
          <w:tcPr>
            <w:tcW w:w="59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7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36"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operating lease liabilities</w:t>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2,290</w:t>
            </w:r>
          </w:p>
        </w:tc>
        <w:tc>
          <w:tcPr>
            <w:tcW w:w="64" w:type="dxa"/>
            <w:tcBorders/>
            <w:vAlign w:val="bottom"/>
          </w:tcPr>
          <w:p>
            <w:pPr>
              <w:pStyle w:val="TableContents"/>
              <w:bidi w:val="0"/>
              <w:spacing w:before="0" w:after="283"/>
              <w:jc w:val="left"/>
              <w:rPr/>
            </w:pPr>
            <w:r>
              <w:rPr/>
              <w:t> </w:t>
            </w:r>
          </w:p>
        </w:tc>
      </w:tr>
      <w:tr>
        <w:trPr/>
        <w:tc>
          <w:tcPr>
            <w:tcW w:w="59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for noncash investing and financing activities:</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7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36"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Series A preferred stock tranche right liability</w:t>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11,465</w:t>
            </w:r>
          </w:p>
        </w:tc>
        <w:tc>
          <w:tcPr>
            <w:tcW w:w="64" w:type="dxa"/>
            <w:tcBorders/>
            <w:vAlign w:val="bottom"/>
          </w:tcPr>
          <w:p>
            <w:pPr>
              <w:pStyle w:val="TableContents"/>
              <w:bidi w:val="0"/>
              <w:spacing w:before="0" w:after="283"/>
              <w:jc w:val="left"/>
              <w:rPr/>
            </w:pPr>
            <w:r>
              <w:rPr/>
              <w:t> </w:t>
            </w:r>
          </w:p>
        </w:tc>
      </w:tr>
      <w:tr>
        <w:trPr/>
        <w:tc>
          <w:tcPr>
            <w:tcW w:w="59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Settlement of Series B preferred stock tranche right liability</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513</w:t>
            </w:r>
          </w:p>
        </w:tc>
        <w:tc>
          <w:tcPr>
            <w:tcW w:w="64" w:type="dxa"/>
            <w:tcBorders/>
            <w:shd w:fill="CCEEFF" w:val="clear"/>
            <w:vAlign w:val="bottom"/>
          </w:tcPr>
          <w:p>
            <w:pPr>
              <w:pStyle w:val="TableContents"/>
              <w:bidi w:val="0"/>
              <w:spacing w:before="0" w:after="283"/>
              <w:jc w:val="left"/>
              <w:rPr/>
            </w:pPr>
            <w:r>
              <w:rPr/>
              <w:t> </w:t>
            </w:r>
          </w:p>
        </w:tc>
      </w:tr>
      <w:tr>
        <w:trPr/>
        <w:tc>
          <w:tcPr>
            <w:tcW w:w="5936"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convertible promissory notes and accrued interest to Series A convertible preferred stock</w:t>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8,182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 at period end</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177</w:t>
            </w:r>
          </w:p>
        </w:tc>
        <w:tc>
          <w:tcPr>
            <w:tcW w:w="64" w:type="dxa"/>
            <w:tcBorders/>
            <w:shd w:fill="CCEEFF" w:val="clear"/>
            <w:vAlign w:val="bottom"/>
          </w:tcPr>
          <w:p>
            <w:pPr>
              <w:pStyle w:val="TableContents"/>
              <w:bidi w:val="0"/>
              <w:spacing w:before="0" w:after="283"/>
              <w:jc w:val="left"/>
              <w:rPr/>
            </w:pPr>
            <w:r>
              <w:rPr/>
              <w:t> </w:t>
            </w:r>
          </w:p>
        </w:tc>
      </w:tr>
      <w:tr>
        <w:trPr/>
        <w:tc>
          <w:tcPr>
            <w:tcW w:w="5936"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included in accounts payable and accrued expenses at period end</w:t>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748"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484"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5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short-term investments</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4</w:t>
            </w:r>
          </w:p>
        </w:tc>
        <w:tc>
          <w:tcPr>
            <w:tcW w:w="64" w:type="dxa"/>
            <w:tcBorders/>
            <w:shd w:fill="CCEEFF" w:val="clear"/>
            <w:vAlign w:val="bottom"/>
          </w:tcPr>
          <w:p>
            <w:pPr>
              <w:pStyle w:val="TableContents"/>
              <w:bidi w:val="0"/>
              <w:spacing w:before="0" w:after="283"/>
              <w:jc w:val="left"/>
              <w:rPr/>
            </w:pPr>
            <w:r>
              <w:rPr/>
              <w:t> </w:t>
            </w:r>
          </w:p>
        </w:tc>
      </w:tr>
      <w:tr>
        <w:trPr/>
        <w:tc>
          <w:tcPr>
            <w:tcW w:w="59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w:t>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7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8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31,159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70,169</w:t>
            </w:r>
          </w:p>
        </w:tc>
        <w:tc>
          <w:tcPr>
            <w:tcW w:w="64" w:type="dxa"/>
            <w:tcBorders/>
            <w:shd w:fill="CCEEFF" w:val="clear"/>
            <w:vAlign w:val="bottom"/>
          </w:tcPr>
          <w:p>
            <w:pPr>
              <w:pStyle w:val="TableContents"/>
              <w:bidi w:val="0"/>
              <w:spacing w:before="0" w:after="283"/>
              <w:jc w:val="left"/>
              <w:rPr/>
            </w:pPr>
            <w:r>
              <w:rPr/>
              <w:t> </w:t>
            </w:r>
          </w:p>
        </w:tc>
      </w:tr>
      <w:tr>
        <w:trPr/>
        <w:tc>
          <w:tcPr>
            <w:tcW w:w="593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593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7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 shown in the statement of cash flows</w:t>
            </w:r>
          </w:p>
        </w:tc>
        <w:tc>
          <w:tcPr>
            <w:tcW w:w="2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748" w:type="dxa"/>
            <w:tcBorders/>
            <w:shd w:fill="CCEEFF" w:val="clear"/>
            <w:vAlign w:val="bottom"/>
          </w:tcPr>
          <w:p>
            <w:pPr>
              <w:pStyle w:val="TableContents"/>
              <w:bidi w:val="0"/>
              <w:spacing w:before="0" w:after="283"/>
              <w:jc w:val="right"/>
              <w:rPr/>
            </w:pPr>
            <w:r>
              <w:rPr/>
              <w:t>   </w:t>
            </w:r>
            <w:r>
              <w:rPr/>
              <w:t>31,159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484" w:type="dxa"/>
            <w:tcBorders/>
            <w:shd w:fill="CCEEFF" w:val="clear"/>
            <w:vAlign w:val="bottom"/>
          </w:tcPr>
          <w:p>
            <w:pPr>
              <w:pStyle w:val="TableContents"/>
              <w:bidi w:val="0"/>
              <w:spacing w:before="0" w:after="283"/>
              <w:jc w:val="right"/>
              <w:rPr/>
            </w:pPr>
            <w:r>
              <w:rPr/>
              <w:t>   </w:t>
            </w:r>
            <w:r>
              <w:rPr/>
              <w:t>70,254</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500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fin803738_16"/>
      <w:bookmarkEnd w:id="31"/>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Rapport Therapeutics, Inc., together with its consolidated subsidiary (the Company) is a clinical-stage biopharmaceutical company focused on discovery and development of transformational small molecule medicines for patients suffering from central nervous system disorders. The Company was incorporated in the state of Delaware in February 2022 as Precision Neuroscience NewCo, Inc. In October 2022, the Company changed its name to Rapport Therapeutics, Inc. The Company is located in Boston, Massachusetts and 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common to early stage companies in the biotechnology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have been prepared on the basis of continuity of operations, realization of assets and the satisfaction of liabilities and commitments in the ordinary course of business. Through December 31, 2023, the Company has funded its operations primarily with proceeds from the sale of convertible notes and convertible preferred stock. The Company has incurred recurring losses since its inception, including net losses of $10.7 million for the period from February 10, 2022 (inception) to December 31, 2022 and $34.8 million for the year ended December 31, 2023. In addition, as of December 31, 2023, the Company had an accumulated deficit of $45.4 million. The Company expects to continue to generate operating losses for the foreseeable future. As of the issuance date of the consolidated financial statements for the year ended December 31, 2023, the Company expects that its cash and cash equivalents and short-term investments will be sufficient to fund its operating expenses and capital expenditure requirements through at least 12 months from the issuance of the consolidated financial statements. The future viability of the Company beyond that point is dependent on its ability to raise additional capital to finance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seeking to complete an initial public offering (IPO) of its common stock. Upon the completion of a qualified public offering on specified terms, the Companys outstanding convertible preferred stock will convert into shares of common stock (see Note 7). In the event the Company does not complete an IPO, the Company will seek additional funding through private equity financings, debt financings or other capital sources, including collaborations with other companies or other strategic transactions. The Company may not be able to obtain funding on acceptable terms, or at all. The terms of any financing may adversely affect the holdings or the rights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unable to obtain funding it could be forced to delay, reduce or eliminate some or all of its research and development programs,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reflect the operations of the Company. Intercompany balances and transactions have been eliminated in consolidation. 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Companys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periods. Significant estimates and assumptions reflected within these consolidated financial statements include, but are not limited to, research and development expenses and accruals, the valuation of the Companys common stock and stock-based awards and the valuation of preferred stock tranche right liability. The Company bases its estimates on known trends and other market-specific or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consist primarily of cash and cash equivalents and short-term investments. The Company maintains its cash and cash equivalents at high-quality and accredited financial institutions in amounts that could exceed federally insured limits. Cash equivalents are invested in money market funds. However, the Company does not believe that it is subject to unusual credit risk beyond the normal credit risk associated with commercial banking relationships. The Companys short-term investments consist of U.S. Treasury bills and government securities and as a result, the Company believes represent minimal credit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three months or less at the time of initial purchase to be cash equivalents. As of December 31, 2022 and 2023 the amount of cash equivalents included in cash and cash equivalents totaled zero and $47.3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consisted of a letter of credit totaling zero and $85 thousand as of December 31, 2022 and 2023, respectively, that is required to be maintained in connection with the Companys lease arrangement. The letter of credit is in the name of the Companys landlord and is required to fulfill lease requirements in the event the Company should default on its lease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short-term investments consist of investments in debt securities, including U.S. Treasury securities, with remaining maturities beyond three months at the date of purchase that are available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converted into cash to fund its current operations. The Company had no short-term investments as of December 31, 2022. As of December 31, 2023, all of the Companys debt securities were classified as available-for-sale and were carried at fair market value (see Note 3). The unrealized gains on the Companys available-for-sale debt securities are recorded in other comprehensive income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Short-term debt securities in an unrealized loss position are evaluated for impairment at least quarterly. For available-for-sale debt securities in an unrealized loss position, the Company first assesses whether or not it intends to sell, or it is more likely than not that it will be required to sell the security before recovery of its amortized cost basis. If either of the criteria regarding intent or requirement to sell is met, the investment securitys amortized cost basis is written down to fair value through net income. </w:t>
      </w:r>
    </w:p>
    <w:p>
      <w:pPr>
        <w:pStyle w:val="TextBody"/>
        <w:bidi w:val="0"/>
        <w:spacing w:before="240" w:after="0"/>
        <w:jc w:val="left"/>
        <w:rPr>
          <w:rFonts w:ascii="Times New Roman" w:hAnsi="Times New Roman"/>
          <w:sz w:val="20"/>
        </w:rPr>
      </w:pPr>
      <w:r>
        <w:rPr>
          <w:rFonts w:ascii="Times New Roman" w:hAnsi="Times New Roman"/>
          <w:sz w:val="20"/>
        </w:rPr>
        <w:t xml:space="preserve">For available-for-sale debt securities that do not meet the aforementioned criteria, the Company evaluates whether the decline in fair value has resulted from credit losses or other factors. In conducting this assessment for debt securities in an unrealized loss position, management evaluates the extent to which fair value is less than amortized cost, any changes to the rating of the security by a rating agency, and adverse conditions specifically related to the security, among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this assessment indicates that a credit loss exists, the present value of cash flows expected to be collected from the investment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 is recognized in other comprehensive income. As of December 31, 2022 and 2023, there was no allowance for credit losses recorded on the Companys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interest income consists of interest earned from cash, cash equivalents, and short-term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the deferred offering costs would be expensed immediately as a charge to operating expenses in the consolidated statements of operations and comprehensive loss. As of December 31, 2022 and 2023, there were zero and $0.3 million, respectively, of deferred offering costs capitalized and included in other assets on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classified and disclosed in one of the following three levels of the fair value hierarchy, of which the first two are considered observable and the last is considered unobservable: </w:t>
      </w:r>
    </w:p>
    <w:p>
      <w:pPr>
        <w:pStyle w:val="TextBody"/>
        <w:bidi w:val="0"/>
        <w:spacing w:before="240" w:after="0"/>
        <w:jc w:val="left"/>
        <w:rPr>
          <w:rFonts w:ascii="Times New Roman" w:hAnsi="Times New Roman"/>
          <w:sz w:val="20"/>
        </w:rPr>
      </w:pPr>
      <w:r>
        <w:rPr>
          <w:rFonts w:ascii="Times New Roman" w:hAnsi="Times New Roman"/>
          <w:sz w:val="20"/>
        </w:rPr>
        <w:t xml:space="preserve">Level 1Quoted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240" w:after="0"/>
        <w:jc w:val="left"/>
        <w:rPr>
          <w:rFonts w:ascii="Times New Roman" w:hAnsi="Times New Roman"/>
          <w:sz w:val="20"/>
        </w:rPr>
      </w:pPr>
      <w:r>
        <w:rPr>
          <w:rFonts w:ascii="Times New Roman" w:hAnsi="Times New Roman"/>
          <w:sz w:val="20"/>
        </w:rPr>
        <w:t xml:space="preserve">Level 3Unobservable inputs that are supported by little or no market activity that are significant to determining the fair value of the assets or liabilities, including pricing models, discounted cash flow methodologies and similar techniques.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cash equivalents, short-term investments, and preferred stock tranche right liabilities are carried at fair value, determined according to the fair value hierarchy described above (see Note 3). The carrying values of the Companys accounts payable and accrued expenses approximate their fair values due to the short-term nature of these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and amortization. Depreciation and amortization expense is recognized using the straight-line method over the estimated useful life of each asset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8"/>
        <w:gridCol w:w="121"/>
        <w:gridCol w:w="4686"/>
      </w:tblGrid>
      <w:tr>
        <w:trPr/>
        <w:tc>
          <w:tcPr>
            <w:tcW w:w="539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r>
      <w:tr>
        <w:trPr/>
        <w:tc>
          <w:tcPr>
            <w:tcW w:w="53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Classification</w:t>
            </w:r>
          </w:p>
        </w:tc>
        <w:tc>
          <w:tcPr>
            <w:tcW w:w="121" w:type="dxa"/>
            <w:tcBorders/>
            <w:vAlign w:val="bottom"/>
          </w:tcPr>
          <w:p>
            <w:pPr>
              <w:pStyle w:val="TableContents"/>
              <w:bidi w:val="0"/>
              <w:spacing w:before="0" w:after="283"/>
              <w:jc w:val="left"/>
              <w:rPr/>
            </w:pPr>
            <w:r>
              <w:rPr/>
              <w:t>  </w:t>
            </w:r>
          </w:p>
        </w:tc>
        <w:tc>
          <w:tcPr>
            <w:tcW w:w="4686" w:type="dxa"/>
            <w:tcBorders>
              <w:bottom w:val="single" w:sz="8" w:space="0" w:color="000000"/>
            </w:tcBorders>
            <w:tcMar>
              <w:bottom w:w="28" w:type="dxa"/>
            </w:tcMar>
            <w:vAlign w:val="bottom"/>
          </w:tcPr>
          <w:p>
            <w:pPr>
              <w:pStyle w:val="TableContents"/>
              <w:bidi w:val="0"/>
              <w:spacing w:before="0" w:after="283"/>
              <w:jc w:val="center"/>
              <w:rPr>
                <w:b/>
              </w:rPr>
            </w:pPr>
            <w:r>
              <w:rPr>
                <w:b/>
              </w:rPr>
              <w:t>Estimated Useful Life</w:t>
            </w:r>
          </w:p>
        </w:tc>
      </w:tr>
      <w:tr>
        <w:trPr/>
        <w:tc>
          <w:tcPr>
            <w:tcW w:w="5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1" w:type="dxa"/>
            <w:tcBorders/>
            <w:shd w:fill="CCEEFF" w:val="clear"/>
            <w:vAlign w:val="bottom"/>
          </w:tcPr>
          <w:p>
            <w:pPr>
              <w:pStyle w:val="TableContents"/>
              <w:bidi w:val="0"/>
              <w:spacing w:before="0" w:after="283"/>
              <w:jc w:val="left"/>
              <w:rPr/>
            </w:pPr>
            <w:r>
              <w:rPr/>
              <w:t>  </w:t>
            </w:r>
          </w:p>
        </w:tc>
        <w:tc>
          <w:tcPr>
            <w:tcW w:w="4686" w:type="dxa"/>
            <w:tcBorders/>
            <w:shd w:fill="CCEEFF" w:val="clear"/>
            <w:vAlign w:val="bottom"/>
          </w:tcPr>
          <w:p>
            <w:pPr>
              <w:pStyle w:val="TableContents"/>
              <w:bidi w:val="0"/>
              <w:spacing w:before="0" w:after="283"/>
              <w:jc w:val="center"/>
              <w:rPr/>
            </w:pPr>
            <w:r>
              <w:rPr/>
              <w:t>3 years</w:t>
            </w:r>
          </w:p>
        </w:tc>
      </w:tr>
      <w:tr>
        <w:trPr/>
        <w:tc>
          <w:tcPr>
            <w:tcW w:w="5398" w:type="dxa"/>
            <w:tcBorders/>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121" w:type="dxa"/>
            <w:tcBorders/>
            <w:vAlign w:val="bottom"/>
          </w:tcPr>
          <w:p>
            <w:pPr>
              <w:pStyle w:val="TableContents"/>
              <w:bidi w:val="0"/>
              <w:spacing w:before="0" w:after="283"/>
              <w:jc w:val="left"/>
              <w:rPr/>
            </w:pPr>
            <w:r>
              <w:rPr/>
              <w:t>  </w:t>
            </w:r>
          </w:p>
        </w:tc>
        <w:tc>
          <w:tcPr>
            <w:tcW w:w="4686" w:type="dxa"/>
            <w:tcBorders/>
            <w:vAlign w:val="bottom"/>
          </w:tcPr>
          <w:p>
            <w:pPr>
              <w:pStyle w:val="TableContents"/>
              <w:bidi w:val="0"/>
              <w:spacing w:before="0" w:after="283"/>
              <w:jc w:val="center"/>
              <w:rPr/>
            </w:pPr>
            <w:r>
              <w:rPr/>
              <w:t>5 years</w:t>
            </w:r>
          </w:p>
        </w:tc>
      </w:tr>
      <w:tr>
        <w:trPr/>
        <w:tc>
          <w:tcPr>
            <w:tcW w:w="5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1" w:type="dxa"/>
            <w:tcBorders/>
            <w:shd w:fill="CCEEFF" w:val="clear"/>
            <w:vAlign w:val="bottom"/>
          </w:tcPr>
          <w:p>
            <w:pPr>
              <w:pStyle w:val="TableContents"/>
              <w:bidi w:val="0"/>
              <w:spacing w:before="0" w:after="283"/>
              <w:jc w:val="left"/>
              <w:rPr/>
            </w:pPr>
            <w:r>
              <w:rPr/>
              <w:t>  </w:t>
            </w:r>
          </w:p>
        </w:tc>
        <w:tc>
          <w:tcPr>
            <w:tcW w:w="4686" w:type="dxa"/>
            <w:tcBorders/>
            <w:shd w:fill="CCEEFF" w:val="clear"/>
            <w:vAlign w:val="bottom"/>
          </w:tcPr>
          <w:p>
            <w:pPr>
              <w:pStyle w:val="TableContents"/>
              <w:bidi w:val="0"/>
              <w:spacing w:before="0" w:after="283"/>
              <w:jc w:val="center"/>
              <w:rPr/>
            </w:pPr>
            <w:r>
              <w:rPr/>
              <w:t>Shorter of remaining lease term or useful life</w:t>
            </w:r>
          </w:p>
        </w:tc>
      </w:tr>
    </w:tbl>
    <w:p>
      <w:pPr>
        <w:pStyle w:val="TextBody"/>
        <w:bidi w:val="0"/>
        <w:spacing w:before="240" w:after="0"/>
        <w:jc w:val="left"/>
        <w:rPr>
          <w:rFonts w:ascii="Times New Roman" w:hAnsi="Times New Roman"/>
          <w:sz w:val="20"/>
        </w:rPr>
      </w:pPr>
      <w:r>
        <w:rPr>
          <w:rFonts w:ascii="Times New Roman" w:hAnsi="Times New Roman"/>
          <w:sz w:val="20"/>
        </w:rPr>
        <w:t xml:space="preserve">Costs for capital assets not yet placed into service are capitalized and are depreciated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primarily of property and equipment, and operating lease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If such asset group is considered to not be recoverable, the impairment loss to be recognized is measured based on the excess of the carrying value of the impaired asset group over its fair value.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February 10, 2022 (inception) to December 31, 2022 and for the year ended December 31, 2023, the Company did not recognize any impairment losses on long-lived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segment for the purposes of assessing performance and making operating decisions. The Companys chief executive officer, who is the chief operating decision maker, reviews the Companys financial information on a consolidated basis for purposes of evaluating financial performance and allocating resources. All of the Companys long-lived assets are located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Classification and Accretion of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Series A convertible preferred stock and Series B convertible preferred stock (together, the Convertible Preferred Stock) are classified outside of stockholders deficit on the Companys consolidated balance sheet because the holders of such stock have certain liquidation preference in the event of a deemed liquidation that, in certain situations, is not solely within the control of the Company and would result in the redemption of the then-outstanding Convertible Preferred Stock.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the Convertible Preferred Stock at fair value upon issuance, net of tranche right liabilities (see Note 7) and associated issuance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Tranche Right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agreements for the Companys Convertible Preferred Stock (see Note 7) provided investors the obligation to participate in subsequent offerings of Convertible Preferred Stock and the Company an obligation to issue additional Convertible Preferred Stock, at the initial offering price, when certain conditions are met. </w:t>
      </w:r>
    </w:p>
    <w:p>
      <w:pPr>
        <w:pStyle w:val="TextBody"/>
        <w:bidi w:val="0"/>
        <w:spacing w:before="240" w:after="0"/>
        <w:jc w:val="left"/>
        <w:rPr>
          <w:rFonts w:ascii="Times New Roman" w:hAnsi="Times New Roman"/>
          <w:sz w:val="20"/>
        </w:rPr>
      </w:pPr>
      <w:r>
        <w:rPr>
          <w:rFonts w:ascii="Times New Roman" w:hAnsi="Times New Roman"/>
          <w:sz w:val="20"/>
        </w:rPr>
        <w:t>The Company classified the preferred stock tranche right as a liability on its consolidated balance sheet as each preferred stock tranche right is a freestanding financial instrument that may require the Company to transfer assets to settle its obligation (upon events that are outside of its control). The preferred stock tranche right liability was initially recorded at fair value upon the date of issuance and is subsequently remeasured to fair value at each reporting date. Changes in the fair value of the preferred stock tranche right liability are recognized as a component of other income (expense) in the consolidated statement of operations and comprehensive loss. Any issuance costs allocated to the preferred stock tranche right liability were immediately expensed.</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Costs for research and development activities are expensed as incurred. Research and development expenses consist of costs incurred in connection with performing research and development activities, including amounts incurred under agreements with external vendors and consultants engaged to perform preclinical and clinical studies and to manufacture research and development materials for use in such studies, salaries and related personnel costs, stock-based compensation, consultant fees, and third-party license fees.</w:t>
      </w:r>
    </w:p>
    <w:p>
      <w:pPr>
        <w:pStyle w:val="TextBody"/>
        <w:bidi w:val="0"/>
        <w:spacing w:before="240" w:after="0"/>
        <w:jc w:val="left"/>
        <w:rPr>
          <w:rFonts w:ascii="Times New Roman" w:hAnsi="Times New Roman"/>
          <w:sz w:val="20"/>
        </w:rPr>
      </w:pPr>
      <w:r>
        <w:rPr>
          <w:rFonts w:ascii="Times New Roman" w:hAnsi="Times New Roman"/>
          <w:sz w:val="20"/>
        </w:rPr>
        <w:t xml:space="preserve">Upfront payments under license agreements are expensed upon receipt of the license, and annual maintenance fees under license agreements are expensed over the maintenance period. Milestone payments under license agreements are accrued, with a corresponding expense being recognized, in the period in which the milestone is determined to be probable of achievement and the related amount is reasonably estimable. Contingent milestone payments, if any, are expensed when the milestone results are probable and estimable, which is generally upon the achievement of the milestone.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recognizes asset acquisitions or licenses of intellectual property that are not deemed to be business combinations based on the cost to acquire or license the asset or group of assets, which includes transaction costs. Goodwill is not recognized in asset acquisitions. In an asset acquisition or license of intellectual property, the cost allocated to acquire in-process research and development (IPR&amp;D) with no alternative future use is recognized as research and development expense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Acquired IPR&amp;D for the period from February 10, 2022 (inception) to December 31, 2022 consisted of $5.0 million of upfront and option payments to a Related Party in conjunction with the technology license arrangement (see Note 12). There was no acquired IPR&amp;D for the year ended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All patent-related costs incurred in connection with filing and prosecuting patent applications are expensed as incurred due to the uncertainty about the recovery of the expenditure. Amounts incurred are classified as general and administrative expenses in the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As of December 31, 2022 and 2023, no liabilities were recorded for loss contingencies (see Note 14).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all stock options granted to employees, directors and non-employees based on the fair value of the awards on the date of grant using the Black-Scholes option-pricing model. For awards to non-employees, the expected term of the option is equal to the contractual term of the non-employees service agreement. The Company measures restricted stock awards using the difference, if any, between the purchase price per share of the award and the fair value of the Companys common stock at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grants stock options and restricted stock awards that are subject to either service or performance-based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non-employees with service-based vesting conditions is recognized in the same manner as if the Company had paid cash in exchange for the goods or services, which is generally over the vesting period of the award. Forfeitures are accounted for as they occur. Compensation expense for awards to employees and non-employees with service and performance-based vesting conditions is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stock-based compensation expense in its consolidated statements of operations and comprehensive loss in the same manner in which the award recipients payroll costs are classified or in which the award recipients service payments are classified.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as well as other changes in stockholders deficit that result from transactions and economic events other than those with stockholders. For the period from February 10, 2022 (inception) to December 31, 2022 there was no difference between net loss and comprehensive loss. For the year ended December 31, 2023, comprehensive loss includes unrealized gains on short-term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There is no allocation required under the two-class method during periods of loss since the participating securities do not have a contractual obligation to share in the losses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Basic net income (loss) per share attributable to common stockholders is computed by dividing the net income (loss) attributable to common stockholders by the weighted-average number of common shares outstanding for the period, excluding potentially dilutive common shares and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purposes of this calculation, the Companys outstanding stock options, unvested restricted common stock, and convertible preferred stock are considered potential dilutive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reported net loss and net loss attributable to common stockholders for the period from February 10, 2022 (inception) to December 31, 2022 and for the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inception. Operating lease right-of-use (ROU) assets and liabilities are recognized at the commencement date based on the present value of lease payments over the lease term. As the Companys leases do not provide an implicit rate, it uses its incremental borrowing rate based on the information available at the commencement date in determining the present value of lease payments. The operating lease ROU asset also includes any lease payments made and is reduced by lease incentives. The Companys lease terms may include options to extend or terminate the lease when it is reasonably certain that the Company will exercise that option. Lease expense for lease payments is recognized on a straight-line basis over the lease term in general and administrative expenses.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in the balance sheet, but payments are recognized as expense on a straight-line basis over the lease term. The Company has elected not to recognize leases with terms of 12 months or less. 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percent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2022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2016, the FASB issued Accounting Standards Update (ASU) 2016-02, Leases (Topic 842), which requires a lessee to recognize assets and liabilities on the balance sheet for operating leases and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many key definitions, including the definition of a lease. The new standard includes a short-term lease exception for leases with a term of 12 months or less, as part of which a lessee can make an accounting policy election not to recognize lease assets and lease liabilities. Lessees will continue to differentiate between finance leases (previously referred to as capital leases) and operating leases using classification criteria that are substantially similar to the previous guidance. Finally, in June 2020, the FASB issued ASU 2020-05, Revenue from Contracts with Customers (Topic 606) and Leases (Topic 842): Effective Dates for Certain Entities, whereby the effective date of this standard was deferred to annual reporting periods beginning after December 15, 2021 and interim periods within annual reporting periods beginning after December 15, 2022, and early adoption was still permitted. The Company adopted ASC 842, as amended on February 10, 2022 (inception). Adoption of the standard had no impact on the Companys consolidated statement of operations and comprehensive loss or statement of cash flows. </w:t>
      </w:r>
    </w:p>
    <w:p>
      <w:pPr>
        <w:pStyle w:val="TextBody"/>
        <w:bidi w:val="0"/>
        <w:spacing w:before="240" w:after="0"/>
        <w:jc w:val="left"/>
        <w:rPr>
          <w:rFonts w:ascii="Times New Roman" w:hAnsi="Times New Roman"/>
          <w:sz w:val="20"/>
        </w:rPr>
      </w:pPr>
      <w:r>
        <w:rPr>
          <w:rFonts w:ascii="Times New Roman" w:hAnsi="Times New Roman"/>
          <w:sz w:val="20"/>
        </w:rPr>
        <w:t xml:space="preserve">In June 2016, the FASB issued ASU No. 2016-13, Financial InstrumentsCredit Losses (Topic 326): Measurement of Credit Losses on Financial Instruments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the earlier recognition of credit losses, if any. In May 2019, the FASB issued ASU No. 2019-05, Financial InstrumentsCredit Losses (Topic 326): Targeted Transition Relief (ASU 2019-05), which provides additional implementation guidance on the previously issued ASU 2016-13. For the Company, both ASU 2016-13 and ASU 2019-05 are effective for fiscal years beginning after December 15, 2022, with early adoption permitted. The Company adopted the standard effective February 10, 2022 (inception) on a prospective basis which did not have a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In August 2020, the FASB issued ASU No. 2020-06, Debt</w:t>
      </w:r>
      <w:r>
        <w:rPr>
          <w:rFonts w:ascii="Times New Roman" w:hAnsi="Times New Roman"/>
          <w:i/>
          <w:sz w:val="20"/>
        </w:rPr>
        <w:t xml:space="preserve">, </w:t>
      </w:r>
      <w:r>
        <w:rPr>
          <w:rFonts w:ascii="Times New Roman" w:hAnsi="Times New Roman"/>
          <w:sz w:val="20"/>
        </w:rPr>
        <w:t xml:space="preserve">Debt with Conversion and Other Options (Subtopic 470-20g) and Derivatives and HedgingContracts in Entitys Own Equity (Subtopic 815-40): Accounting for Convertible Instruments and Contracts in an Entitys Own Equity, which, among other things, provides guidance on how to account for contracts on an entitys own equity. This ASU simplifies the accounting for certain financial instruments with characteristics of liabilities and equity. Specifically, the ASU eliminated the need for the Company to assess whether a contract on the entitys own equity (1) permits settlement in unregistered shares, (2) whether counterparty rights rank higher than shareholders rights, and (3) whether collateral is required. In addition, the ASU requires incremental disclosure related to contracts on the entitys own equity and clarifies the treatment of certain financial instruments accounted for under this ASU on earnings per share. The ASU also simplifies the accounting for convertible instruments by removing the beneficial conversion feature and cash conversion feature separation models. This ASU may be applied on a full retrospective or modified retrospective basis. This ASU is effective for (i) smaller reporting companies for fiscal years beginning after December 15, 2023 and (ii) all other public entities for fiscal years beginning after December 15, 2021. Early adoption is permitted. The Company adopted this standard on February 10, 2022 (inception). Adoption of the standard had no impact on the Companys financial position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2021, the FASB issued ASU No. 2021-08, Accounting for Contract Assets and Contract Liabilities from Contracts with Customers (Topic 805), which requires contract assets and contract liabilities acquired in a business combination to be recognized and measured by the acquirer on the acquisition date in accordance with ASC 606, Revenue from Contracts with Customers, as if it had originated the contracts. This approach differs from the current requirement to measure contract assets and contract liabilities acquired in a business combination at fair value. The amendments in this update are effective for (i) public business entities for fiscal years beginning after December 15, 2022, including interim periods within those fiscal years and (ii)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other entities for fiscal years beginning after December 15, 2023, including interim periods within those fiscal years. Early adoption is permitted for both interim and annual financial statements that have not yet been issued or made available for issuance. The amendments in this update are to be applied prospectively to business combinations occurring on or after the effective date. The Company adopted this standard effective January 1, 2023. Adoption of the standard has had no impact on the Companys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w:t>
      </w:r>
    </w:p>
    <w:p>
      <w:pPr>
        <w:pStyle w:val="TextBody"/>
        <w:bidi w:val="0"/>
        <w:spacing w:before="240" w:after="0"/>
        <w:jc w:val="left"/>
        <w:rPr>
          <w:rFonts w:ascii="Times New Roman" w:hAnsi="Times New Roman"/>
          <w:sz w:val="20"/>
        </w:rPr>
      </w:pPr>
      <w:r>
        <w:rPr>
          <w:rFonts w:ascii="Times New Roman" w:hAnsi="Times New Roman"/>
          <w:sz w:val="20"/>
        </w:rPr>
        <w:t>In November 2023, the FASB issued ASU 2023-07, Segment Reporting-Improvements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currently evaluating the potential impact of adopting this new guidance on our consolidated financial statements and related disclosures. This ASU will have no impact on the Companys consolidated balance sheet or results of operations.</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of adopting ASU 2023-09.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02"/>
        <w:gridCol w:w="224"/>
        <w:gridCol w:w="187"/>
        <w:gridCol w:w="643"/>
        <w:gridCol w:w="60"/>
        <w:gridCol w:w="224"/>
        <w:gridCol w:w="187"/>
        <w:gridCol w:w="643"/>
        <w:gridCol w:w="60"/>
        <w:gridCol w:w="224"/>
        <w:gridCol w:w="140"/>
        <w:gridCol w:w="710"/>
        <w:gridCol w:w="60"/>
        <w:gridCol w:w="223"/>
        <w:gridCol w:w="140"/>
        <w:gridCol w:w="710"/>
        <w:gridCol w:w="68"/>
      </w:tblGrid>
      <w:tr>
        <w:trPr/>
        <w:tc>
          <w:tcPr>
            <w:tcW w:w="5702"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4211" w:type="dxa"/>
            <w:gridSpan w:val="14"/>
            <w:tcBorders>
              <w:bottom w:val="single" w:sz="8" w:space="0" w:color="000000"/>
            </w:tcBorders>
            <w:tcMar>
              <w:bottom w:w="28" w:type="dxa"/>
            </w:tcMar>
            <w:vAlign w:val="bottom"/>
          </w:tcPr>
          <w:p>
            <w:pPr>
              <w:pStyle w:val="TableContents"/>
              <w:bidi w:val="0"/>
              <w:spacing w:before="0" w:after="283"/>
              <w:jc w:val="center"/>
              <w:rPr/>
            </w:pPr>
            <w:r>
              <w:rPr>
                <w:b/>
              </w:rPr>
              <w:t>Fair Value Measurements at</w:t>
              <w:br/>
            </w:r>
            <w:r>
              <w:rPr/>
              <w:br/>
            </w:r>
            <w:r>
              <w:rPr>
                <w:b/>
              </w:rPr>
              <w:t>December 31, 2022:</w:t>
            </w:r>
          </w:p>
        </w:tc>
        <w:tc>
          <w:tcPr>
            <w:tcW w:w="68" w:type="dxa"/>
            <w:tcBorders/>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1 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2 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702"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 tranche right liability</w:t>
            </w:r>
          </w:p>
        </w:tc>
        <w:tc>
          <w:tcPr>
            <w:tcW w:w="2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10,435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10,435</w:t>
            </w:r>
          </w:p>
        </w:tc>
        <w:tc>
          <w:tcPr>
            <w:tcW w:w="68" w:type="dxa"/>
            <w:tcBorders/>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702"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10,435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10,435</w:t>
            </w:r>
          </w:p>
        </w:tc>
        <w:tc>
          <w:tcPr>
            <w:tcW w:w="68"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4"/>
        <w:gridCol w:w="218"/>
        <w:gridCol w:w="161"/>
        <w:gridCol w:w="823"/>
        <w:gridCol w:w="60"/>
        <w:gridCol w:w="218"/>
        <w:gridCol w:w="140"/>
        <w:gridCol w:w="802"/>
        <w:gridCol w:w="60"/>
        <w:gridCol w:w="218"/>
        <w:gridCol w:w="161"/>
        <w:gridCol w:w="773"/>
        <w:gridCol w:w="60"/>
        <w:gridCol w:w="218"/>
        <w:gridCol w:w="140"/>
        <w:gridCol w:w="802"/>
        <w:gridCol w:w="67"/>
      </w:tblGrid>
      <w:tr>
        <w:trPr/>
        <w:tc>
          <w:tcPr>
            <w:tcW w:w="528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8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636" w:type="dxa"/>
            <w:gridSpan w:val="14"/>
            <w:tcBorders>
              <w:bottom w:val="single" w:sz="8" w:space="0" w:color="000000"/>
            </w:tcBorders>
            <w:tcMar>
              <w:bottom w:w="28" w:type="dxa"/>
            </w:tcMar>
            <w:vAlign w:val="bottom"/>
          </w:tcPr>
          <w:p>
            <w:pPr>
              <w:pStyle w:val="TableContents"/>
              <w:bidi w:val="0"/>
              <w:spacing w:before="0" w:after="283"/>
              <w:jc w:val="center"/>
              <w:rPr/>
            </w:pPr>
            <w:r>
              <w:rPr>
                <w:b/>
              </w:rPr>
              <w:t>Fair Value Measurements at</w:t>
              <w:br/>
            </w:r>
            <w:r>
              <w:rPr/>
              <w:br/>
            </w:r>
            <w:r>
              <w:rPr>
                <w:b/>
              </w:rPr>
              <w:t>December 31, 2023:</w:t>
            </w:r>
          </w:p>
        </w:tc>
        <w:tc>
          <w:tcPr>
            <w:tcW w:w="67" w:type="dxa"/>
            <w:tcBorders/>
            <w:vAlign w:val="bottom"/>
          </w:tcPr>
          <w:p>
            <w:pPr>
              <w:pStyle w:val="TableContents"/>
              <w:bidi w:val="0"/>
              <w:spacing w:before="0" w:after="283"/>
              <w:jc w:val="left"/>
              <w:rPr/>
            </w:pPr>
            <w:r>
              <w:rPr/>
              <w:t> </w:t>
            </w:r>
          </w:p>
        </w:tc>
      </w:tr>
      <w:tr>
        <w:trPr/>
        <w:tc>
          <w:tcPr>
            <w:tcW w:w="528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1 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3 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23,441</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23,441</w:t>
            </w:r>
          </w:p>
        </w:tc>
        <w:tc>
          <w:tcPr>
            <w:tcW w:w="67" w:type="dxa"/>
            <w:tcBorders/>
            <w:shd w:fill="CCEEFF" w:val="clear"/>
            <w:vAlign w:val="bottom"/>
          </w:tcPr>
          <w:p>
            <w:pPr>
              <w:pStyle w:val="TableContents"/>
              <w:bidi w:val="0"/>
              <w:spacing w:before="0" w:after="283"/>
              <w:jc w:val="left"/>
              <w:rPr/>
            </w:pPr>
            <w:r>
              <w:rPr/>
              <w:t> </w:t>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23,832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23,832</w:t>
            </w:r>
          </w:p>
        </w:tc>
        <w:tc>
          <w:tcPr>
            <w:tcW w:w="67" w:type="dxa"/>
            <w:tcBorders/>
            <w:vAlign w:val="bottom"/>
          </w:tcPr>
          <w:p>
            <w:pPr>
              <w:pStyle w:val="TableContents"/>
              <w:bidi w:val="0"/>
              <w:spacing w:before="0" w:after="283"/>
              <w:jc w:val="left"/>
              <w:rPr/>
            </w:pPr>
            <w:r>
              <w:rPr/>
              <w:t> </w:t>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84"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 and government securities</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77,309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77,309</w:t>
            </w:r>
          </w:p>
        </w:tc>
        <w:tc>
          <w:tcPr>
            <w:tcW w:w="67" w:type="dxa"/>
            <w:tcBorders/>
            <w:vAlign w:val="bottom"/>
          </w:tcPr>
          <w:p>
            <w:pPr>
              <w:pStyle w:val="TableContents"/>
              <w:bidi w:val="0"/>
              <w:spacing w:before="0" w:after="283"/>
              <w:jc w:val="left"/>
              <w:rPr/>
            </w:pPr>
            <w:r>
              <w:rPr/>
              <w:t> </w:t>
            </w:r>
          </w:p>
        </w:tc>
      </w:tr>
      <w:tr>
        <w:trPr/>
        <w:tc>
          <w:tcPr>
            <w:tcW w:w="528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84" w:type="dxa"/>
            <w:tcBorders/>
            <w:shd w:fill="CCEEFF" w:val="clear"/>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 </w:t>
            </w:r>
            <w:r>
              <w:rPr/>
              <w:t>23,441</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101,141</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124,582</w:t>
            </w:r>
          </w:p>
        </w:tc>
        <w:tc>
          <w:tcPr>
            <w:tcW w:w="67" w:type="dxa"/>
            <w:tcBorders/>
            <w:shd w:fill="CCEEFF" w:val="clear"/>
            <w:vAlign w:val="bottom"/>
          </w:tcPr>
          <w:p>
            <w:pPr>
              <w:pStyle w:val="TableContents"/>
              <w:bidi w:val="0"/>
              <w:spacing w:before="0" w:after="283"/>
              <w:jc w:val="left"/>
              <w:rPr/>
            </w:pPr>
            <w:r>
              <w:rPr/>
              <w:t> </w:t>
            </w:r>
          </w:p>
        </w:tc>
      </w:tr>
      <w:tr>
        <w:trPr/>
        <w:tc>
          <w:tcPr>
            <w:tcW w:w="528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8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preferred stock tranche right liability</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  </w:t>
            </w:r>
            <w:r>
              <w:rPr/>
              <w:t>4,200</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4,200</w:t>
            </w:r>
          </w:p>
        </w:tc>
        <w:tc>
          <w:tcPr>
            <w:tcW w:w="67" w:type="dxa"/>
            <w:tcBorders/>
            <w:shd w:fill="CCEEFF" w:val="clear"/>
            <w:vAlign w:val="bottom"/>
          </w:tcPr>
          <w:p>
            <w:pPr>
              <w:pStyle w:val="TableContents"/>
              <w:bidi w:val="0"/>
              <w:spacing w:before="0" w:after="283"/>
              <w:jc w:val="left"/>
              <w:rPr/>
            </w:pPr>
            <w:r>
              <w:rPr/>
              <w:t> </w:t>
            </w:r>
          </w:p>
        </w:tc>
      </w:tr>
      <w:tr>
        <w:trPr/>
        <w:tc>
          <w:tcPr>
            <w:tcW w:w="528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84"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4,200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4,200</w:t>
            </w:r>
          </w:p>
        </w:tc>
        <w:tc>
          <w:tcPr>
            <w:tcW w:w="67" w:type="dxa"/>
            <w:tcBorders/>
            <w:vAlign w:val="bottom"/>
          </w:tcPr>
          <w:p>
            <w:pPr>
              <w:pStyle w:val="TableContents"/>
              <w:bidi w:val="0"/>
              <w:spacing w:before="0" w:after="283"/>
              <w:jc w:val="left"/>
              <w:rPr/>
            </w:pPr>
            <w:r>
              <w:rPr/>
              <w:t> </w:t>
            </w:r>
          </w:p>
        </w:tc>
      </w:tr>
      <w:tr>
        <w:trPr/>
        <w:tc>
          <w:tcPr>
            <w:tcW w:w="528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highly liquid and actively traded marketable securities that generally transact at a stable $1.00 net asset value representing its estimated fair value. For the period from February 10, 2022 (inception) to December 31, 2022 and the year ended December 31, 2023, there were no transfers between Level 1, Level 2 and Level 3.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its U.S. Treasury securities as short-term because they are available to be converted into cash to fund current operations. The fair value of the Companys U.S. Treasury bills and government securities are classified as Level 2 because they are valued using observable inputs to quoted market prices, benchmark yields, reported trades, broker/dealer quotes or alternative pricing sources with reasonable levels of price transparency and U.S. Treasury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underlying securities held in the money market funds held by the Company are all government backed securities. </w:t>
      </w:r>
    </w:p>
    <w:p>
      <w:pPr>
        <w:pStyle w:val="TextBody"/>
        <w:bidi w:val="0"/>
        <w:spacing w:before="240" w:after="0"/>
        <w:jc w:val="left"/>
        <w:rPr>
          <w:rFonts w:ascii="Times New Roman" w:hAnsi="Times New Roman"/>
          <w:sz w:val="20"/>
        </w:rPr>
      </w:pPr>
      <w:r>
        <w:rPr>
          <w:rFonts w:ascii="Times New Roman" w:hAnsi="Times New Roman"/>
          <w:sz w:val="20"/>
        </w:rPr>
        <w:t xml:space="preserve">Short-term investments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47"/>
        <w:gridCol w:w="204"/>
        <w:gridCol w:w="169"/>
        <w:gridCol w:w="1000"/>
        <w:gridCol w:w="60"/>
        <w:gridCol w:w="204"/>
        <w:gridCol w:w="171"/>
        <w:gridCol w:w="1021"/>
        <w:gridCol w:w="60"/>
        <w:gridCol w:w="204"/>
        <w:gridCol w:w="247"/>
        <w:gridCol w:w="907"/>
        <w:gridCol w:w="60"/>
        <w:gridCol w:w="204"/>
        <w:gridCol w:w="180"/>
        <w:gridCol w:w="1003"/>
        <w:gridCol w:w="64"/>
      </w:tblGrid>
      <w:tr>
        <w:trPr/>
        <w:tc>
          <w:tcPr>
            <w:tcW w:w="44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4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4" w:type="dxa"/>
            <w:tcBorders/>
            <w:vAlign w:val="bottom"/>
          </w:tcPr>
          <w:p>
            <w:pPr>
              <w:pStyle w:val="TableContents"/>
              <w:bidi w:val="0"/>
              <w:spacing w:before="0" w:after="283"/>
              <w:jc w:val="left"/>
              <w:rPr/>
            </w:pPr>
            <w:r>
              <w:rPr/>
              <w:t> </w:t>
            </w:r>
          </w:p>
        </w:tc>
      </w:tr>
      <w:tr>
        <w:trPr/>
        <w:tc>
          <w:tcPr>
            <w:tcW w:w="444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4" w:type="dxa"/>
            <w:tcBorders/>
            <w:vAlign w:val="bottom"/>
          </w:tcPr>
          <w:p>
            <w:pPr>
              <w:pStyle w:val="TableContents"/>
              <w:bidi w:val="0"/>
              <w:spacing w:before="0" w:after="283"/>
              <w:jc w:val="left"/>
              <w:rPr/>
            </w:pPr>
            <w:r>
              <w:rPr/>
              <w:t> </w:t>
            </w:r>
          </w:p>
        </w:tc>
      </w:tr>
      <w:tr>
        <w:trPr/>
        <w:tc>
          <w:tcPr>
            <w:tcW w:w="44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47"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 and government securities</w:t>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  </w:t>
            </w:r>
            <w:r>
              <w:rPr/>
              <w:t>77,305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21" w:type="dxa"/>
            <w:tcBorders/>
            <w:vAlign w:val="bottom"/>
          </w:tcPr>
          <w:p>
            <w:pPr>
              <w:pStyle w:val="TableContents"/>
              <w:bidi w:val="0"/>
              <w:spacing w:before="0" w:after="283"/>
              <w:jc w:val="right"/>
              <w:rPr/>
            </w:pPr>
            <w:r>
              <w:rPr/>
              <w:t>    </w:t>
            </w:r>
            <w:r>
              <w:rPr/>
              <w:t>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 </w:t>
            </w:r>
            <w:r>
              <w:rPr/>
              <w:t>77,309</w:t>
            </w:r>
          </w:p>
        </w:tc>
        <w:tc>
          <w:tcPr>
            <w:tcW w:w="64" w:type="dxa"/>
            <w:tcBorders/>
            <w:vAlign w:val="bottom"/>
          </w:tcPr>
          <w:p>
            <w:pPr>
              <w:pStyle w:val="TableContents"/>
              <w:bidi w:val="0"/>
              <w:spacing w:before="0" w:after="283"/>
              <w:jc w:val="left"/>
              <w:rPr/>
            </w:pPr>
            <w:r>
              <w:rPr/>
              <w:t> </w:t>
            </w:r>
          </w:p>
        </w:tc>
      </w:tr>
      <w:tr>
        <w:trPr/>
        <w:tc>
          <w:tcPr>
            <w:tcW w:w="444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7"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77,305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77,309</w:t>
            </w:r>
          </w:p>
        </w:tc>
        <w:tc>
          <w:tcPr>
            <w:tcW w:w="64" w:type="dxa"/>
            <w:tcBorders/>
            <w:shd w:fill="CCEEFF" w:val="clear"/>
            <w:vAlign w:val="bottom"/>
          </w:tcPr>
          <w:p>
            <w:pPr>
              <w:pStyle w:val="TableContents"/>
              <w:bidi w:val="0"/>
              <w:spacing w:before="0" w:after="283"/>
              <w:jc w:val="left"/>
              <w:rPr/>
            </w:pPr>
            <w:r>
              <w:rPr/>
              <w:t> </w:t>
            </w:r>
          </w:p>
        </w:tc>
      </w:tr>
      <w:tr>
        <w:trPr/>
        <w:tc>
          <w:tcPr>
            <w:tcW w:w="444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contractual maturities of the Companys short-term investments in available-for-sale debt securities held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7"/>
        <w:gridCol w:w="236"/>
        <w:gridCol w:w="227"/>
        <w:gridCol w:w="1339"/>
        <w:gridCol w:w="60"/>
        <w:gridCol w:w="236"/>
        <w:gridCol w:w="193"/>
        <w:gridCol w:w="1373"/>
        <w:gridCol w:w="64"/>
      </w:tblGrid>
      <w:tr>
        <w:trPr/>
        <w:tc>
          <w:tcPr>
            <w:tcW w:w="6477"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4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6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within one year</w:t>
            </w:r>
          </w:p>
        </w:tc>
        <w:tc>
          <w:tcPr>
            <w:tcW w:w="23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    </w:t>
            </w:r>
            <w:r>
              <w:rPr/>
              <w:t>77,309</w:t>
            </w:r>
          </w:p>
        </w:tc>
        <w:tc>
          <w:tcPr>
            <w:tcW w:w="64" w:type="dxa"/>
            <w:tcBorders/>
            <w:shd w:fill="CCEEFF" w:val="clear"/>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7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477" w:type="dxa"/>
            <w:tcBorders/>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373" w:type="dxa"/>
            <w:tcBorders/>
            <w:vAlign w:val="bottom"/>
          </w:tcPr>
          <w:p>
            <w:pPr>
              <w:pStyle w:val="TableContents"/>
              <w:bidi w:val="0"/>
              <w:spacing w:before="0" w:after="283"/>
              <w:jc w:val="right"/>
              <w:rPr/>
            </w:pPr>
            <w:r>
              <w:rPr/>
              <w:t>77,309</w:t>
            </w:r>
          </w:p>
        </w:tc>
        <w:tc>
          <w:tcPr>
            <w:tcW w:w="64" w:type="dxa"/>
            <w:tcBorders/>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37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Valuation of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Series A and Series B preferred stock tranche right liabilities in the table above are composed of the fair value of obligations to issue Series A convertible preferred stock and Series B convertible preferred stock, respectively (see Note 7), either upon achievement of certain specified milestones, upon the waiver of such milestone achievement by a majority vote of the respective series convertible preferred stockholders or in relation to the Series B convertible preferred stock, upon a shareholder exercising its right to early exercise the tranche right. The fair value of the tranche right liability was determined based on significant inputs not observable in the market, which represented a Level 3 measurement within the fair value hierarchy. The fair value of the tranche right liabilities were determined using a Contingent Forward Analysis, which is a scenario-based lattice model that accounts for the different possible milestone scenarios and their associated probabilities, as estimated by the Company. The valuation model considered the probability of closing the tranche, the estimated future value of the Convertible Preferred Stock to be issued at each closing and the investment required at each closing. Future values were converted to present value using a discount rate appropriate for probability-adjusted cash flows. The risk-free rate was determined by reference to the U.S. Treasury yield curve for time periods approximately equal to the remaining estimated time to each tranche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A preferred stock tranche right liability that is categorized within Level 3 of the fair value hierarchy as of December 31, 2022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3"/>
        <w:gridCol w:w="552"/>
        <w:gridCol w:w="140"/>
        <w:gridCol w:w="873"/>
        <w:gridCol w:w="60"/>
        <w:gridCol w:w="552"/>
        <w:gridCol w:w="140"/>
        <w:gridCol w:w="873"/>
        <w:gridCol w:w="62"/>
      </w:tblGrid>
      <w:tr>
        <w:trPr/>
        <w:tc>
          <w:tcPr>
            <w:tcW w:w="6953"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953"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w:t>
              <w:br/>
              <w:t>Tranche</w:t>
              <w:br/>
              <w:t>Milestone</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w:t>
              <w:br/>
              <w:t>Tranche</w:t>
              <w:br/>
              <w:t>Milestone</w:t>
            </w:r>
          </w:p>
        </w:tc>
        <w:tc>
          <w:tcPr>
            <w:tcW w:w="62" w:type="dxa"/>
            <w:tcBorders/>
            <w:vAlign w:val="bottom"/>
          </w:tcPr>
          <w:p>
            <w:pPr>
              <w:pStyle w:val="TableContents"/>
              <w:bidi w:val="0"/>
              <w:spacing w:before="0" w:after="283"/>
              <w:jc w:val="left"/>
              <w:rPr/>
            </w:pPr>
            <w:r>
              <w:rPr/>
              <w:t> </w:t>
            </w:r>
          </w:p>
        </w:tc>
      </w:tr>
      <w:tr>
        <w:trPr/>
        <w:tc>
          <w:tcPr>
            <w:tcW w:w="6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meeting Series A milestones</w:t>
            </w:r>
          </w:p>
        </w:tc>
        <w:tc>
          <w:tcPr>
            <w:tcW w:w="5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center"/>
              <w:rPr/>
            </w:pPr>
            <w:r>
              <w:rPr/>
              <w:t>50%</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center"/>
              <w:rPr/>
            </w:pPr>
            <w:r>
              <w:rPr/>
              <w:t>30%</w:t>
            </w:r>
          </w:p>
        </w:tc>
        <w:tc>
          <w:tcPr>
            <w:tcW w:w="62" w:type="dxa"/>
            <w:tcBorders/>
            <w:shd w:fill="CCEEFF" w:val="clear"/>
            <w:vAlign w:val="bottom"/>
          </w:tcPr>
          <w:p>
            <w:pPr>
              <w:pStyle w:val="TableContents"/>
              <w:bidi w:val="0"/>
              <w:spacing w:before="0" w:after="283"/>
              <w:jc w:val="left"/>
              <w:rPr/>
            </w:pPr>
            <w:r>
              <w:rPr/>
              <w:t> </w:t>
            </w:r>
          </w:p>
        </w:tc>
      </w:tr>
      <w:tr>
        <w:trPr/>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Milestone achievement date</w:t>
            </w:r>
          </w:p>
        </w:tc>
        <w:tc>
          <w:tcPr>
            <w:tcW w:w="5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center"/>
              <w:rPr/>
            </w:pPr>
            <w:r>
              <w:rPr/>
              <w:t>6/30/2023</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center"/>
              <w:rPr/>
            </w:pPr>
            <w:r>
              <w:rPr/>
              <w:t>12/31/2023</w:t>
            </w:r>
          </w:p>
        </w:tc>
        <w:tc>
          <w:tcPr>
            <w:tcW w:w="62" w:type="dxa"/>
            <w:tcBorders/>
            <w:vAlign w:val="bottom"/>
          </w:tcPr>
          <w:p>
            <w:pPr>
              <w:pStyle w:val="TableContents"/>
              <w:bidi w:val="0"/>
              <w:spacing w:before="0" w:after="283"/>
              <w:jc w:val="left"/>
              <w:rPr/>
            </w:pPr>
            <w:r>
              <w:rPr/>
              <w:t> </w:t>
            </w:r>
          </w:p>
        </w:tc>
      </w:tr>
      <w:tr>
        <w:trPr/>
        <w:tc>
          <w:tcPr>
            <w:tcW w:w="6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center"/>
              <w:rPr/>
            </w:pPr>
            <w:r>
              <w:rPr/>
              <w:t>4.70%</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center"/>
              <w:rPr/>
            </w:pPr>
            <w:r>
              <w:rPr/>
              <w:t>4.70%</w:t>
            </w:r>
          </w:p>
        </w:tc>
        <w:tc>
          <w:tcPr>
            <w:tcW w:w="62" w:type="dxa"/>
            <w:tcBorders/>
            <w:shd w:fill="CCEEFF" w:val="clear"/>
            <w:vAlign w:val="bottom"/>
          </w:tcPr>
          <w:p>
            <w:pPr>
              <w:pStyle w:val="TableContents"/>
              <w:bidi w:val="0"/>
              <w:spacing w:before="0" w:after="283"/>
              <w:jc w:val="left"/>
              <w:rPr/>
            </w:pPr>
            <w:r>
              <w:rPr/>
              <w:t> </w:t>
            </w:r>
          </w:p>
        </w:tc>
      </w:tr>
      <w:tr>
        <w:trPr/>
        <w:tc>
          <w:tcPr>
            <w:tcW w:w="6953" w:type="dxa"/>
            <w:tcBorders/>
          </w:tcPr>
          <w:p>
            <w:pPr>
              <w:pStyle w:val="TableContents"/>
              <w:bidi w:val="0"/>
              <w:spacing w:before="0" w:after="0"/>
              <w:jc w:val="left"/>
              <w:rPr>
                <w:rFonts w:ascii="Times New Roman" w:hAnsi="Times New Roman"/>
                <w:sz w:val="20"/>
              </w:rPr>
            </w:pPr>
            <w:r>
              <w:rPr>
                <w:rFonts w:ascii="Times New Roman" w:hAnsi="Times New Roman"/>
                <w:sz w:val="20"/>
              </w:rPr>
              <w:t>Expected value of Series A if milestones are not met</w:t>
            </w:r>
          </w:p>
        </w:tc>
        <w:tc>
          <w:tcPr>
            <w:tcW w:w="5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0.33</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3" w:type="dxa"/>
            <w:tcBorders/>
            <w:vAlign w:val="bottom"/>
          </w:tcPr>
          <w:p>
            <w:pPr>
              <w:pStyle w:val="TableContents"/>
              <w:bidi w:val="0"/>
              <w:spacing w:before="0" w:after="283"/>
              <w:jc w:val="right"/>
              <w:rPr/>
            </w:pPr>
            <w:r>
              <w:rPr/>
              <w:t>0.53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roll-forward of the aggregate fair value of the Companys Series A preferred stock tranche right liability, for which fair value is determined using Level 3 inputs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6"/>
        <w:gridCol w:w="1219"/>
        <w:gridCol w:w="176"/>
        <w:gridCol w:w="2377"/>
        <w:gridCol w:w="157"/>
      </w:tblGrid>
      <w:tr>
        <w:trPr/>
        <w:tc>
          <w:tcPr>
            <w:tcW w:w="6276" w:type="dxa"/>
            <w:tcBorders/>
            <w:vAlign w:val="center"/>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7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left"/>
              <w:rPr/>
            </w:pPr>
            <w:r>
              <w:rPr/>
              <w:t>  </w:t>
            </w:r>
          </w:p>
        </w:tc>
        <w:tc>
          <w:tcPr>
            <w:tcW w:w="2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 Preferred Stock</w:t>
              <w:br/>
              <w:t>Tranche Right Liability</w:t>
            </w:r>
          </w:p>
        </w:tc>
        <w:tc>
          <w:tcPr>
            <w:tcW w:w="157" w:type="dxa"/>
            <w:tcBorders/>
            <w:vAlign w:val="bottom"/>
          </w:tcPr>
          <w:p>
            <w:pPr>
              <w:pStyle w:val="TableContents"/>
              <w:bidi w:val="0"/>
              <w:spacing w:before="0" w:after="283"/>
              <w:jc w:val="left"/>
              <w:rPr/>
            </w:pPr>
            <w:r>
              <w:rPr/>
              <w:t> </w:t>
            </w:r>
          </w:p>
        </w:tc>
      </w:tr>
      <w:tr>
        <w:trPr/>
        <w:tc>
          <w:tcPr>
            <w:tcW w:w="6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Balances at February 10, 2022 (inception)</w:t>
            </w:r>
          </w:p>
        </w:tc>
        <w:tc>
          <w:tcPr>
            <w:tcW w:w="12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2377"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276" w:type="dxa"/>
            <w:tcBorders/>
          </w:tcPr>
          <w:p>
            <w:pPr>
              <w:pStyle w:val="TableContents"/>
              <w:bidi w:val="0"/>
              <w:spacing w:before="0" w:after="0"/>
              <w:jc w:val="left"/>
              <w:rPr>
                <w:rFonts w:ascii="Times New Roman" w:hAnsi="Times New Roman"/>
                <w:sz w:val="20"/>
              </w:rPr>
            </w:pPr>
            <w:r>
              <w:rPr>
                <w:rFonts w:ascii="Times New Roman" w:hAnsi="Times New Roman"/>
                <w:sz w:val="20"/>
              </w:rPr>
              <w:t>Initial fair value of Series A preferred stock tranche right liability</w:t>
            </w:r>
          </w:p>
        </w:tc>
        <w:tc>
          <w:tcPr>
            <w:tcW w:w="12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pPr>
            <w:r>
              <w:rPr/>
              <w:t>     </w:t>
            </w:r>
            <w:r>
              <w:rPr/>
              <w:t>10,435</w:t>
            </w:r>
          </w:p>
        </w:tc>
        <w:tc>
          <w:tcPr>
            <w:tcW w:w="157" w:type="dxa"/>
            <w:tcBorders/>
            <w:vAlign w:val="bottom"/>
          </w:tcPr>
          <w:p>
            <w:pPr>
              <w:pStyle w:val="TableContents"/>
              <w:bidi w:val="0"/>
              <w:spacing w:before="0" w:after="283"/>
              <w:jc w:val="left"/>
              <w:rPr/>
            </w:pPr>
            <w:r>
              <w:rPr/>
              <w:t> </w:t>
            </w:r>
          </w:p>
        </w:tc>
      </w:tr>
      <w:tr>
        <w:trPr/>
        <w:tc>
          <w:tcPr>
            <w:tcW w:w="627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237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10,435</w:t>
            </w:r>
          </w:p>
        </w:tc>
        <w:tc>
          <w:tcPr>
            <w:tcW w:w="157" w:type="dxa"/>
            <w:tcBorders/>
            <w:shd w:fill="CCEEFF" w:val="clear"/>
            <w:vAlign w:val="bottom"/>
          </w:tcPr>
          <w:p>
            <w:pPr>
              <w:pStyle w:val="TableContents"/>
              <w:bidi w:val="0"/>
              <w:spacing w:before="0" w:after="283"/>
              <w:jc w:val="left"/>
              <w:rPr/>
            </w:pPr>
            <w:r>
              <w:rPr/>
              <w:t> </w:t>
            </w:r>
          </w:p>
        </w:tc>
      </w:tr>
      <w:tr>
        <w:trPr/>
        <w:tc>
          <w:tcPr>
            <w:tcW w:w="627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Series A preferred stock tranche right liability</w:t>
            </w:r>
          </w:p>
        </w:tc>
        <w:tc>
          <w:tcPr>
            <w:tcW w:w="12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77" w:type="dxa"/>
            <w:tcBorders/>
            <w:vAlign w:val="bottom"/>
          </w:tcPr>
          <w:p>
            <w:pPr>
              <w:pStyle w:val="TableContents"/>
              <w:bidi w:val="0"/>
              <w:spacing w:before="0" w:after="283"/>
              <w:jc w:val="right"/>
              <w:rPr/>
            </w:pPr>
            <w:r>
              <w:rPr/>
              <w:t>1,030</w:t>
            </w:r>
          </w:p>
        </w:tc>
        <w:tc>
          <w:tcPr>
            <w:tcW w:w="157" w:type="dxa"/>
            <w:tcBorders/>
            <w:vAlign w:val="bottom"/>
          </w:tcPr>
          <w:p>
            <w:pPr>
              <w:pStyle w:val="TableContents"/>
              <w:bidi w:val="0"/>
              <w:spacing w:before="0" w:after="283"/>
              <w:jc w:val="left"/>
              <w:rPr/>
            </w:pPr>
            <w:r>
              <w:rPr/>
              <w:t> </w:t>
            </w:r>
          </w:p>
        </w:tc>
      </w:tr>
      <w:tr>
        <w:trPr/>
        <w:tc>
          <w:tcPr>
            <w:tcW w:w="6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Series A preferred stock tranche right liability upon waiver</w:t>
            </w:r>
          </w:p>
        </w:tc>
        <w:tc>
          <w:tcPr>
            <w:tcW w:w="121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377" w:type="dxa"/>
            <w:tcBorders/>
            <w:shd w:fill="CCEEFF" w:val="clear"/>
            <w:vAlign w:val="bottom"/>
          </w:tcPr>
          <w:p>
            <w:pPr>
              <w:pStyle w:val="TableContents"/>
              <w:bidi w:val="0"/>
              <w:spacing w:before="0" w:after="283"/>
              <w:jc w:val="right"/>
              <w:rPr/>
            </w:pPr>
            <w:r>
              <w:rPr/>
              <w:t>(11,465</w:t>
            </w:r>
          </w:p>
        </w:tc>
        <w:tc>
          <w:tcPr>
            <w:tcW w:w="157" w:type="dxa"/>
            <w:tcBorders/>
            <w:shd w:fill="CCEEFF" w:val="clear"/>
            <w:vAlign w:val="bottom"/>
          </w:tcPr>
          <w:p>
            <w:pPr>
              <w:pStyle w:val="TableContents"/>
              <w:bidi w:val="0"/>
              <w:spacing w:before="0" w:after="283"/>
              <w:jc w:val="left"/>
              <w:rPr/>
            </w:pPr>
            <w:r>
              <w:rPr/>
              <w:t>) </w:t>
            </w:r>
          </w:p>
        </w:tc>
      </w:tr>
      <w:tr>
        <w:trPr/>
        <w:tc>
          <w:tcPr>
            <w:tcW w:w="627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237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276"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1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2377"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27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237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Series B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B preferred stock tranche right liability that is categorized within Level 3 of the fair value hierarchy as of December 31, 2023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8"/>
        <w:gridCol w:w="330"/>
        <w:gridCol w:w="140"/>
        <w:gridCol w:w="955"/>
        <w:gridCol w:w="62"/>
      </w:tblGrid>
      <w:tr>
        <w:trPr/>
        <w:tc>
          <w:tcPr>
            <w:tcW w:w="8718"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1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w:t>
              <w:br/>
              <w:t>Tranche</w:t>
              <w:br/>
              <w:t>Milestone</w:t>
            </w:r>
          </w:p>
        </w:tc>
        <w:tc>
          <w:tcPr>
            <w:tcW w:w="62" w:type="dxa"/>
            <w:tcBorders/>
            <w:vAlign w:val="bottom"/>
          </w:tcPr>
          <w:p>
            <w:pPr>
              <w:pStyle w:val="TableContents"/>
              <w:bidi w:val="0"/>
              <w:spacing w:before="0" w:after="283"/>
              <w:jc w:val="left"/>
              <w:rPr/>
            </w:pPr>
            <w:r>
              <w:rPr/>
              <w:t> </w:t>
            </w:r>
          </w:p>
        </w:tc>
      </w:tr>
      <w:tr>
        <w:trPr/>
        <w:tc>
          <w:tcPr>
            <w:tcW w:w="8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meeting Series B milestone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center"/>
              <w:rPr/>
            </w:pPr>
            <w:r>
              <w:rPr/>
              <w:t>80%</w:t>
            </w:r>
          </w:p>
        </w:tc>
        <w:tc>
          <w:tcPr>
            <w:tcW w:w="62" w:type="dxa"/>
            <w:tcBorders/>
            <w:shd w:fill="CCEEFF" w:val="clear"/>
            <w:vAlign w:val="bottom"/>
          </w:tcPr>
          <w:p>
            <w:pPr>
              <w:pStyle w:val="TableContents"/>
              <w:bidi w:val="0"/>
              <w:spacing w:before="0" w:after="283"/>
              <w:jc w:val="left"/>
              <w:rPr/>
            </w:pPr>
            <w:r>
              <w:rPr/>
              <w:t> </w:t>
            </w:r>
          </w:p>
        </w:tc>
      </w:tr>
      <w:tr>
        <w:trPr/>
        <w:tc>
          <w:tcPr>
            <w:tcW w:w="8718" w:type="dxa"/>
            <w:tcBorders/>
          </w:tcPr>
          <w:p>
            <w:pPr>
              <w:pStyle w:val="TableContents"/>
              <w:bidi w:val="0"/>
              <w:spacing w:before="0" w:after="0"/>
              <w:jc w:val="left"/>
              <w:rPr>
                <w:rFonts w:ascii="Times New Roman" w:hAnsi="Times New Roman"/>
                <w:sz w:val="20"/>
              </w:rPr>
            </w:pPr>
            <w:r>
              <w:rPr>
                <w:rFonts w:ascii="Times New Roman" w:hAnsi="Times New Roman"/>
                <w:sz w:val="20"/>
              </w:rPr>
              <w:t>Milestone achievement date</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center"/>
              <w:rPr/>
            </w:pPr>
            <w:r>
              <w:rPr/>
              <w:t>12/31/2024</w:t>
            </w:r>
          </w:p>
        </w:tc>
        <w:tc>
          <w:tcPr>
            <w:tcW w:w="62" w:type="dxa"/>
            <w:tcBorders/>
            <w:vAlign w:val="bottom"/>
          </w:tcPr>
          <w:p>
            <w:pPr>
              <w:pStyle w:val="TableContents"/>
              <w:bidi w:val="0"/>
              <w:spacing w:before="0" w:after="283"/>
              <w:jc w:val="left"/>
              <w:rPr/>
            </w:pPr>
            <w:r>
              <w:rPr/>
              <w:t> </w:t>
            </w:r>
          </w:p>
        </w:tc>
      </w:tr>
      <w:tr>
        <w:trPr/>
        <w:tc>
          <w:tcPr>
            <w:tcW w:w="8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center"/>
              <w:rPr/>
            </w:pPr>
            <w:r>
              <w:rPr/>
              <w:t>4.79%</w:t>
            </w:r>
          </w:p>
        </w:tc>
        <w:tc>
          <w:tcPr>
            <w:tcW w:w="62" w:type="dxa"/>
            <w:tcBorders/>
            <w:shd w:fill="CCEEFF" w:val="clear"/>
            <w:vAlign w:val="bottom"/>
          </w:tcPr>
          <w:p>
            <w:pPr>
              <w:pStyle w:val="TableContents"/>
              <w:bidi w:val="0"/>
              <w:spacing w:before="0" w:after="283"/>
              <w:jc w:val="left"/>
              <w:rPr/>
            </w:pPr>
            <w:r>
              <w:rPr/>
              <w:t> </w:t>
            </w:r>
          </w:p>
        </w:tc>
      </w:tr>
      <w:tr>
        <w:trPr/>
        <w:tc>
          <w:tcPr>
            <w:tcW w:w="8718" w:type="dxa"/>
            <w:tcBorders/>
          </w:tcPr>
          <w:p>
            <w:pPr>
              <w:pStyle w:val="TableContents"/>
              <w:bidi w:val="0"/>
              <w:spacing w:before="0" w:after="0"/>
              <w:jc w:val="left"/>
              <w:rPr>
                <w:rFonts w:ascii="Times New Roman" w:hAnsi="Times New Roman"/>
                <w:sz w:val="20"/>
              </w:rPr>
            </w:pPr>
            <w:r>
              <w:rPr>
                <w:rFonts w:ascii="Times New Roman" w:hAnsi="Times New Roman"/>
                <w:sz w:val="20"/>
              </w:rPr>
              <w:t>Expected value of Series B if milestones are not met</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5" w:type="dxa"/>
            <w:tcBorders/>
            <w:vAlign w:val="bottom"/>
          </w:tcPr>
          <w:p>
            <w:pPr>
              <w:pStyle w:val="TableContents"/>
              <w:bidi w:val="0"/>
              <w:spacing w:before="0" w:after="283"/>
              <w:jc w:val="right"/>
              <w:rPr/>
            </w:pPr>
            <w:r>
              <w:rPr/>
              <w:t>  </w:t>
            </w:r>
            <w:r>
              <w:rPr/>
              <w:t>0.84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roll-forward of the aggregate fair value of the Companys Series B preferred stock tranche right liability, for which fair value is determined using Level 3 inputs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4"/>
        <w:gridCol w:w="309"/>
        <w:gridCol w:w="176"/>
        <w:gridCol w:w="2418"/>
        <w:gridCol w:w="158"/>
      </w:tblGrid>
      <w:tr>
        <w:trPr/>
        <w:tc>
          <w:tcPr>
            <w:tcW w:w="714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4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 Preferred Stock</w:t>
              <w:br/>
              <w:t>Tranche Right Liability</w:t>
            </w:r>
          </w:p>
        </w:tc>
        <w:tc>
          <w:tcPr>
            <w:tcW w:w="158" w:type="dxa"/>
            <w:tcBorders/>
            <w:vAlign w:val="bottom"/>
          </w:tcPr>
          <w:p>
            <w:pPr>
              <w:pStyle w:val="TableContents"/>
              <w:bidi w:val="0"/>
              <w:spacing w:before="0" w:after="283"/>
              <w:jc w:val="left"/>
              <w:rPr/>
            </w:pPr>
            <w:r>
              <w:rPr/>
              <w:t> </w:t>
            </w:r>
          </w:p>
        </w:tc>
      </w:tr>
      <w:tr>
        <w:trPr/>
        <w:tc>
          <w:tcPr>
            <w:tcW w:w="7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30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241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44" w:type="dxa"/>
            <w:tcBorders/>
          </w:tcPr>
          <w:p>
            <w:pPr>
              <w:pStyle w:val="TableContents"/>
              <w:bidi w:val="0"/>
              <w:spacing w:before="0" w:after="0"/>
              <w:jc w:val="left"/>
              <w:rPr>
                <w:rFonts w:ascii="Times New Roman" w:hAnsi="Times New Roman"/>
                <w:sz w:val="20"/>
              </w:rPr>
            </w:pPr>
            <w:r>
              <w:rPr>
                <w:rFonts w:ascii="Times New Roman" w:hAnsi="Times New Roman"/>
                <w:sz w:val="20"/>
              </w:rPr>
              <w:t>Initial fair value of Series B preferred stock tranche right liability</w:t>
            </w:r>
          </w:p>
        </w:tc>
        <w:tc>
          <w:tcPr>
            <w:tcW w:w="30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18" w:type="dxa"/>
            <w:tcBorders/>
            <w:vAlign w:val="bottom"/>
          </w:tcPr>
          <w:p>
            <w:pPr>
              <w:pStyle w:val="TableContents"/>
              <w:bidi w:val="0"/>
              <w:spacing w:before="0" w:after="283"/>
              <w:jc w:val="right"/>
              <w:rPr/>
            </w:pPr>
            <w:r>
              <w:rPr/>
              <w:t>4,619</w:t>
            </w:r>
          </w:p>
        </w:tc>
        <w:tc>
          <w:tcPr>
            <w:tcW w:w="158" w:type="dxa"/>
            <w:tcBorders/>
            <w:vAlign w:val="bottom"/>
          </w:tcPr>
          <w:p>
            <w:pPr>
              <w:pStyle w:val="TableContents"/>
              <w:bidi w:val="0"/>
              <w:spacing w:before="0" w:after="283"/>
              <w:jc w:val="left"/>
              <w:rPr/>
            </w:pPr>
            <w:r>
              <w:rPr/>
              <w:t> </w:t>
            </w:r>
          </w:p>
        </w:tc>
      </w:tr>
      <w:tr>
        <w:trPr/>
        <w:tc>
          <w:tcPr>
            <w:tcW w:w="7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Series B preferred stock tranche right liability upon early exercise</w:t>
            </w:r>
          </w:p>
        </w:tc>
        <w:tc>
          <w:tcPr>
            <w:tcW w:w="30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418" w:type="dxa"/>
            <w:tcBorders/>
            <w:shd w:fill="CCEEFF" w:val="clear"/>
            <w:vAlign w:val="bottom"/>
          </w:tcPr>
          <w:p>
            <w:pPr>
              <w:pStyle w:val="TableContents"/>
              <w:bidi w:val="0"/>
              <w:spacing w:before="0" w:after="283"/>
              <w:jc w:val="right"/>
              <w:rPr/>
            </w:pPr>
            <w:r>
              <w:rPr/>
              <w:t>(513</w:t>
            </w:r>
          </w:p>
        </w:tc>
        <w:tc>
          <w:tcPr>
            <w:tcW w:w="158" w:type="dxa"/>
            <w:tcBorders/>
            <w:shd w:fill="CCEEFF" w:val="clear"/>
            <w:vAlign w:val="bottom"/>
          </w:tcPr>
          <w:p>
            <w:pPr>
              <w:pStyle w:val="TableContents"/>
              <w:bidi w:val="0"/>
              <w:spacing w:before="0" w:after="283"/>
              <w:jc w:val="left"/>
              <w:rPr/>
            </w:pPr>
            <w:r>
              <w:rPr/>
              <w:t>) </w:t>
            </w:r>
          </w:p>
        </w:tc>
      </w:tr>
      <w:tr>
        <w:trPr/>
        <w:tc>
          <w:tcPr>
            <w:tcW w:w="714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Series B preferred stock tranche right liability</w:t>
            </w:r>
          </w:p>
        </w:tc>
        <w:tc>
          <w:tcPr>
            <w:tcW w:w="30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18" w:type="dxa"/>
            <w:tcBorders/>
            <w:vAlign w:val="bottom"/>
          </w:tcPr>
          <w:p>
            <w:pPr>
              <w:pStyle w:val="TableContents"/>
              <w:bidi w:val="0"/>
              <w:spacing w:before="0" w:after="283"/>
              <w:jc w:val="right"/>
              <w:rPr/>
            </w:pPr>
            <w:r>
              <w:rPr/>
              <w:t>94</w:t>
            </w:r>
          </w:p>
        </w:tc>
        <w:tc>
          <w:tcPr>
            <w:tcW w:w="158" w:type="dxa"/>
            <w:tcBorders/>
            <w:vAlign w:val="bottom"/>
          </w:tcPr>
          <w:p>
            <w:pPr>
              <w:pStyle w:val="TableContents"/>
              <w:bidi w:val="0"/>
              <w:spacing w:before="0" w:after="283"/>
              <w:jc w:val="left"/>
              <w:rPr/>
            </w:pPr>
            <w:r>
              <w:rPr/>
              <w:t> </w:t>
            </w:r>
          </w:p>
        </w:tc>
      </w:tr>
      <w:tr>
        <w:trPr/>
        <w:tc>
          <w:tcPr>
            <w:tcW w:w="714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241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30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2418" w:type="dxa"/>
            <w:tcBorders/>
            <w:shd w:fill="CCEEFF" w:val="clear"/>
            <w:vAlign w:val="bottom"/>
          </w:tcPr>
          <w:p>
            <w:pPr>
              <w:pStyle w:val="TableContents"/>
              <w:bidi w:val="0"/>
              <w:spacing w:before="0" w:after="283"/>
              <w:jc w:val="right"/>
              <w:rPr/>
            </w:pPr>
            <w:r>
              <w:rPr/>
              <w:t>      </w:t>
            </w:r>
            <w:r>
              <w:rPr/>
              <w:t>4,200</w:t>
            </w:r>
          </w:p>
        </w:tc>
        <w:tc>
          <w:tcPr>
            <w:tcW w:w="158" w:type="dxa"/>
            <w:tcBorders/>
            <w:shd w:fill="CCEEFF" w:val="clear"/>
            <w:vAlign w:val="bottom"/>
          </w:tcPr>
          <w:p>
            <w:pPr>
              <w:pStyle w:val="TableContents"/>
              <w:bidi w:val="0"/>
              <w:spacing w:before="0" w:after="283"/>
              <w:jc w:val="left"/>
              <w:rPr/>
            </w:pPr>
            <w:r>
              <w:rPr/>
              <w:t> </w:t>
            </w:r>
          </w:p>
        </w:tc>
      </w:tr>
      <w:tr>
        <w:trPr/>
        <w:tc>
          <w:tcPr>
            <w:tcW w:w="714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241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8"/>
        <w:gridCol w:w="386"/>
        <w:gridCol w:w="140"/>
        <w:gridCol w:w="1034"/>
        <w:gridCol w:w="155"/>
        <w:gridCol w:w="349"/>
        <w:gridCol w:w="140"/>
        <w:gridCol w:w="1034"/>
        <w:gridCol w:w="159"/>
      </w:tblGrid>
      <w:tr>
        <w:trPr/>
        <w:tc>
          <w:tcPr>
            <w:tcW w:w="6808"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08"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8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6808"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6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    </w:t>
            </w:r>
            <w:r>
              <w:rPr/>
              <w:t>295</w:t>
            </w:r>
          </w:p>
        </w:tc>
        <w:tc>
          <w:tcPr>
            <w:tcW w:w="15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1,719</w:t>
            </w:r>
          </w:p>
        </w:tc>
        <w:tc>
          <w:tcPr>
            <w:tcW w:w="159" w:type="dxa"/>
            <w:tcBorders/>
            <w:shd w:fill="CCEEFF" w:val="clear"/>
            <w:vAlign w:val="bottom"/>
          </w:tcPr>
          <w:p>
            <w:pPr>
              <w:pStyle w:val="TableContents"/>
              <w:bidi w:val="0"/>
              <w:spacing w:before="0" w:after="283"/>
              <w:jc w:val="left"/>
              <w:rPr/>
            </w:pPr>
            <w:r>
              <w:rPr/>
              <w:t> </w:t>
            </w:r>
          </w:p>
        </w:tc>
      </w:tr>
      <w:tr>
        <w:trPr/>
        <w:tc>
          <w:tcPr>
            <w:tcW w:w="6808"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43</w:t>
            </w:r>
          </w:p>
        </w:tc>
        <w:tc>
          <w:tcPr>
            <w:tcW w:w="159" w:type="dxa"/>
            <w:tcBorders/>
            <w:vAlign w:val="bottom"/>
          </w:tcPr>
          <w:p>
            <w:pPr>
              <w:pStyle w:val="TableContents"/>
              <w:bidi w:val="0"/>
              <w:spacing w:before="0" w:after="283"/>
              <w:jc w:val="left"/>
              <w:rPr/>
            </w:pPr>
            <w:r>
              <w:rPr/>
              <w:t> </w:t>
            </w:r>
          </w:p>
        </w:tc>
      </w:tr>
      <w:tr>
        <w:trPr/>
        <w:tc>
          <w:tcPr>
            <w:tcW w:w="6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r>
              <w:rPr/>
              <w:t>255</w:t>
            </w:r>
          </w:p>
        </w:tc>
        <w:tc>
          <w:tcPr>
            <w:tcW w:w="159" w:type="dxa"/>
            <w:tcBorders/>
            <w:shd w:fill="CCEEFF" w:val="clear"/>
            <w:vAlign w:val="bottom"/>
          </w:tcPr>
          <w:p>
            <w:pPr>
              <w:pStyle w:val="TableContents"/>
              <w:bidi w:val="0"/>
              <w:spacing w:before="0" w:after="283"/>
              <w:jc w:val="left"/>
              <w:rPr/>
            </w:pPr>
            <w:r>
              <w:rPr/>
              <w:t> </w:t>
            </w:r>
          </w:p>
        </w:tc>
      </w:tr>
      <w:tr>
        <w:trPr/>
        <w:tc>
          <w:tcPr>
            <w:tcW w:w="6808"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in process</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6808"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2,043</w:t>
            </w:r>
          </w:p>
        </w:tc>
        <w:tc>
          <w:tcPr>
            <w:tcW w:w="159" w:type="dxa"/>
            <w:tcBorders/>
            <w:shd w:fill="CCEEFF" w:val="clear"/>
            <w:vAlign w:val="bottom"/>
          </w:tcPr>
          <w:p>
            <w:pPr>
              <w:pStyle w:val="TableContents"/>
              <w:bidi w:val="0"/>
              <w:spacing w:before="0" w:after="283"/>
              <w:jc w:val="left"/>
              <w:rPr/>
            </w:pPr>
            <w:r>
              <w:rPr/>
              <w:t> </w:t>
            </w:r>
          </w:p>
        </w:tc>
      </w:tr>
      <w:tr>
        <w:trPr/>
        <w:tc>
          <w:tcPr>
            <w:tcW w:w="6808"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(127</w:t>
            </w:r>
          </w:p>
        </w:tc>
        <w:tc>
          <w:tcPr>
            <w:tcW w:w="159" w:type="dxa"/>
            <w:tcBorders/>
            <w:vAlign w:val="bottom"/>
          </w:tcPr>
          <w:p>
            <w:pPr>
              <w:pStyle w:val="TableContents"/>
              <w:bidi w:val="0"/>
              <w:spacing w:before="0" w:after="283"/>
              <w:jc w:val="left"/>
              <w:rPr/>
            </w:pPr>
            <w:r>
              <w:rPr/>
              <w:t>) </w:t>
            </w:r>
          </w:p>
        </w:tc>
      </w:tr>
      <w:tr>
        <w:trPr/>
        <w:tc>
          <w:tcPr>
            <w:tcW w:w="6808"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08" w:type="dxa"/>
            <w:tcBorders/>
            <w:shd w:fill="CCEEFF" w:val="clear"/>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335</w:t>
            </w:r>
          </w:p>
        </w:tc>
        <w:tc>
          <w:tcPr>
            <w:tcW w:w="155"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1,916</w:t>
            </w:r>
          </w:p>
        </w:tc>
        <w:tc>
          <w:tcPr>
            <w:tcW w:w="159" w:type="dxa"/>
            <w:tcBorders/>
            <w:shd w:fill="CCEEFF" w:val="clear"/>
            <w:vAlign w:val="bottom"/>
          </w:tcPr>
          <w:p>
            <w:pPr>
              <w:pStyle w:val="TableContents"/>
              <w:bidi w:val="0"/>
              <w:spacing w:before="0" w:after="283"/>
              <w:jc w:val="left"/>
              <w:rPr/>
            </w:pPr>
            <w:r>
              <w:rPr/>
              <w:t> </w:t>
            </w:r>
          </w:p>
        </w:tc>
      </w:tr>
      <w:tr>
        <w:trPr/>
        <w:tc>
          <w:tcPr>
            <w:tcW w:w="6808"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of property and equipment for the period from February 10, 2022 (inception) to December 31, 2022 and for the year ended December 31, 2023 was $15 thousand and $0.1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5.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6"/>
        <w:gridCol w:w="389"/>
        <w:gridCol w:w="140"/>
        <w:gridCol w:w="1109"/>
        <w:gridCol w:w="60"/>
        <w:gridCol w:w="389"/>
        <w:gridCol w:w="140"/>
        <w:gridCol w:w="1109"/>
        <w:gridCol w:w="63"/>
      </w:tblGrid>
      <w:tr>
        <w:trPr/>
        <w:tc>
          <w:tcPr>
            <w:tcW w:w="6806"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0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9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680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3" w:type="dxa"/>
            <w:tcBorders/>
            <w:vAlign w:val="bottom"/>
          </w:tcPr>
          <w:p>
            <w:pPr>
              <w:pStyle w:val="TableContents"/>
              <w:bidi w:val="0"/>
              <w:spacing w:before="0" w:after="283"/>
              <w:jc w:val="left"/>
              <w:rPr/>
            </w:pPr>
            <w:r>
              <w:rPr/>
              <w:t> </w:t>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r>
              <w:rPr/>
              <w:t>120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2,645</w:t>
            </w:r>
          </w:p>
        </w:tc>
        <w:tc>
          <w:tcPr>
            <w:tcW w:w="63" w:type="dxa"/>
            <w:tcBorders/>
            <w:shd w:fill="CCEEFF" w:val="clear"/>
            <w:vAlign w:val="bottom"/>
          </w:tcPr>
          <w:p>
            <w:pPr>
              <w:pStyle w:val="TableContents"/>
              <w:bidi w:val="0"/>
              <w:spacing w:before="0" w:after="283"/>
              <w:jc w:val="left"/>
              <w:rPr/>
            </w:pPr>
            <w:r>
              <w:rPr/>
              <w:t> </w:t>
            </w:r>
          </w:p>
        </w:tc>
      </w:tr>
      <w:tr>
        <w:trPr/>
        <w:tc>
          <w:tcPr>
            <w:tcW w:w="6806"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r>
              <w:rPr/>
              <w:t>459</w:t>
            </w:r>
          </w:p>
        </w:tc>
        <w:tc>
          <w:tcPr>
            <w:tcW w:w="63" w:type="dxa"/>
            <w:tcBorders/>
            <w:vAlign w:val="bottom"/>
          </w:tcPr>
          <w:p>
            <w:pPr>
              <w:pStyle w:val="TableContents"/>
              <w:bidi w:val="0"/>
              <w:spacing w:before="0" w:after="283"/>
              <w:jc w:val="left"/>
              <w:rPr/>
            </w:pPr>
            <w:r>
              <w:rPr/>
              <w:t> </w:t>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consulting fees</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806" w:type="dxa"/>
            <w:tcBorders/>
          </w:tcPr>
          <w:p>
            <w:pPr>
              <w:pStyle w:val="TableContents"/>
              <w:bidi w:val="0"/>
              <w:spacing w:before="0" w:after="0"/>
              <w:jc w:val="left"/>
              <w:rPr>
                <w:rFonts w:ascii="Times New Roman" w:hAnsi="Times New Roman"/>
                <w:sz w:val="20"/>
              </w:rPr>
            </w:pPr>
            <w:r>
              <w:rPr>
                <w:rFonts w:ascii="Times New Roman" w:hAnsi="Times New Roman"/>
                <w:sz w:val="20"/>
              </w:rPr>
              <w:t>Employee related</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2,413</w:t>
            </w:r>
          </w:p>
        </w:tc>
        <w:tc>
          <w:tcPr>
            <w:tcW w:w="63" w:type="dxa"/>
            <w:tcBorders/>
            <w:vAlign w:val="bottom"/>
          </w:tcPr>
          <w:p>
            <w:pPr>
              <w:pStyle w:val="TableContents"/>
              <w:bidi w:val="0"/>
              <w:spacing w:before="0" w:after="283"/>
              <w:jc w:val="left"/>
              <w:rPr/>
            </w:pPr>
            <w:r>
              <w:rPr/>
              <w:t> </w:t>
            </w:r>
          </w:p>
        </w:tc>
      </w:tr>
      <w:tr>
        <w:trPr/>
        <w:tc>
          <w:tcPr>
            <w:tcW w:w="6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114</w:t>
            </w:r>
          </w:p>
        </w:tc>
        <w:tc>
          <w:tcPr>
            <w:tcW w:w="63" w:type="dxa"/>
            <w:tcBorders/>
            <w:shd w:fill="CCEEFF" w:val="clear"/>
            <w:vAlign w:val="bottom"/>
          </w:tcPr>
          <w:p>
            <w:pPr>
              <w:pStyle w:val="TableContents"/>
              <w:bidi w:val="0"/>
              <w:spacing w:before="0" w:after="283"/>
              <w:jc w:val="left"/>
              <w:rPr/>
            </w:pPr>
            <w:r>
              <w:rPr/>
              <w:t> </w:t>
            </w:r>
          </w:p>
        </w:tc>
      </w:tr>
      <w:tr>
        <w:trPr/>
        <w:tc>
          <w:tcPr>
            <w:tcW w:w="6806"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06" w:type="dxa"/>
            <w:tcBorders/>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213</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5,631</w:t>
            </w:r>
          </w:p>
        </w:tc>
        <w:tc>
          <w:tcPr>
            <w:tcW w:w="63" w:type="dxa"/>
            <w:tcBorders/>
            <w:vAlign w:val="bottom"/>
          </w:tcPr>
          <w:p>
            <w:pPr>
              <w:pStyle w:val="TableContents"/>
              <w:bidi w:val="0"/>
              <w:spacing w:before="0" w:after="283"/>
              <w:jc w:val="left"/>
              <w:rPr/>
            </w:pPr>
            <w:r>
              <w:rPr/>
              <w:t> </w:t>
            </w:r>
          </w:p>
        </w:tc>
      </w:tr>
      <w:tr>
        <w:trPr/>
        <w:tc>
          <w:tcPr>
            <w:tcW w:w="6806"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Convertible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In August and September 2022, the Company issued a total of four Convertible Promissory Notes (the Notes or the Convertible Notes) as part of a series of Convertible Notes to two Related Parties (the Holders) (see Note 13). The Convertible Notes had an aggregate principal amount of $8.0 million, which consisted of $4.0 million to each of the Holders, and bore interest at a rate of 8% per annum computed on the basis of a 365-day year and maturity dates 12 months from the date of issuance. Upon initial issuance the Notes were recorded net of $0.1 million of related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automatically converted into the series of convertible preferred equity securities sold in a qualified financing event with total proceeds not less than $30 million upon the closing of such financing. Holders of the Notes also have the option to convert their Notes into the series of capital stock sold in a non-qualifying financing event. The conversion price shall equal to the lesser of (i) 100% of the per share price paid by investors in the financing event or (ii) a per share price derived from assuming a fully-diluted pre-money valuation for a financing of $10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specified events such as a change of control or sale of substantially all of the Companys assets, the Notes are redeemable at 100% of principal and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in conjunction with the Companys Series A convertible preferred stock financing, the Holders exercised their right to exchange the Notes, plus accrued interest, for an aggregate of 8,182,354 shares of Series A convertible preferred stock. At the time of settlement, the Notes had an unamortized discount of $77 thousand, which was recorded as a loss on extinguishment of debt within interest expense in the consolidated statement of operations and comprehensive loss. The fair value of the Series A convertible preferred stock issued in exchange for the Notes of $8.2 million was offset by $2.1 million related to the Series A preferred stock tranche right liability, as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7.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Series A convertible preferred stock and Series B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Convertible Preferred Stock and Series A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the Company completed its first closing of Series A convertible preferred stock and issued and sold 32,000,000 shares of Series A convertible preferred stock, at a price of $1.00 per share, for cash proceeds of $31.8 million, net of issuance costs of $0.2 million, of which $63 thousand was allocated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tranche right and recognized in the statement of operations and comprehensive loss as general and administrative expense. Contemporaneously, investors converted their Convertible Promissory Notes (Note 6) with a principal and accrued interest amount of $8.2 million for 8,182,354 shares of Series A convertible preferred stock, bringing the total number of shares of Series A convertible preferred stock issued to 40,182,354.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for the Series A convertible preferred stock provided investors the obligation to purchase an additional 60,000,000 shares of Series A convertible preferred stock (the Series A Milestone Tranches) at a price of $1.00 per share in the subsequent second and third tranche closings upon the achievement of specified second and third tranche milestones by the Company or the right to purchase additional shares upon waiving of such milestone achievement by a majority vote of Series A convertible preferred stockholders. Within 30 days prior to a Deemed Liquidation Event (see definition below), investors can also choose to early exercise their tranche right by providing the Company a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Upon the first closing of the Series A convertible preferred stock in December 2022, the Company recorded a preferred stock tranche right liability of $10.4 million and a corresponding reduction to the carrying value of the Series A convertible preferred stock. There was no change in the fair value of the Series A preferred stock tranche right liability from December 9, 2022, to December 31, 2022 and therefore, the Company did not recognize any other income or expenses related to the tranche right liability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Company amended the Series A convertible preferred stock purchase agreement to add an additional investor, who purchased 10,000,000 shares, at the price of $1.00 per share, resulting in cash proceeds of $10.0 million, less $19 thousand of issuance costs and to amend the total number of shares subject to the Series A Milestone Tranches from 60,000,000 to 50,000,000.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amendment to the Series A convertible preferred stock purchase agreement, the Companys existing Series A convertible preferred stockholders agreed to waive the second and third tranche milestones and exercised the tranche right in February 2023. As a result, an aggregate of 50,000,000 shares of Series A convertible preferred stock were issued and sold at a price of $1.00 per share, resulting in total cash proceeds of $50 million, less $61 thousand of issuance costs. As a result of this issuance, the Series A preferred stock tranche right liability with a then fair value of $11.5 million immediately prior to the amendment and waiver, was settled in full and recognized in additional paid-in capital as a capital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Convertible Preferred Stock and Series B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the Company issued and sold 46,504,135 shares of Series B convertible preferred stock, at a price of $1.67727 per share for cash proceeds of $77.3 million, net of issuance costs of $0.7 million, of which $67 thousand was allocated to the tranche right and recognized in the statement of operations and comprehensive loss as general and administrative expense. The 46,504,135 shares include the 10,731,725 shares that were early exercised on the original issuance date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for the Series B convertible preferred stock provided investors the obligation to purchase an additional 42,926,895 shares of Series B convertible preferred stock (the Series B Milestone Tranche) at a price of $1.67727 per share in the subsequent closing upon the achievement of a specified milestone by the Company or the right to purchase additional shares upon waiving of such milestone achievement by a majority vote of Series B convertible preferred stockholders. Additionally, each stockholder of Series B convertible preferred stock has the right to early exercise the tranche right by providing three days advance written notice. Upon the closing of the Series B convertible preferred stock, the Company recorded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preferred stock tranche right liability of $4.6 million and a corresponding reduction to the carrying value of the Series B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original issuance of the Series B convertible preferred stock, six stockholders exercised their right to early exercise the Series B preferred stock tranche right and purchased 10,731,725 shares. Consequently, the Company recognized $1.2 million in additional paid-in capital associated with the simultaneous original issuance and early exercise. Additionally, the investors paid a premium of $1.7 million for these shares over their fair value which was also recorded 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original issuance, one stockholder exercised its right to early exercise the Series B preferred stock tranche right and purchased 4,769,655 shares of Series B convertible preferred stock for cash proceeds of $8.0 million. The fair value of the associated tranche right liability that was settled at the time of the sale of $0.5 million was recognized in additional paid-in capital. Additionally, the investor paid a premium of $0.8 million for these shares over their fair value which was also recorded in additional paid-in capital as a capital contribution.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Company remeasured the Series B tranche right liability to be $4.2 million and recognized $0.1 million in other expense for the change in the fair value of the Series B tranche right liability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Upon issuance of each series of Preferred Stock, the Company assessed the embedded conversion and liquidation features of the securities and determined that such features did not require the Company to separately account for these features. </w:t>
      </w:r>
    </w:p>
    <w:p>
      <w:pPr>
        <w:pStyle w:val="TextBody"/>
        <w:bidi w:val="0"/>
        <w:spacing w:before="240" w:after="0"/>
        <w:jc w:val="left"/>
        <w:rPr>
          <w:rFonts w:ascii="Times New Roman" w:hAnsi="Times New Roman"/>
          <w:sz w:val="20"/>
        </w:rPr>
      </w:pPr>
      <w:r>
        <w:rPr>
          <w:rFonts w:ascii="Times New Roman" w:hAnsi="Times New Roman"/>
          <w:sz w:val="20"/>
        </w:rPr>
        <w:t xml:space="preserve">Convertible Preferred Stock consisted of the following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0"/>
        <w:gridCol w:w="127"/>
        <w:gridCol w:w="60"/>
        <w:gridCol w:w="1245"/>
        <w:gridCol w:w="60"/>
        <w:gridCol w:w="127"/>
        <w:gridCol w:w="60"/>
        <w:gridCol w:w="1245"/>
        <w:gridCol w:w="60"/>
        <w:gridCol w:w="127"/>
        <w:gridCol w:w="147"/>
        <w:gridCol w:w="830"/>
        <w:gridCol w:w="60"/>
        <w:gridCol w:w="127"/>
        <w:gridCol w:w="163"/>
        <w:gridCol w:w="1082"/>
        <w:gridCol w:w="59"/>
        <w:gridCol w:w="127"/>
        <w:gridCol w:w="177"/>
        <w:gridCol w:w="1042"/>
        <w:gridCol w:w="60"/>
        <w:gridCol w:w="127"/>
        <w:gridCol w:w="60"/>
        <w:gridCol w:w="1267"/>
        <w:gridCol w:w="66"/>
      </w:tblGrid>
      <w:tr>
        <w:trPr/>
        <w:tc>
          <w:tcPr>
            <w:tcW w:w="170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31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6"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 Issued</w:t>
              <w:br/>
              <w:t>and</w:t>
              <w:br/>
              <w:t>Outstanding</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Issuable</w:t>
              <w:br/>
              <w:t>Upon</w:t>
              <w:br/>
              <w:t>Conversion</w:t>
            </w:r>
          </w:p>
        </w:tc>
        <w:tc>
          <w:tcPr>
            <w:tcW w:w="66" w:type="dxa"/>
            <w:tcBorders/>
            <w:vAlign w:val="bottom"/>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40,182,354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 </w:t>
            </w:r>
            <w:r>
              <w:rPr/>
              <w:t>29,567</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 </w:t>
            </w:r>
            <w:r>
              <w:rPr/>
              <w:t>40,182</w:t>
            </w:r>
          </w:p>
        </w:tc>
        <w:tc>
          <w:tcPr>
            <w:tcW w:w="5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40,182,354</w:t>
            </w:r>
          </w:p>
        </w:tc>
        <w:tc>
          <w:tcPr>
            <w:tcW w:w="66"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0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100,182,354</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40,182,354</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 </w:t>
            </w:r>
            <w:r>
              <w:rPr/>
              <w:t>29,567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82" w:type="dxa"/>
            <w:tcBorders/>
            <w:vAlign w:val="bottom"/>
          </w:tcPr>
          <w:p>
            <w:pPr>
              <w:pStyle w:val="TableContents"/>
              <w:bidi w:val="0"/>
              <w:spacing w:before="0" w:after="283"/>
              <w:jc w:val="right"/>
              <w:rPr/>
            </w:pPr>
            <w:r>
              <w:rPr/>
              <w:t> </w:t>
            </w:r>
            <w:r>
              <w:rPr/>
              <w:t>40,182</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40,182,354</w:t>
            </w:r>
          </w:p>
        </w:tc>
        <w:tc>
          <w:tcPr>
            <w:tcW w:w="66"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1700" w:type="dxa"/>
            <w:tcBorders/>
            <w:vAlign w:val="center"/>
          </w:tcPr>
          <w:p>
            <w:pPr>
              <w:pStyle w:val="TableContents"/>
              <w:bidi w:val="0"/>
              <w:spacing w:before="0" w:after="283"/>
              <w:jc w:val="left"/>
              <w:rPr>
                <w:sz w:val="4"/>
                <w:szCs w:val="4"/>
              </w:rPr>
            </w:pPr>
            <w:r>
              <w:rPr>
                <w:sz w:val="4"/>
                <w:szCs w:val="4"/>
              </w:rPr>
            </w:r>
          </w:p>
        </w:tc>
        <w:tc>
          <w:tcPr>
            <w:tcW w:w="8505" w:type="dxa"/>
            <w:gridSpan w:val="24"/>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31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 Issued</w:t>
              <w:br/>
              <w:t>and</w:t>
              <w:br/>
              <w:t>Outstanding</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Issuable</w:t>
              <w:br/>
              <w:t>Upon</w:t>
              <w:br/>
              <w:t>Conversion</w:t>
            </w:r>
          </w:p>
        </w:tc>
        <w:tc>
          <w:tcPr>
            <w:tcW w:w="66" w:type="dxa"/>
            <w:tcBorders/>
            <w:vAlign w:val="bottom"/>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 </w:t>
            </w:r>
            <w:r>
              <w:rPr/>
              <w:t>89,487</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 </w:t>
            </w:r>
            <w:r>
              <w:rPr/>
              <w:t>100,182</w:t>
            </w:r>
          </w:p>
        </w:tc>
        <w:tc>
          <w:tcPr>
            <w:tcW w:w="5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100,182,354</w:t>
            </w:r>
          </w:p>
        </w:tc>
        <w:tc>
          <w:tcPr>
            <w:tcW w:w="66" w:type="dxa"/>
            <w:tcBorders/>
            <w:shd w:fill="CCEEFF" w:val="clear"/>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89,431,030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51,273,790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77,091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86,000</w:t>
            </w:r>
          </w:p>
        </w:tc>
        <w:tc>
          <w:tcPr>
            <w:tcW w:w="5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42" w:type="dxa"/>
            <w:tcBorders/>
            <w:vAlign w:val="bottom"/>
          </w:tcPr>
          <w:p>
            <w:pPr>
              <w:pStyle w:val="TableContents"/>
              <w:bidi w:val="0"/>
              <w:spacing w:before="0" w:after="283"/>
              <w:jc w:val="right"/>
              <w:rPr/>
            </w:pPr>
            <w:r>
              <w:rPr/>
              <w:t>1.67727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51,273,790</w:t>
            </w:r>
          </w:p>
        </w:tc>
        <w:tc>
          <w:tcPr>
            <w:tcW w:w="66"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00" w:type="dxa"/>
            <w:tcBorders/>
            <w:shd w:fill="CCEEFF" w:val="clear"/>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189,613,384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151,456,144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166,578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82" w:type="dxa"/>
            <w:tcBorders/>
            <w:shd w:fill="CCEEFF" w:val="clear"/>
            <w:vAlign w:val="bottom"/>
          </w:tcPr>
          <w:p>
            <w:pPr>
              <w:pStyle w:val="TableContents"/>
              <w:bidi w:val="0"/>
              <w:spacing w:before="0" w:after="283"/>
              <w:jc w:val="right"/>
              <w:rPr/>
            </w:pPr>
            <w:r>
              <w:rPr/>
              <w:t>186,182</w:t>
            </w:r>
          </w:p>
        </w:tc>
        <w:tc>
          <w:tcPr>
            <w:tcW w:w="5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151,456,144</w:t>
            </w:r>
          </w:p>
        </w:tc>
        <w:tc>
          <w:tcPr>
            <w:tcW w:w="66"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Preferred Stock are entitled to vote, together with the holders of common stock, as a single class, on all matters submitted to the shareholders for a vote and are entitled to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votes equal to the number of shares of common stock into which the Convertible Preferred Stock could convert on the record date for determination of shareholders entitled to vote. A majority vote of the holders of Convertible Preferred Stock along with a majority vote of the Series B convertible preferred stock (the Required Vote) is required to, among others, liquidate or dissolve the Company, amend the certificate of incorporation or bylaws, reclassify common stock or establish another class of capital stock, create shares that would rank senior to or authorize additional shares of Convertible Preferred Stock, declare a dividend or make a distribution, or change the authorized number of directors constituting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shares of Series A convertible preferred stock, voting exclusively and as a separate class, are entitled to elect up to three directors of the Company. The holders of shares of Series B convertible preferred stock, voting exclusively and as a separate class, are entitled to elect up to two directors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A convertible preferred stock is convertible into common stock, at any time, at the option of the holder, and without the payment of additional consideration, at the applicable conversion ratio then in effect, provided that such holder may waive such option to convert upon written notice to the Company. Holders of Series B convertible preferred stock are not entitled to elect to convert shares of Series B convertible preferred stock into shares of Common Stock at any time during the period commencing on the date of the first issuance of the Series B convertible preferred stock and ending immediately following the earliest to occur of (i) the Series B Milestone Tranche closing, (ii) the achievement of the second tranche milestone, (iii) the date such holders obligation to purchase its Second Tranche Shares is fulfilled, (iv) the termination of such holders obligations to complete the Series B Milestone Tranche closing and (v) such date as agreed to by the Company and the holders of a majority of the then outstanding shares of Series B convertible preferred stock, voting as a separate, exclusive class. In addition, each share of Convertible Preferred Stock will be automatically converted into shares of common stock at the then-effective applicable conversion ratio upon either (i) the closing of a firm-commitment underwritten public offering of its common stock at a price per share of at least $1.71668 resulting in at least $50.0 million of gross proceeds, net of underwriting discount and commissions, to the Company, or (ii) the date specified by vote or written consent of the holders of the Required Vote,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each class of Convertible Preferred Stock is determined by dividing the Applicable Original Issue Price of each class of Convertible Preferred Stock by the Conversion Price of each class. As of December 31, 2022 and 2023, the Conversion Price was $1.00 per share for Series A convertible preferred stock and $1.67727 per share for Series B convertible preferred stock, each subject to appropriate adjustment in the event of any share dividend, share split, combination or other similar recapitalization with respect to the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There shall be no adjustment in the conversion price of the Convertible Preferred Stock as the result of the issuance or deemed issuance of additional shares of the Companys common stock if the Company receives written notice from the holders of the Required Vote of the then outstanding shares of Convertible Preferred Stock agreeing that no such adjustment shall be made as the result of the issuance or deemed issuance of additional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holder of Convertible Preferred Stock who is required to participate in a subsequent closing pursuant to the purchase agreement does not purchase the aggregate number of subsequent closing shares, then each share of Convertible Preferred Stock held by such holder shall automatically be converted into shares of common stock at a ratio of one share of common stock for every ten shares of Convertible Preferred Stock held immediately prior to the consummation of such subsequent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Preferred Stock shall be entitled to receive, only when, as and if declared by the Board of Directors, non-cumulative dividends at the rate of 8% of the Applicable Original Issue Price of the Convertible Preferred Stock (the Preferred Dividend).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declare, pay or set aside any dividends on common shares of the Company unless the holders of Convertible Preferred Stock then outstanding shall first receive, or simultaneously receive, the Preferred Dividend on each outstanding Convertible Preferred Stock and a dividend on each outstanding Convertible Preferred Stock in an amount at least equal to the product of (1) the dividend payable on each share of such class or series determined, as if all shares of such class or series had been converted into common stock and (2) the number of shares of common stock issuable upon conversion of a share of such series of Convertible Preferred Stock, in each case calculated on the record date for determination of the holders entitle to receive such dividend. As of December 31, 2022 and 2023, no cash dividends have been declared or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or upon the occurrence of a Deemed Liquidation Event (as defined below), the holders of shares of Convertible Preferred Stock then outstanding shall be entitled, on a pari passu basis among the series of Convertible Preferred Stock, to be paid out of the assets or funds of the Company available for distribution to stockholders before any payment is made to the holders of common stock. The holders of Convertible Preferred Stock are entitled to an amount per share equal to the greater of (i) the Applicable Original Issue Price, plus any dividends declared but unpaid thereon, or (ii) the amount that would have been payable had all shares of each series of Convertible Preferred Stock been converted into common stock immediately prior to such liquidation, dissolution, winding up or Deemed Liquidation Event (as defined below). After the payment in full of the Convertible Preferred Stock preference amount, the remaining assets of the Company available for distribution to stockholders shall be distributed among the holders of common stock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Unless at least the holders of the Required Vote,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or the closing of the transfer of 50% or more of the Companys outstanding voting stock, or any merger or consolidation in connection with a SPAC transaction or reverse merger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for the contingent redemption upon the occurrence of a Deemed Liquidation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voting, dividend and liquidation rights of the holders of the Companys common stock are subject to and qualified by the rights, powers and preferences of the holders of the Convertible Preferred Stock set forth above. Each share of common stock entitles the holder to one vote, together with the holders of the Convertible Preferred Stock, on all matters submitted to the stockholders for a vote. The holders of common stock are entitled to receive dividends, if any, as declared by the Companys board of directors, subject to the preferential dividend rights of Convertible Preferred Stock. As of December 31, 2022 and 2023, no dividends have been declared or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2022 and 2023, the Company had reserved 102,932,354 and 204,544,236 shares of common stock, respectively, of which 100,182,354 and 189,613,384 were reserved for the potential conversion of shares of Series A convertible preferred stock and Series B convertible preferred stock, respectively, and 2,750,000 and 14,930,852 for issuance under the 2022 Stock Option and Grant Plan.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2022 Stock Option and Grant Plan (the 2022 Plan) provides for the Company to grant incentive stock options (ISO) or non-qualified stock options, unrestricted stock awards, restricted stock awards and restricted stock units (collectively, the Awards) to the employees, directors, and consultants of the Company. The 2022 Plan is administered by the board of directors, or at the discretion of the board of directors, by a committee of the board of directors. The exercise prices, vesting and other restrictions are determined at the discretion of the board of directors, or its committee if so delegated.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total number of shares of common stock authorized and issuable under the 2022 Plan was 2,750,000. In August 2023, the Companys board of directors further increased the number of shares of common stock reserved for issuance under the plan from 2,750,000 shares to 14,930,852 shares. As of December 31, 2023, 1,835,423 shares remain available for future grants. Shares of unused common stock underlying any Awards that are forfeited, canceled or reacquired by the Company prior to vesting will again be available for the grant of awards under the 2022 Plan. As of December 31, 2023, the Company has issued 24,417,402 shares of restricted stock awards outside of the 2022 plan which will be settled using the Companys authorized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for stock options granted may not be less than the 100% of the fair market value of the Companys common stock on the date of grant, as determined by the board of directors. In the case of an ISO granted to an employee who owns stock representing more than 10% of the voting power of all classes of stock (10% Owner) as determined by the board of directors as of the date of grant, the exercise price per share shall not be less than 110% of the fair market value on the grant date. The Companys board of directors determines the fair market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Unless otherwise provided, at the time of grant, the options granted pursuant to the 2022 Plan have a ten year contractual term from the date of grant, or five years from the date of grant in the case of an ISO that is granted to a 10% Owner. </w:t>
      </w:r>
    </w:p>
    <w:p>
      <w:pPr>
        <w:pStyle w:val="TextBody"/>
        <w:bidi w:val="0"/>
        <w:spacing w:before="240" w:after="0"/>
        <w:jc w:val="left"/>
        <w:rPr>
          <w:rFonts w:ascii="Times New Roman" w:hAnsi="Times New Roman"/>
          <w:sz w:val="20"/>
        </w:rPr>
      </w:pPr>
      <w:r>
        <w:rPr>
          <w:rFonts w:ascii="Times New Roman" w:hAnsi="Times New Roman"/>
          <w:sz w:val="20"/>
        </w:rPr>
        <w:t xml:space="preserve">The vesting periods for awards issued inside of the plan generally vest over four years and for awards issued outside of the plan, vesting can differ, however they generally vest over a period of 4 years. Some grantees stock-compensation awards may contain an acceleration vesting clause that would result in their unvested shares to become fully vested upon the occurrence of a change in control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each stock option grant is estimated on the grant date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assumptions used in the Black-Scholes option-pricing model to determine the fair value of stock options granted: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4"/>
        <w:gridCol w:w="553"/>
        <w:gridCol w:w="579"/>
        <w:gridCol w:w="1440"/>
        <w:gridCol w:w="60"/>
        <w:gridCol w:w="553"/>
        <w:gridCol w:w="140"/>
        <w:gridCol w:w="1743"/>
        <w:gridCol w:w="63"/>
      </w:tblGrid>
      <w:tr>
        <w:trPr/>
        <w:tc>
          <w:tcPr>
            <w:tcW w:w="5074"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7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2019"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br/>
              <w:t>from February 10,</w:t>
              <w:br/>
              <w:t>2022 (inception) to</w:t>
            </w:r>
            <w:r>
              <w:rPr/>
              <w:br/>
            </w:r>
            <w:r>
              <w:rPr>
                <w:b/>
              </w:rPr>
              <w:t>December 31,</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5074"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2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5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center"/>
              <w:rPr/>
            </w:pPr>
            <w:r>
              <w:rPr/>
              <w:t>95.45% - 99.20%</w:t>
            </w:r>
          </w:p>
        </w:tc>
        <w:tc>
          <w:tcPr>
            <w:tcW w:w="63" w:type="dxa"/>
            <w:tcBorders/>
            <w:shd w:fill="CCEEFF" w:val="clear"/>
            <w:vAlign w:val="bottom"/>
          </w:tcPr>
          <w:p>
            <w:pPr>
              <w:pStyle w:val="TableContents"/>
              <w:bidi w:val="0"/>
              <w:spacing w:before="0" w:after="283"/>
              <w:jc w:val="left"/>
              <w:rPr/>
            </w:pPr>
            <w:r>
              <w:rPr/>
              <w:t> </w:t>
            </w:r>
          </w:p>
        </w:tc>
      </w:tr>
      <w:tr>
        <w:trPr/>
        <w:tc>
          <w:tcPr>
            <w:tcW w:w="5074"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5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center"/>
              <w:rPr/>
            </w:pPr>
            <w:r>
              <w:rPr/>
              <w:t>4.14% - 4.23%</w:t>
            </w:r>
          </w:p>
        </w:tc>
        <w:tc>
          <w:tcPr>
            <w:tcW w:w="63" w:type="dxa"/>
            <w:tcBorders/>
            <w:vAlign w:val="bottom"/>
          </w:tcPr>
          <w:p>
            <w:pPr>
              <w:pStyle w:val="TableContents"/>
              <w:bidi w:val="0"/>
              <w:spacing w:before="0" w:after="283"/>
              <w:jc w:val="left"/>
              <w:rPr/>
            </w:pPr>
            <w:r>
              <w:rPr/>
              <w:t> </w:t>
            </w:r>
          </w:p>
        </w:tc>
      </w:tr>
      <w:tr>
        <w:trPr/>
        <w:tc>
          <w:tcPr>
            <w:tcW w:w="5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55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center"/>
              <w:rPr/>
            </w:pPr>
            <w:r>
              <w:rPr/>
              <w:t>0.00%</w:t>
            </w:r>
          </w:p>
        </w:tc>
        <w:tc>
          <w:tcPr>
            <w:tcW w:w="63" w:type="dxa"/>
            <w:tcBorders/>
            <w:shd w:fill="CCEEFF" w:val="clear"/>
            <w:vAlign w:val="bottom"/>
          </w:tcPr>
          <w:p>
            <w:pPr>
              <w:pStyle w:val="TableContents"/>
              <w:bidi w:val="0"/>
              <w:spacing w:before="0" w:after="283"/>
              <w:jc w:val="left"/>
              <w:rPr/>
            </w:pPr>
            <w:r>
              <w:rPr/>
              <w:t> </w:t>
            </w:r>
          </w:p>
        </w:tc>
      </w:tr>
      <w:tr>
        <w:trPr/>
        <w:tc>
          <w:tcPr>
            <w:tcW w:w="5074"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55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center"/>
              <w:rPr/>
            </w:pPr>
            <w:r>
              <w:rPr/>
              <w:t>4.0 - 6.0</w:t>
            </w:r>
          </w:p>
        </w:tc>
        <w:tc>
          <w:tcPr>
            <w:tcW w:w="63" w:type="dxa"/>
            <w:tcBorders/>
            <w:vAlign w:val="bottom"/>
          </w:tcPr>
          <w:p>
            <w:pPr>
              <w:pStyle w:val="TableContents"/>
              <w:bidi w:val="0"/>
              <w:spacing w:before="0" w:after="283"/>
              <w:jc w:val="left"/>
              <w:rPr/>
            </w:pPr>
            <w:r>
              <w:rPr/>
              <w:t> </w:t>
            </w:r>
          </w:p>
        </w:tc>
      </w:tr>
      <w:tr>
        <w:trPr/>
        <w:tc>
          <w:tcPr>
            <w:tcW w:w="5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55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     </w:t>
            </w:r>
            <w:r>
              <w:rPr/>
              <w:t>0.74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stock options granted for the period from February 10, 2022 (inception) to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stock option activity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9"/>
        <w:gridCol w:w="236"/>
        <w:gridCol w:w="97"/>
        <w:gridCol w:w="1826"/>
        <w:gridCol w:w="60"/>
        <w:gridCol w:w="236"/>
        <w:gridCol w:w="162"/>
        <w:gridCol w:w="1660"/>
        <w:gridCol w:w="60"/>
        <w:gridCol w:w="236"/>
        <w:gridCol w:w="182"/>
        <w:gridCol w:w="1379"/>
        <w:gridCol w:w="59"/>
        <w:gridCol w:w="236"/>
        <w:gridCol w:w="159"/>
        <w:gridCol w:w="913"/>
        <w:gridCol w:w="65"/>
      </w:tblGrid>
      <w:tr>
        <w:trPr/>
        <w:tc>
          <w:tcPr>
            <w:tcW w:w="2639"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3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per share</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 years)</w:t>
            </w:r>
          </w:p>
        </w:tc>
        <w:tc>
          <w:tcPr>
            <w:tcW w:w="5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 (in</w:t>
              <w:br/>
              <w:t>thousands)</w:t>
            </w:r>
          </w:p>
        </w:tc>
        <w:tc>
          <w:tcPr>
            <w:tcW w:w="65"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2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right"/>
              <w:rPr/>
            </w:pPr>
            <w:r>
              <w:rPr/>
              <w:t>11,790,429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0.21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9"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37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9"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37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Options outstanding at December 31, 2023</w:t>
            </w:r>
          </w:p>
        </w:tc>
        <w:tc>
          <w:tcPr>
            <w:tcW w:w="2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right"/>
              <w:rPr/>
            </w:pPr>
            <w:r>
              <w:rPr/>
              <w:t>11,790,429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660" w:type="dxa"/>
            <w:tcBorders/>
            <w:vAlign w:val="bottom"/>
          </w:tcPr>
          <w:p>
            <w:pPr>
              <w:pStyle w:val="TableContents"/>
              <w:bidi w:val="0"/>
              <w:spacing w:before="0" w:after="283"/>
              <w:jc w:val="right"/>
              <w:rPr/>
            </w:pPr>
            <w:r>
              <w:rPr/>
              <w:t>0.21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9.83</w:t>
            </w:r>
          </w:p>
        </w:tc>
        <w:tc>
          <w:tcPr>
            <w:tcW w:w="5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  </w:t>
            </w:r>
            <w:r>
              <w:rPr/>
              <w:t>6,249</w:t>
            </w:r>
          </w:p>
        </w:tc>
        <w:tc>
          <w:tcPr>
            <w:tcW w:w="65" w:type="dxa"/>
            <w:tcBorders/>
            <w:vAlign w:val="bottom"/>
          </w:tcPr>
          <w:p>
            <w:pPr>
              <w:pStyle w:val="TableContents"/>
              <w:bidi w:val="0"/>
              <w:spacing w:before="0" w:after="283"/>
              <w:jc w:val="left"/>
              <w:rPr/>
            </w:pPr>
            <w:r>
              <w:rPr/>
              <w:t> </w:t>
            </w:r>
          </w:p>
        </w:tc>
      </w:tr>
      <w:tr>
        <w:trPr/>
        <w:tc>
          <w:tcPr>
            <w:tcW w:w="2639"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at December 31, 2023</w:t>
            </w:r>
          </w:p>
        </w:tc>
        <w:tc>
          <w:tcPr>
            <w:tcW w:w="2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at December 31, 2023</w:t>
            </w:r>
          </w:p>
        </w:tc>
        <w:tc>
          <w:tcPr>
            <w:tcW w:w="2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right"/>
              <w:rPr/>
            </w:pPr>
            <w:r>
              <w:rPr/>
              <w:t>11,790,429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660" w:type="dxa"/>
            <w:tcBorders/>
            <w:vAlign w:val="bottom"/>
          </w:tcPr>
          <w:p>
            <w:pPr>
              <w:pStyle w:val="TableContents"/>
              <w:bidi w:val="0"/>
              <w:spacing w:before="0" w:after="283"/>
              <w:jc w:val="right"/>
              <w:rPr/>
            </w:pPr>
            <w:r>
              <w:rPr/>
              <w:t>    </w:t>
            </w:r>
            <w:r>
              <w:rPr/>
              <w:t>0.21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9.83</w:t>
            </w:r>
          </w:p>
        </w:tc>
        <w:tc>
          <w:tcPr>
            <w:tcW w:w="5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6,249</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grant-date fair value of stock options granted for the year ended December 31, 2023 was $0.67 per share. As of December 31, 2023, there was $7.7 million of total unrecognized compensation cost related to unvested stock options. The Company expects to recognize such amount over a remaining weighted-average period of 3.68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Stock Awards (RSA) </w:t>
      </w:r>
    </w:p>
    <w:p>
      <w:pPr>
        <w:pStyle w:val="TextBody"/>
        <w:bidi w:val="0"/>
        <w:spacing w:before="120" w:after="0"/>
        <w:jc w:val="left"/>
        <w:rPr>
          <w:rFonts w:ascii="Times New Roman" w:hAnsi="Times New Roman"/>
          <w:sz w:val="20"/>
        </w:rPr>
      </w:pPr>
      <w:r>
        <w:rPr>
          <w:rFonts w:ascii="Times New Roman" w:hAnsi="Times New Roman"/>
          <w:sz w:val="20"/>
        </w:rPr>
        <w:t xml:space="preserve">The Company awards restricted stock both under the 2022 Plan as well as outside of the 2022 Plan. During the period from February 10, 2022 (inception) to December 31, 2022 and for the year ended December 31, 2023, the Company issued service-based RSAs and performance-based RSAs. </w:t>
      </w:r>
    </w:p>
    <w:p>
      <w:pPr>
        <w:pStyle w:val="TextBody"/>
        <w:bidi w:val="0"/>
        <w:spacing w:before="240" w:after="0"/>
        <w:jc w:val="left"/>
        <w:rPr>
          <w:rFonts w:ascii="Times New Roman" w:hAnsi="Times New Roman"/>
          <w:sz w:val="20"/>
        </w:rPr>
      </w:pPr>
      <w:r>
        <w:rPr>
          <w:rFonts w:ascii="Times New Roman" w:hAnsi="Times New Roman"/>
          <w:sz w:val="20"/>
        </w:rPr>
        <w:t xml:space="preserve">For restricted stock issued under the 2022 Plan, for a period of up to 6 months from a grantees termination, the Company has the right and option to repurchase unvested RSAs at the lower of (i) the original purchase price per share or (ii) the fair market value per share as of the date of the Company elects to exercise its repurchase right. In September 2023, the Company exercised its option to repurchase 400,000 unvested RSAs at their original purchase price after the grantee ceased providing services. </w:t>
      </w:r>
    </w:p>
    <w:p>
      <w:pPr>
        <w:pStyle w:val="TextBody"/>
        <w:bidi w:val="0"/>
        <w:spacing w:before="240" w:after="0"/>
        <w:jc w:val="left"/>
        <w:rPr>
          <w:rFonts w:ascii="Times New Roman" w:hAnsi="Times New Roman"/>
          <w:sz w:val="20"/>
        </w:rPr>
      </w:pPr>
      <w:r>
        <w:rPr>
          <w:rFonts w:ascii="Times New Roman" w:hAnsi="Times New Roman"/>
          <w:sz w:val="20"/>
        </w:rPr>
        <w:t xml:space="preserve">For restricted stock issued outside of the 2022 Plan, for a period of up to 90 days from a grantees termination, the Company has the right and option to repurchase unvested restricted common stock at the original repurchase price per share paid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February 10, 2022 (inception) to December 31, 2022, the Company issued 12,212,269 shares of restricted stock outside of the 2022 Plan. For the year ended December 31, 2023, the Company issued 12,205,133 shares of restricted stock outside of the 2022 Plan and 1,705,000 shares of restricted stock under the 2022 Plan. Shares of restricted common stock granted to employees and directors are not deemed, for accounting purposes, to be outstanding until those shares have vested.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from February 10, 2022 (inception) to December 31, 2022, 14,563,417 service-based restricted shares and 6,161,602 performance-based restricted shares were legally issued, but 4,661,747 and 3,851,003 shares, respectively, were not considered granted for accounting purposes because individuals did not begin providing services until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Each award type is discussed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Service-Based RSAs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the RSAs have service-based vesting conditions and vest over a period from immediately to four years. Compensation expense is recognized on a straight-line basis over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service-based RSA grant activity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0"/>
        <w:gridCol w:w="303"/>
        <w:gridCol w:w="60"/>
        <w:gridCol w:w="1232"/>
        <w:gridCol w:w="155"/>
        <w:gridCol w:w="271"/>
        <w:gridCol w:w="172"/>
        <w:gridCol w:w="1519"/>
        <w:gridCol w:w="63"/>
      </w:tblGrid>
      <w:tr>
        <w:trPr/>
        <w:tc>
          <w:tcPr>
            <w:tcW w:w="643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3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RSAs       </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r>
          </w:p>
        </w:tc>
        <w:tc>
          <w:tcPr>
            <w:tcW w:w="63" w:type="dxa"/>
            <w:tcBorders/>
            <w:vAlign w:val="bottom"/>
          </w:tcPr>
          <w:p>
            <w:pPr>
              <w:pStyle w:val="TableContents"/>
              <w:bidi w:val="0"/>
              <w:spacing w:before="0" w:after="283"/>
              <w:jc w:val="left"/>
              <w:rPr/>
            </w:pPr>
            <w:r>
              <w:rPr/>
              <w:t> </w:t>
            </w:r>
          </w:p>
        </w:tc>
      </w:tr>
      <w:tr>
        <w:trPr/>
        <w:tc>
          <w:tcPr>
            <w:tcW w:w="6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December 31, 2022</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8,448,769</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519" w:type="dxa"/>
            <w:tcBorders/>
            <w:shd w:fill="CCEEFF" w:val="clear"/>
            <w:vAlign w:val="bottom"/>
          </w:tcPr>
          <w:p>
            <w:pPr>
              <w:pStyle w:val="TableContents"/>
              <w:bidi w:val="0"/>
              <w:spacing w:before="0" w:after="283"/>
              <w:jc w:val="right"/>
              <w:rPr/>
            </w:pPr>
            <w:r>
              <w:rPr/>
              <w:t>    </w:t>
            </w:r>
            <w:r>
              <w:rPr/>
              <w:t>0.34</w:t>
            </w:r>
          </w:p>
        </w:tc>
        <w:tc>
          <w:tcPr>
            <w:tcW w:w="63" w:type="dxa"/>
            <w:tcBorders/>
            <w:shd w:fill="CCEEFF" w:val="clear"/>
            <w:vAlign w:val="bottom"/>
          </w:tcPr>
          <w:p>
            <w:pPr>
              <w:pStyle w:val="TableContents"/>
              <w:bidi w:val="0"/>
              <w:spacing w:before="0" w:after="283"/>
              <w:jc w:val="left"/>
              <w:rPr/>
            </w:pPr>
            <w:r>
              <w:rPr/>
              <w:t> </w:t>
            </w:r>
          </w:p>
        </w:tc>
      </w:tr>
      <w:tr>
        <w:trPr/>
        <w:tc>
          <w:tcPr>
            <w:tcW w:w="643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9,196,504</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0.49</w:t>
            </w:r>
          </w:p>
        </w:tc>
        <w:tc>
          <w:tcPr>
            <w:tcW w:w="63" w:type="dxa"/>
            <w:tcBorders/>
            <w:vAlign w:val="bottom"/>
          </w:tcPr>
          <w:p>
            <w:pPr>
              <w:pStyle w:val="TableContents"/>
              <w:bidi w:val="0"/>
              <w:spacing w:before="0" w:after="283"/>
              <w:jc w:val="left"/>
              <w:rPr/>
            </w:pPr>
            <w:r>
              <w:rPr/>
              <w:t> </w:t>
            </w:r>
          </w:p>
        </w:tc>
      </w:tr>
      <w:tr>
        <w:trPr/>
        <w:tc>
          <w:tcPr>
            <w:tcW w:w="6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(3,661,404</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19" w:type="dxa"/>
            <w:tcBorders/>
            <w:shd w:fill="CCEEFF" w:val="clear"/>
            <w:vAlign w:val="bottom"/>
          </w:tcPr>
          <w:p>
            <w:pPr>
              <w:pStyle w:val="TableContents"/>
              <w:bidi w:val="0"/>
              <w:spacing w:before="0" w:after="283"/>
              <w:jc w:val="right"/>
              <w:rPr/>
            </w:pPr>
            <w:r>
              <w:rPr/>
              <w:t>0.39</w:t>
            </w:r>
          </w:p>
        </w:tc>
        <w:tc>
          <w:tcPr>
            <w:tcW w:w="63" w:type="dxa"/>
            <w:tcBorders/>
            <w:shd w:fill="CCEEFF" w:val="clear"/>
            <w:vAlign w:val="bottom"/>
          </w:tcPr>
          <w:p>
            <w:pPr>
              <w:pStyle w:val="TableContents"/>
              <w:bidi w:val="0"/>
              <w:spacing w:before="0" w:after="283"/>
              <w:jc w:val="left"/>
              <w:rPr/>
            </w:pPr>
            <w:r>
              <w:rPr/>
              <w:t> </w:t>
            </w:r>
          </w:p>
        </w:tc>
      </w:tr>
      <w:tr>
        <w:trPr/>
        <w:tc>
          <w:tcPr>
            <w:tcW w:w="643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(400,000</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19" w:type="dxa"/>
            <w:tcBorders/>
            <w:vAlign w:val="bottom"/>
          </w:tcPr>
          <w:p>
            <w:pPr>
              <w:pStyle w:val="TableContents"/>
              <w:bidi w:val="0"/>
              <w:spacing w:before="0" w:after="283"/>
              <w:jc w:val="right"/>
              <w:rPr/>
            </w:pPr>
            <w:r>
              <w:rPr/>
              <w:t>0.53</w:t>
            </w:r>
          </w:p>
        </w:tc>
        <w:tc>
          <w:tcPr>
            <w:tcW w:w="63" w:type="dxa"/>
            <w:tcBorders/>
            <w:vAlign w:val="bottom"/>
          </w:tcPr>
          <w:p>
            <w:pPr>
              <w:pStyle w:val="TableContents"/>
              <w:bidi w:val="0"/>
              <w:spacing w:before="0" w:after="283"/>
              <w:jc w:val="left"/>
              <w:rPr/>
            </w:pPr>
            <w:r>
              <w:rPr/>
              <w:t> </w:t>
            </w:r>
          </w:p>
        </w:tc>
      </w:tr>
      <w:tr>
        <w:trPr/>
        <w:tc>
          <w:tcPr>
            <w:tcW w:w="643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5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December 31, 2023</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13,583,869</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519" w:type="dxa"/>
            <w:tcBorders/>
            <w:shd w:fill="CCEEFF" w:val="clear"/>
            <w:vAlign w:val="bottom"/>
          </w:tcPr>
          <w:p>
            <w:pPr>
              <w:pStyle w:val="TableContents"/>
              <w:bidi w:val="0"/>
              <w:spacing w:before="0" w:after="283"/>
              <w:jc w:val="right"/>
              <w:rPr/>
            </w:pPr>
            <w:r>
              <w:rPr/>
              <w:t>0.42</w:t>
            </w:r>
          </w:p>
        </w:tc>
        <w:tc>
          <w:tcPr>
            <w:tcW w:w="63" w:type="dxa"/>
            <w:tcBorders/>
            <w:shd w:fill="CCEEFF" w:val="clear"/>
            <w:vAlign w:val="bottom"/>
          </w:tcPr>
          <w:p>
            <w:pPr>
              <w:pStyle w:val="TableContents"/>
              <w:bidi w:val="0"/>
              <w:spacing w:before="0" w:after="283"/>
              <w:jc w:val="left"/>
              <w:rPr/>
            </w:pPr>
            <w:r>
              <w:rPr/>
              <w:t> </w:t>
            </w:r>
          </w:p>
        </w:tc>
      </w:tr>
      <w:tr>
        <w:trPr/>
        <w:tc>
          <w:tcPr>
            <w:tcW w:w="643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51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fair value of service-based RSAs that vested during the period from February 10, 2022 (inception) to December 31, 2022 and for the year ended December 31, 2023, was $0.5 million and $2.2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respectively. The aggregate intrinsic value of restricted stock awards is calculated as the positive difference between the prices paid, if any, of the restricted stock awards and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$5.4 million of total unrecognized compensation cost related to unvested service-based RSAs which the Company expects to recognize over a weighted-average period of 2.96 years. </w:t>
      </w:r>
    </w:p>
    <w:p>
      <w:pPr>
        <w:pStyle w:val="TextBody"/>
        <w:bidi w:val="0"/>
        <w:spacing w:before="240" w:after="0"/>
        <w:jc w:val="left"/>
        <w:rPr>
          <w:rFonts w:ascii="Times New Roman" w:hAnsi="Times New Roman"/>
          <w:i/>
          <w:sz w:val="20"/>
        </w:rPr>
      </w:pPr>
      <w:r>
        <w:rPr>
          <w:rFonts w:ascii="Times New Roman" w:hAnsi="Times New Roman"/>
          <w:i/>
          <w:sz w:val="20"/>
        </w:rPr>
        <w:t xml:space="preserve">Performance-Based RSAs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performance-based RSAs to certain employees and directors with a vesting commencement date contingent upon the subsequent closing of the Companys Series A convertible preferred stock financing. The Company has determined that it has met all the conditions to establish the grant date for these performance-based RSAs at the original issuance date. Therefore, these awards are deemed to contain an implied performance condition. The vesting of the performance-based RSAs is also subject to grantees continued service until the 4th anniversary date of the closing of a subsequent financing. </w:t>
      </w:r>
    </w:p>
    <w:p>
      <w:pPr>
        <w:pStyle w:val="TextBody"/>
        <w:bidi w:val="0"/>
        <w:spacing w:before="240" w:after="0"/>
        <w:jc w:val="left"/>
        <w:rPr>
          <w:rFonts w:ascii="Times New Roman" w:hAnsi="Times New Roman"/>
          <w:sz w:val="20"/>
        </w:rPr>
      </w:pPr>
      <w:r>
        <w:rPr>
          <w:rFonts w:ascii="Times New Roman" w:hAnsi="Times New Roman"/>
          <w:sz w:val="20"/>
        </w:rPr>
        <w:t xml:space="preserve">Share-based compensation expense associated with the performance-based RSAs is recognized if the performance condition is considered probable of achievement. As of December 31, 2022, the Company has concluded that it was not probable that the performance condition related to performance-based RSAs would be achieved, and as a result no compensation expense was recorded. In February 2023, the existing Series A convertible preferred stock investors waived the second and third tranche milestones and the Company closed on the sale of its second and third tranches of Series A convertible preferred stock. As a result, the performance condition was deemed to be met. The Company recognized $1.6 million of compensation expense for the performance-based RSAs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performance-based RSA grant activity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2"/>
        <w:gridCol w:w="304"/>
        <w:gridCol w:w="60"/>
        <w:gridCol w:w="1317"/>
        <w:gridCol w:w="155"/>
        <w:gridCol w:w="269"/>
        <w:gridCol w:w="177"/>
        <w:gridCol w:w="1487"/>
        <w:gridCol w:w="64"/>
      </w:tblGrid>
      <w:tr>
        <w:trPr/>
        <w:tc>
          <w:tcPr>
            <w:tcW w:w="6372"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RSAs  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 Grant</w:t>
              <w:br/>
              <w:t>Date Fair Value</w:t>
            </w:r>
          </w:p>
        </w:tc>
        <w:tc>
          <w:tcPr>
            <w:tcW w:w="64" w:type="dxa"/>
            <w:tcBorders/>
            <w:vAlign w:val="bottom"/>
          </w:tcPr>
          <w:p>
            <w:pPr>
              <w:pStyle w:val="TableContents"/>
              <w:bidi w:val="0"/>
              <w:spacing w:before="0" w:after="283"/>
              <w:jc w:val="left"/>
              <w:rPr/>
            </w:pPr>
            <w:r>
              <w:rPr/>
              <w:t> </w:t>
            </w:r>
          </w:p>
        </w:tc>
      </w:tr>
      <w:tr>
        <w:trPr/>
        <w:tc>
          <w:tcPr>
            <w:tcW w:w="6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December 31, 2022</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2,310,600</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    </w:t>
            </w:r>
            <w:r>
              <w:rPr/>
              <w:t>0.34</w:t>
            </w:r>
          </w:p>
        </w:tc>
        <w:tc>
          <w:tcPr>
            <w:tcW w:w="64" w:type="dxa"/>
            <w:tcBorders/>
            <w:shd w:fill="CCEEFF" w:val="clear"/>
            <w:vAlign w:val="bottom"/>
          </w:tcPr>
          <w:p>
            <w:pPr>
              <w:pStyle w:val="TableContents"/>
              <w:bidi w:val="0"/>
              <w:spacing w:before="0" w:after="283"/>
              <w:jc w:val="left"/>
              <w:rPr/>
            </w:pPr>
            <w:r>
              <w:rPr/>
              <w:t> </w:t>
            </w:r>
          </w:p>
        </w:tc>
      </w:tr>
      <w:tr>
        <w:trPr/>
        <w:tc>
          <w:tcPr>
            <w:tcW w:w="637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4,713,629</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0.46</w:t>
            </w:r>
          </w:p>
        </w:tc>
        <w:tc>
          <w:tcPr>
            <w:tcW w:w="64" w:type="dxa"/>
            <w:tcBorders/>
            <w:vAlign w:val="bottom"/>
          </w:tcPr>
          <w:p>
            <w:pPr>
              <w:pStyle w:val="TableContents"/>
              <w:bidi w:val="0"/>
              <w:spacing w:before="0" w:after="283"/>
              <w:jc w:val="left"/>
              <w:rPr/>
            </w:pPr>
            <w:r>
              <w:rPr/>
              <w:t> </w:t>
            </w:r>
          </w:p>
        </w:tc>
      </w:tr>
      <w:tr>
        <w:trPr/>
        <w:tc>
          <w:tcPr>
            <w:tcW w:w="6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(1,463,381</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0.42</w:t>
            </w:r>
          </w:p>
        </w:tc>
        <w:tc>
          <w:tcPr>
            <w:tcW w:w="64" w:type="dxa"/>
            <w:tcBorders/>
            <w:shd w:fill="CCEEFF" w:val="clear"/>
            <w:vAlign w:val="bottom"/>
          </w:tcPr>
          <w:p>
            <w:pPr>
              <w:pStyle w:val="TableContents"/>
              <w:bidi w:val="0"/>
              <w:spacing w:before="0" w:after="283"/>
              <w:jc w:val="left"/>
              <w:rPr/>
            </w:pPr>
            <w:r>
              <w:rPr/>
              <w:t> </w:t>
            </w:r>
          </w:p>
        </w:tc>
      </w:tr>
      <w:tr>
        <w:trPr/>
        <w:tc>
          <w:tcPr>
            <w:tcW w:w="6372"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37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December 31, 2023</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5,560,848</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0.42</w:t>
            </w:r>
          </w:p>
        </w:tc>
        <w:tc>
          <w:tcPr>
            <w:tcW w:w="64" w:type="dxa"/>
            <w:tcBorders/>
            <w:shd w:fill="CCEEFF" w:val="clear"/>
            <w:vAlign w:val="bottom"/>
          </w:tcPr>
          <w:p>
            <w:pPr>
              <w:pStyle w:val="TableContents"/>
              <w:bidi w:val="0"/>
              <w:spacing w:before="0" w:after="283"/>
              <w:jc w:val="left"/>
              <w:rPr/>
            </w:pPr>
            <w:r>
              <w:rPr/>
              <w:t> </w:t>
            </w:r>
          </w:p>
        </w:tc>
      </w:tr>
      <w:tr>
        <w:trPr/>
        <w:tc>
          <w:tcPr>
            <w:tcW w:w="6372"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fair value of performance-based RSAs that vested during the period from February 10, 2022 (inception) to December 31, 2022 and for the year ended December 31, 2023, was zero and $0.8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restricted stock awards is calculated as the positive difference between the prices paid, if any, of the restricted stock awards and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$1.3 million of total unrecognized compensation cost related to unvested performance-based restricted common stock which the Company expects to recognize over a weighted-average period of 1.88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for stock options of zero and $0.2 million and for RSAs of $0.6 million and $3.3 million in the period from February 10, 2022 (inception) to December 31, 2022, and during the year ended December 31, 2023, respectively. The following table below summarizes the classification of the Companys stock-based compensation expense related to stock options and restricted common stock awards in the consolidated statements of operations and comprehensive loss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54"/>
        <w:gridCol w:w="218"/>
        <w:gridCol w:w="172"/>
        <w:gridCol w:w="1531"/>
        <w:gridCol w:w="60"/>
        <w:gridCol w:w="218"/>
        <w:gridCol w:w="166"/>
        <w:gridCol w:w="1520"/>
        <w:gridCol w:w="66"/>
      </w:tblGrid>
      <w:tr>
        <w:trPr/>
        <w:tc>
          <w:tcPr>
            <w:tcW w:w="625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25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703" w:type="dxa"/>
            <w:gridSpan w:val="2"/>
            <w:tcBorders>
              <w:bottom w:val="single" w:sz="8" w:space="0" w:color="000000"/>
            </w:tcBorders>
            <w:tcMar>
              <w:bottom w:w="28" w:type="dxa"/>
            </w:tcMar>
            <w:vAlign w:val="bottom"/>
          </w:tcPr>
          <w:p>
            <w:pPr>
              <w:pStyle w:val="TableContents"/>
              <w:bidi w:val="0"/>
              <w:spacing w:before="0" w:after="283"/>
              <w:jc w:val="center"/>
              <w:rPr/>
            </w:pPr>
            <w:r>
              <w:rPr>
                <w:b/>
              </w:rPr>
              <w:t>Period from</w:t>
            </w:r>
            <w:r>
              <w:rPr/>
              <w:br/>
            </w:r>
            <w:r>
              <w:rPr>
                <w:b/>
              </w:rPr>
              <w:t>February 10,</w:t>
            </w:r>
            <w:r>
              <w:rPr/>
              <w:br/>
            </w:r>
            <w:r>
              <w:rPr>
                <w:b/>
              </w:rPr>
              <w:t>2022 (inception)</w:t>
            </w:r>
            <w:r>
              <w:rPr/>
              <w:br/>
            </w:r>
            <w:r>
              <w:rPr>
                <w:b/>
              </w:rPr>
              <w:t>to December 31,</w:t>
            </w:r>
            <w:r>
              <w:rPr/>
              <w:br/>
            </w:r>
            <w:r>
              <w:rPr>
                <w:b/>
              </w:rPr>
              <w:t>2022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      2023      </w:t>
            </w:r>
          </w:p>
        </w:tc>
        <w:tc>
          <w:tcPr>
            <w:tcW w:w="66" w:type="dxa"/>
            <w:tcBorders/>
            <w:vAlign w:val="bottom"/>
          </w:tcPr>
          <w:p>
            <w:pPr>
              <w:pStyle w:val="TableContents"/>
              <w:bidi w:val="0"/>
              <w:spacing w:before="0" w:after="283"/>
              <w:jc w:val="left"/>
              <w:rPr/>
            </w:pPr>
            <w:r>
              <w:rPr/>
              <w:t> </w:t>
            </w:r>
          </w:p>
        </w:tc>
      </w:tr>
      <w:tr>
        <w:trPr/>
        <w:tc>
          <w:tcPr>
            <w:tcW w:w="6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    </w:t>
            </w:r>
            <w:r>
              <w:rPr/>
              <w:t>53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   </w:t>
            </w:r>
            <w:r>
              <w:rPr/>
              <w:t>1,637</w:t>
            </w:r>
          </w:p>
        </w:tc>
        <w:tc>
          <w:tcPr>
            <w:tcW w:w="66" w:type="dxa"/>
            <w:tcBorders/>
            <w:shd w:fill="CCEEFF" w:val="clear"/>
            <w:vAlign w:val="bottom"/>
          </w:tcPr>
          <w:p>
            <w:pPr>
              <w:pStyle w:val="TableContents"/>
              <w:bidi w:val="0"/>
              <w:spacing w:before="0" w:after="283"/>
              <w:jc w:val="left"/>
              <w:rPr/>
            </w:pPr>
            <w:r>
              <w:rPr/>
              <w:t> </w:t>
            </w:r>
          </w:p>
        </w:tc>
      </w:tr>
      <w:tr>
        <w:trPr/>
        <w:tc>
          <w:tcPr>
            <w:tcW w:w="625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506</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1,888</w:t>
            </w:r>
          </w:p>
        </w:tc>
        <w:tc>
          <w:tcPr>
            <w:tcW w:w="66" w:type="dxa"/>
            <w:tcBorders/>
            <w:vAlign w:val="bottom"/>
          </w:tcPr>
          <w:p>
            <w:pPr>
              <w:pStyle w:val="TableContents"/>
              <w:bidi w:val="0"/>
              <w:spacing w:before="0" w:after="283"/>
              <w:jc w:val="left"/>
              <w:rPr/>
            </w:pPr>
            <w:r>
              <w:rPr/>
              <w:t> </w:t>
            </w:r>
          </w:p>
        </w:tc>
      </w:tr>
      <w:tr>
        <w:trPr/>
        <w:tc>
          <w:tcPr>
            <w:tcW w:w="625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254" w:type="dxa"/>
            <w:tcBorders/>
            <w:shd w:fill="CCEEFF" w:val="clear"/>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3,525</w:t>
            </w:r>
          </w:p>
        </w:tc>
        <w:tc>
          <w:tcPr>
            <w:tcW w:w="66" w:type="dxa"/>
            <w:tcBorders/>
            <w:shd w:fill="CCEEFF" w:val="clear"/>
            <w:vAlign w:val="bottom"/>
          </w:tcPr>
          <w:p>
            <w:pPr>
              <w:pStyle w:val="TableContents"/>
              <w:bidi w:val="0"/>
              <w:spacing w:before="0" w:after="283"/>
              <w:jc w:val="left"/>
              <w:rPr/>
            </w:pPr>
            <w:r>
              <w:rPr/>
              <w:t> </w:t>
            </w:r>
          </w:p>
        </w:tc>
      </w:tr>
      <w:tr>
        <w:trPr/>
        <w:tc>
          <w:tcPr>
            <w:tcW w:w="625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52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June 2023, the Company entered into a lease for its corporate headquarters in Boston, Massachusetts. The lease commenced August 31, 2023 with an initial term of 40 months. The monthly lease payments are $66 thousand for the first 12 months, with 2% escalation each year. In conjunction with the lease, the Company paid a security deposit of $0.1 million, which is recorded on the Companys consolidated balance sheet as restricted cash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Right-of-use lease assets and lease liabilities are reported in the Companys consolidated balance sheets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6"/>
        <w:gridCol w:w="224"/>
        <w:gridCol w:w="217"/>
        <w:gridCol w:w="1626"/>
        <w:gridCol w:w="60"/>
        <w:gridCol w:w="224"/>
        <w:gridCol w:w="180"/>
        <w:gridCol w:w="1644"/>
        <w:gridCol w:w="64"/>
      </w:tblGrid>
      <w:tr>
        <w:trPr/>
        <w:tc>
          <w:tcPr>
            <w:tcW w:w="5966"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6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3" w:type="dxa"/>
            <w:gridSpan w:val="2"/>
            <w:tcBorders>
              <w:bottom w:val="single" w:sz="8" w:space="0" w:color="000000"/>
            </w:tcBorders>
            <w:tcMar>
              <w:bottom w:w="28" w:type="dxa"/>
            </w:tcMar>
            <w:vAlign w:val="bottom"/>
          </w:tcPr>
          <w:p>
            <w:pPr>
              <w:pStyle w:val="TableContents"/>
              <w:bidi w:val="0"/>
              <w:spacing w:before="0" w:after="283"/>
              <w:jc w:val="center"/>
              <w:rPr/>
            </w:pPr>
            <w:r>
              <w:rPr>
                <w:b/>
              </w:rPr>
              <w:t>Period from</w:t>
            </w:r>
            <w:r>
              <w:rPr/>
              <w:br/>
            </w:r>
            <w:r>
              <w:rPr>
                <w:b/>
              </w:rPr>
              <w:t>February 10,</w:t>
            </w:r>
            <w:r>
              <w:rPr/>
              <w:br/>
            </w:r>
            <w:r>
              <w:rPr>
                <w:b/>
              </w:rPr>
              <w:t>2022 (inception)</w:t>
            </w:r>
            <w:r>
              <w:rPr/>
              <w:br/>
            </w:r>
            <w:r>
              <w:rPr>
                <w:b/>
              </w:rPr>
              <w:t>to December 31,</w:t>
            </w:r>
            <w:r>
              <w:rPr/>
              <w:br/>
            </w:r>
            <w:r>
              <w:rPr>
                <w:b/>
              </w:rPr>
              <w:t>2022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      2023      </w:t>
            </w:r>
          </w:p>
        </w:tc>
        <w:tc>
          <w:tcPr>
            <w:tcW w:w="64" w:type="dxa"/>
            <w:tcBorders/>
            <w:vAlign w:val="bottom"/>
          </w:tcPr>
          <w:p>
            <w:pPr>
              <w:pStyle w:val="TableContents"/>
              <w:bidi w:val="0"/>
              <w:spacing w:before="0" w:after="283"/>
              <w:jc w:val="left"/>
              <w:rPr/>
            </w:pPr>
            <w:r>
              <w:rPr/>
              <w:t> </w:t>
            </w:r>
          </w:p>
        </w:tc>
      </w:tr>
      <w:tr>
        <w:trPr/>
        <w:tc>
          <w:tcPr>
            <w:tcW w:w="59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lease</w:t>
            </w:r>
          </w:p>
        </w:tc>
        <w:tc>
          <w:tcPr>
            <w:tcW w:w="22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64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22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626"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644" w:type="dxa"/>
            <w:tcBorders/>
            <w:vAlign w:val="bottom"/>
          </w:tcPr>
          <w:p>
            <w:pPr>
              <w:pStyle w:val="TableContents"/>
              <w:bidi w:val="0"/>
              <w:spacing w:before="0" w:after="283"/>
              <w:jc w:val="right"/>
              <w:rPr/>
            </w:pPr>
            <w:r>
              <w:rPr/>
              <w:t>   </w:t>
            </w:r>
            <w:r>
              <w:rPr/>
              <w:t>2,084</w:t>
            </w:r>
          </w:p>
        </w:tc>
        <w:tc>
          <w:tcPr>
            <w:tcW w:w="64" w:type="dxa"/>
            <w:tcBorders/>
            <w:vAlign w:val="bottom"/>
          </w:tcPr>
          <w:p>
            <w:pPr>
              <w:pStyle w:val="TableContents"/>
              <w:bidi w:val="0"/>
              <w:spacing w:before="0" w:after="283"/>
              <w:jc w:val="left"/>
              <w:rPr/>
            </w:pPr>
            <w:r>
              <w:rPr/>
              <w:t> </w:t>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liabilities, current</w:t>
            </w:r>
          </w:p>
        </w:tc>
        <w:tc>
          <w:tcPr>
            <w:tcW w:w="22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670</w:t>
            </w:r>
          </w:p>
        </w:tc>
        <w:tc>
          <w:tcPr>
            <w:tcW w:w="64" w:type="dxa"/>
            <w:tcBorders/>
            <w:shd w:fill="CCEEFF" w:val="clear"/>
            <w:vAlign w:val="bottom"/>
          </w:tcPr>
          <w:p>
            <w:pPr>
              <w:pStyle w:val="TableContents"/>
              <w:bidi w:val="0"/>
              <w:spacing w:before="0" w:after="283"/>
              <w:jc w:val="left"/>
              <w:rPr/>
            </w:pPr>
            <w:r>
              <w:rPr/>
              <w:t> </w:t>
            </w:r>
          </w:p>
        </w:tc>
      </w:tr>
      <w:tr>
        <w:trPr/>
        <w:tc>
          <w:tcPr>
            <w:tcW w:w="596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liabilities, non-current</w:t>
            </w:r>
          </w:p>
        </w:tc>
        <w:tc>
          <w:tcPr>
            <w:tcW w:w="22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1,476</w:t>
            </w:r>
          </w:p>
        </w:tc>
        <w:tc>
          <w:tcPr>
            <w:tcW w:w="64" w:type="dxa"/>
            <w:tcBorders/>
            <w:vAlign w:val="bottom"/>
          </w:tcPr>
          <w:p>
            <w:pPr>
              <w:pStyle w:val="TableContents"/>
              <w:bidi w:val="0"/>
              <w:spacing w:before="0" w:after="283"/>
              <w:jc w:val="left"/>
              <w:rPr/>
            </w:pPr>
            <w:r>
              <w:rPr/>
              <w:t> </w:t>
            </w:r>
          </w:p>
        </w:tc>
      </w:tr>
      <w:tr>
        <w:trPr/>
        <w:tc>
          <w:tcPr>
            <w:tcW w:w="596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64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22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644" w:type="dxa"/>
            <w:tcBorders/>
            <w:shd w:fill="CCEEFF" w:val="clear"/>
            <w:vAlign w:val="bottom"/>
          </w:tcPr>
          <w:p>
            <w:pPr>
              <w:pStyle w:val="TableContents"/>
              <w:bidi w:val="0"/>
              <w:spacing w:before="0" w:after="283"/>
              <w:jc w:val="right"/>
              <w:rPr/>
            </w:pPr>
            <w:r>
              <w:rPr/>
              <w:t>2,146</w:t>
            </w:r>
          </w:p>
        </w:tc>
        <w:tc>
          <w:tcPr>
            <w:tcW w:w="64" w:type="dxa"/>
            <w:tcBorders/>
            <w:shd w:fill="CCEEFF" w:val="clear"/>
            <w:vAlign w:val="bottom"/>
          </w:tcPr>
          <w:p>
            <w:pPr>
              <w:pStyle w:val="TableContents"/>
              <w:bidi w:val="0"/>
              <w:spacing w:before="0" w:after="283"/>
              <w:jc w:val="left"/>
              <w:rPr/>
            </w:pPr>
            <w:r>
              <w:rPr/>
              <w:t> </w:t>
            </w:r>
          </w:p>
        </w:tc>
      </w:tr>
      <w:tr>
        <w:trPr/>
        <w:tc>
          <w:tcPr>
            <w:tcW w:w="596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64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operating lease costs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94"/>
        <w:gridCol w:w="226"/>
        <w:gridCol w:w="191"/>
        <w:gridCol w:w="1593"/>
        <w:gridCol w:w="60"/>
        <w:gridCol w:w="226"/>
        <w:gridCol w:w="181"/>
        <w:gridCol w:w="1370"/>
        <w:gridCol w:w="64"/>
      </w:tblGrid>
      <w:tr>
        <w:trPr/>
        <w:tc>
          <w:tcPr>
            <w:tcW w:w="629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9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784" w:type="dxa"/>
            <w:gridSpan w:val="2"/>
            <w:tcBorders>
              <w:bottom w:val="single" w:sz="8" w:space="0" w:color="000000"/>
            </w:tcBorders>
            <w:tcMar>
              <w:bottom w:w="28" w:type="dxa"/>
            </w:tcMar>
            <w:vAlign w:val="bottom"/>
          </w:tcPr>
          <w:p>
            <w:pPr>
              <w:pStyle w:val="TableContents"/>
              <w:bidi w:val="0"/>
              <w:spacing w:before="0" w:after="283"/>
              <w:jc w:val="center"/>
              <w:rPr/>
            </w:pPr>
            <w:r>
              <w:rPr>
                <w:b/>
              </w:rPr>
              <w:t>Period from</w:t>
            </w:r>
            <w:r>
              <w:rPr/>
              <w:br/>
            </w:r>
            <w:r>
              <w:rPr>
                <w:b/>
              </w:rPr>
              <w:t>February 10,</w:t>
            </w:r>
            <w:r>
              <w:rPr/>
              <w:br/>
            </w:r>
            <w:r>
              <w:rPr>
                <w:b/>
              </w:rPr>
              <w:t>2022 (inception)</w:t>
            </w:r>
            <w:r>
              <w:rPr/>
              <w:br/>
            </w:r>
            <w:r>
              <w:rPr>
                <w:b/>
              </w:rPr>
              <w:t>to December 31,</w:t>
            </w:r>
            <w:r>
              <w:rPr/>
              <w:br/>
            </w:r>
            <w:r>
              <w:rPr>
                <w:b/>
              </w:rPr>
              <w:t>2022</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br/>
              <w:t>2023</w:t>
            </w:r>
          </w:p>
        </w:tc>
        <w:tc>
          <w:tcPr>
            <w:tcW w:w="64" w:type="dxa"/>
            <w:tcBorders/>
            <w:vAlign w:val="bottom"/>
          </w:tcPr>
          <w:p>
            <w:pPr>
              <w:pStyle w:val="TableContents"/>
              <w:bidi w:val="0"/>
              <w:spacing w:before="0" w:after="283"/>
              <w:jc w:val="left"/>
              <w:rPr/>
            </w:pPr>
            <w:r>
              <w:rPr/>
              <w:t> </w:t>
            </w:r>
          </w:p>
        </w:tc>
      </w:tr>
      <w:tr>
        <w:trPr/>
        <w:tc>
          <w:tcPr>
            <w:tcW w:w="6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22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593"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    </w:t>
            </w:r>
            <w:r>
              <w:rPr/>
              <w:t>261</w:t>
            </w:r>
          </w:p>
        </w:tc>
        <w:tc>
          <w:tcPr>
            <w:tcW w:w="64" w:type="dxa"/>
            <w:tcBorders/>
            <w:shd w:fill="CCEEFF" w:val="clear"/>
            <w:vAlign w:val="bottom"/>
          </w:tcPr>
          <w:p>
            <w:pPr>
              <w:pStyle w:val="TableContents"/>
              <w:bidi w:val="0"/>
              <w:spacing w:before="0" w:after="283"/>
              <w:jc w:val="left"/>
              <w:rPr/>
            </w:pPr>
            <w:r>
              <w:rPr/>
              <w:t> </w:t>
            </w:r>
          </w:p>
        </w:tc>
      </w:tr>
      <w:tr>
        <w:trPr/>
        <w:tc>
          <w:tcPr>
            <w:tcW w:w="6294"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costs</w:t>
            </w:r>
          </w:p>
        </w:tc>
        <w:tc>
          <w:tcPr>
            <w:tcW w:w="22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6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22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382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Other information related to leases was as follows (in thousands): </w:t>
      </w:r>
    </w:p>
    <w:p>
      <w:pPr>
        <w:pStyle w:val="TextBody"/>
        <w:bidi w:val="0"/>
        <w:spacing w:before="360" w:after="0"/>
        <w:jc w:val="left"/>
        <w:rPr>
          <w:rFonts w:ascii="Times New Roman" w:hAnsi="Times New Roman"/>
          <w:b/>
          <w:sz w:val="20"/>
        </w:rPr>
      </w:pPr>
      <w:r>
        <w:rPr>
          <w:rFonts w:ascii="Times New Roman" w:hAnsi="Times New Roman"/>
          <w:b/>
          <w:sz w:val="20"/>
        </w:rPr>
        <w:t xml:space="preserve">Supplemental cash flow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44"/>
        <w:gridCol w:w="286"/>
        <w:gridCol w:w="217"/>
        <w:gridCol w:w="1548"/>
        <w:gridCol w:w="60"/>
        <w:gridCol w:w="286"/>
        <w:gridCol w:w="200"/>
        <w:gridCol w:w="1899"/>
        <w:gridCol w:w="65"/>
      </w:tblGrid>
      <w:tr>
        <w:trPr/>
        <w:tc>
          <w:tcPr>
            <w:tcW w:w="5644"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44"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765" w:type="dxa"/>
            <w:gridSpan w:val="2"/>
            <w:tcBorders>
              <w:bottom w:val="single" w:sz="8" w:space="0" w:color="000000"/>
            </w:tcBorders>
            <w:tcMar>
              <w:bottom w:w="28" w:type="dxa"/>
            </w:tcMar>
            <w:vAlign w:val="bottom"/>
          </w:tcPr>
          <w:p>
            <w:pPr>
              <w:pStyle w:val="TableContents"/>
              <w:bidi w:val="0"/>
              <w:spacing w:before="0" w:after="283"/>
              <w:jc w:val="center"/>
              <w:rPr/>
            </w:pPr>
            <w:r>
              <w:rPr>
                <w:b/>
              </w:rPr>
              <w:t>Period from</w:t>
            </w:r>
            <w:r>
              <w:rPr/>
              <w:br/>
            </w:r>
            <w:r>
              <w:rPr>
                <w:b/>
              </w:rPr>
              <w:t>February 10,</w:t>
            </w:r>
            <w:r>
              <w:rPr/>
              <w:br/>
            </w:r>
            <w:r>
              <w:rPr>
                <w:b/>
              </w:rPr>
              <w:t>2022 (inception)</w:t>
            </w:r>
            <w:r>
              <w:rPr/>
              <w:br/>
            </w:r>
            <w:r>
              <w:rPr>
                <w:b/>
              </w:rPr>
              <w:t>to December 31,</w:t>
            </w:r>
            <w:r>
              <w:rPr/>
              <w:br/>
            </w:r>
            <w:r>
              <w:rPr>
                <w:b/>
              </w:rPr>
              <w:t>2022</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099"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5" w:type="dxa"/>
            <w:tcBorders/>
            <w:vAlign w:val="bottom"/>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included in the measurement of lease liabilities:</w:t>
            </w:r>
          </w:p>
        </w:tc>
        <w:tc>
          <w:tcPr>
            <w:tcW w:w="28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89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4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28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548"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899" w:type="dxa"/>
            <w:tcBorders/>
            <w:vAlign w:val="bottom"/>
          </w:tcPr>
          <w:p>
            <w:pPr>
              <w:pStyle w:val="TableContents"/>
              <w:bidi w:val="0"/>
              <w:spacing w:before="0" w:after="283"/>
              <w:jc w:val="right"/>
              <w:rPr/>
            </w:pPr>
            <w:r>
              <w:rPr/>
              <w:t>199</w:t>
            </w:r>
          </w:p>
        </w:tc>
        <w:tc>
          <w:tcPr>
            <w:tcW w:w="65" w:type="dxa"/>
            <w:tcBorders/>
            <w:vAlign w:val="bottom"/>
          </w:tcPr>
          <w:p>
            <w:pPr>
              <w:pStyle w:val="TableContents"/>
              <w:bidi w:val="0"/>
              <w:spacing w:before="0" w:after="283"/>
              <w:jc w:val="left"/>
              <w:rPr/>
            </w:pPr>
            <w:r>
              <w:rPr/>
              <w:t> </w:t>
            </w:r>
          </w:p>
        </w:tc>
      </w:tr>
      <w:tr>
        <w:trPr/>
        <w:tc>
          <w:tcPr>
            <w:tcW w:w="56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lease assets obtained in exchange for new operating lease liabilities</w:t>
            </w:r>
          </w:p>
        </w:tc>
        <w:tc>
          <w:tcPr>
            <w:tcW w:w="28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5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899" w:type="dxa"/>
            <w:tcBorders/>
            <w:shd w:fill="CCEEFF" w:val="clear"/>
            <w:vAlign w:val="bottom"/>
          </w:tcPr>
          <w:p>
            <w:pPr>
              <w:pStyle w:val="TableContents"/>
              <w:bidi w:val="0"/>
              <w:spacing w:before="0" w:after="283"/>
              <w:jc w:val="right"/>
              <w:rPr/>
            </w:pPr>
            <w:r>
              <w:rPr/>
              <w:t>   </w:t>
            </w:r>
            <w:r>
              <w:rPr/>
              <w:t>2,290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Lease term and discount rate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43"/>
        <w:gridCol w:w="473"/>
        <w:gridCol w:w="149"/>
        <w:gridCol w:w="357"/>
        <w:gridCol w:w="92"/>
        <w:gridCol w:w="524"/>
        <w:gridCol w:w="92"/>
        <w:gridCol w:w="696"/>
        <w:gridCol w:w="279"/>
      </w:tblGrid>
      <w:tr>
        <w:trPr/>
        <w:tc>
          <w:tcPr>
            <w:tcW w:w="7543"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7543"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79" w:type="dxa"/>
            <w:tcBorders/>
            <w:vAlign w:val="bottom"/>
          </w:tcPr>
          <w:p>
            <w:pPr>
              <w:pStyle w:val="TableContents"/>
              <w:bidi w:val="0"/>
              <w:spacing w:before="0" w:after="283"/>
              <w:jc w:val="left"/>
              <w:rPr/>
            </w:pPr>
            <w:r>
              <w:rPr/>
              <w:t> </w:t>
            </w:r>
          </w:p>
        </w:tc>
      </w:tr>
      <w:tr>
        <w:trPr/>
        <w:tc>
          <w:tcPr>
            <w:tcW w:w="7543"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50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92"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9" w:type="dxa"/>
            <w:tcBorders/>
            <w:vAlign w:val="bottom"/>
          </w:tcPr>
          <w:p>
            <w:pPr>
              <w:pStyle w:val="TableContents"/>
              <w:bidi w:val="0"/>
              <w:spacing w:before="0" w:after="283"/>
              <w:jc w:val="left"/>
              <w:rPr/>
            </w:pPr>
            <w:r>
              <w:rPr/>
              <w:t> </w:t>
            </w:r>
          </w:p>
        </w:tc>
      </w:tr>
      <w:tr>
        <w:trPr/>
        <w:tc>
          <w:tcPr>
            <w:tcW w:w="7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termoperating lease</w:t>
            </w:r>
          </w:p>
        </w:tc>
        <w:tc>
          <w:tcPr>
            <w:tcW w:w="47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3</w:t>
            </w:r>
          </w:p>
        </w:tc>
        <w:tc>
          <w:tcPr>
            <w:tcW w:w="279" w:type="dxa"/>
            <w:tcBorders/>
            <w:shd w:fill="CCEEFF" w:val="clear"/>
            <w:vAlign w:val="bottom"/>
          </w:tcPr>
          <w:p>
            <w:pPr>
              <w:pStyle w:val="TableContents"/>
              <w:bidi w:val="0"/>
              <w:spacing w:before="0" w:after="283"/>
              <w:jc w:val="left"/>
              <w:rPr/>
            </w:pPr>
            <w:r>
              <w:rPr/>
              <w:t> </w:t>
            </w:r>
          </w:p>
        </w:tc>
      </w:tr>
      <w:tr>
        <w:trPr/>
        <w:tc>
          <w:tcPr>
            <w:tcW w:w="7543"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rateoperating lease</w:t>
            </w:r>
          </w:p>
        </w:tc>
        <w:tc>
          <w:tcPr>
            <w:tcW w:w="47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7.29</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maturities of operating lease liabilities for each of the following five years and a total thereafter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34"/>
        <w:gridCol w:w="520"/>
        <w:gridCol w:w="23"/>
        <w:gridCol w:w="520"/>
        <w:gridCol w:w="140"/>
        <w:gridCol w:w="710"/>
        <w:gridCol w:w="158"/>
      </w:tblGrid>
      <w:tr>
        <w:trPr/>
        <w:tc>
          <w:tcPr>
            <w:tcW w:w="8134"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520" w:type="dxa"/>
            <w:tcBorders/>
            <w:shd w:fill="CCEEFF" w:val="clear"/>
            <w:vAlign w:val="bottom"/>
          </w:tcPr>
          <w:p>
            <w:pPr>
              <w:pStyle w:val="TableContents"/>
              <w:bidi w:val="0"/>
              <w:spacing w:before="0" w:after="283"/>
              <w:jc w:val="left"/>
              <w:rPr/>
            </w:pPr>
            <w:r>
              <w:rPr/>
              <w:t>  </w:t>
            </w:r>
          </w:p>
        </w:tc>
        <w:tc>
          <w:tcPr>
            <w:tcW w:w="23" w:type="dxa"/>
            <w:tcBorders/>
            <w:shd w:fill="CCEEFF" w:val="clear"/>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805</w:t>
            </w:r>
          </w:p>
        </w:tc>
        <w:tc>
          <w:tcPr>
            <w:tcW w:w="158" w:type="dxa"/>
            <w:tcBorders/>
            <w:shd w:fill="CCEEFF" w:val="clear"/>
            <w:vAlign w:val="bottom"/>
          </w:tcPr>
          <w:p>
            <w:pPr>
              <w:pStyle w:val="TableContents"/>
              <w:bidi w:val="0"/>
              <w:spacing w:before="0" w:after="283"/>
              <w:jc w:val="left"/>
              <w:rPr/>
            </w:pPr>
            <w:r>
              <w:rPr/>
              <w:t> </w:t>
            </w:r>
          </w:p>
        </w:tc>
      </w:tr>
      <w:tr>
        <w:trPr/>
        <w:tc>
          <w:tcPr>
            <w:tcW w:w="8134"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820</w:t>
            </w:r>
          </w:p>
        </w:tc>
        <w:tc>
          <w:tcPr>
            <w:tcW w:w="158" w:type="dxa"/>
            <w:tcBorders/>
            <w:vAlign w:val="bottom"/>
          </w:tcPr>
          <w:p>
            <w:pPr>
              <w:pStyle w:val="TableContents"/>
              <w:bidi w:val="0"/>
              <w:spacing w:before="0" w:after="283"/>
              <w:jc w:val="left"/>
              <w:rPr/>
            </w:pPr>
            <w:r>
              <w:rPr/>
              <w:t> </w:t>
            </w:r>
          </w:p>
        </w:tc>
      </w:tr>
      <w:tr>
        <w:trPr/>
        <w:tc>
          <w:tcPr>
            <w:tcW w:w="8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520" w:type="dxa"/>
            <w:tcBorders/>
            <w:shd w:fill="CCEEFF" w:val="clear"/>
            <w:vAlign w:val="bottom"/>
          </w:tcPr>
          <w:p>
            <w:pPr>
              <w:pStyle w:val="TableContents"/>
              <w:bidi w:val="0"/>
              <w:spacing w:before="0" w:after="283"/>
              <w:jc w:val="left"/>
              <w:rPr/>
            </w:pPr>
            <w:r>
              <w:rPr/>
              <w:t>  </w:t>
            </w:r>
          </w:p>
        </w:tc>
        <w:tc>
          <w:tcPr>
            <w:tcW w:w="23" w:type="dxa"/>
            <w:tcBorders/>
            <w:shd w:fill="CCEEFF" w:val="clear"/>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766</w:t>
            </w:r>
          </w:p>
        </w:tc>
        <w:tc>
          <w:tcPr>
            <w:tcW w:w="158" w:type="dxa"/>
            <w:tcBorders/>
            <w:shd w:fill="CCEEFF" w:val="clear"/>
            <w:vAlign w:val="bottom"/>
          </w:tcPr>
          <w:p>
            <w:pPr>
              <w:pStyle w:val="TableContents"/>
              <w:bidi w:val="0"/>
              <w:spacing w:before="0" w:after="283"/>
              <w:jc w:val="left"/>
              <w:rPr/>
            </w:pPr>
            <w:r>
              <w:rPr/>
              <w:t> </w:t>
            </w:r>
          </w:p>
        </w:tc>
      </w:tr>
      <w:tr>
        <w:trPr/>
        <w:tc>
          <w:tcPr>
            <w:tcW w:w="8134"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34"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future lease payments</w:t>
            </w:r>
          </w:p>
        </w:tc>
        <w:tc>
          <w:tcPr>
            <w:tcW w:w="5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 </w:t>
            </w:r>
            <w:r>
              <w:rPr/>
              <w:t>2,391</w:t>
            </w:r>
          </w:p>
        </w:tc>
        <w:tc>
          <w:tcPr>
            <w:tcW w:w="158" w:type="dxa"/>
            <w:tcBorders/>
            <w:vAlign w:val="bottom"/>
          </w:tcPr>
          <w:p>
            <w:pPr>
              <w:pStyle w:val="TableContents"/>
              <w:bidi w:val="0"/>
              <w:spacing w:before="0" w:after="283"/>
              <w:jc w:val="left"/>
              <w:rPr/>
            </w:pPr>
            <w:r>
              <w:rPr/>
              <w:t> </w:t>
            </w:r>
          </w:p>
        </w:tc>
      </w:tr>
      <w:tr>
        <w:trPr/>
        <w:tc>
          <w:tcPr>
            <w:tcW w:w="8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520" w:type="dxa"/>
            <w:tcBorders/>
            <w:shd w:fill="CCEEFF" w:val="clear"/>
            <w:vAlign w:val="bottom"/>
          </w:tcPr>
          <w:p>
            <w:pPr>
              <w:pStyle w:val="TableContents"/>
              <w:bidi w:val="0"/>
              <w:spacing w:before="0" w:after="283"/>
              <w:jc w:val="left"/>
              <w:rPr/>
            </w:pPr>
            <w:r>
              <w:rPr/>
              <w:t>  </w:t>
            </w:r>
          </w:p>
        </w:tc>
        <w:tc>
          <w:tcPr>
            <w:tcW w:w="23" w:type="dxa"/>
            <w:tcBorders/>
            <w:shd w:fill="CCEEFF" w:val="clear"/>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(245</w:t>
            </w:r>
          </w:p>
        </w:tc>
        <w:tc>
          <w:tcPr>
            <w:tcW w:w="158" w:type="dxa"/>
            <w:tcBorders/>
            <w:shd w:fill="CCEEFF" w:val="clear"/>
            <w:vAlign w:val="bottom"/>
          </w:tcPr>
          <w:p>
            <w:pPr>
              <w:pStyle w:val="TableContents"/>
              <w:bidi w:val="0"/>
              <w:spacing w:before="0" w:after="283"/>
              <w:jc w:val="left"/>
              <w:rPr/>
            </w:pPr>
            <w:r>
              <w:rPr/>
              <w:t>) </w:t>
            </w:r>
          </w:p>
        </w:tc>
      </w:tr>
      <w:tr>
        <w:trPr/>
        <w:tc>
          <w:tcPr>
            <w:tcW w:w="8134"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34"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52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2,146</w:t>
            </w:r>
          </w:p>
        </w:tc>
        <w:tc>
          <w:tcPr>
            <w:tcW w:w="158" w:type="dxa"/>
            <w:tcBorders/>
            <w:vAlign w:val="bottom"/>
          </w:tcPr>
          <w:p>
            <w:pPr>
              <w:pStyle w:val="TableContents"/>
              <w:bidi w:val="0"/>
              <w:spacing w:before="0" w:after="283"/>
              <w:jc w:val="left"/>
              <w:rPr/>
            </w:pPr>
            <w:r>
              <w:rPr/>
              <w:t> </w:t>
            </w:r>
          </w:p>
        </w:tc>
      </w:tr>
      <w:tr>
        <w:trPr/>
        <w:tc>
          <w:tcPr>
            <w:tcW w:w="8134"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Income Taxes </w:t>
      </w:r>
    </w:p>
    <w:p>
      <w:pPr>
        <w:pStyle w:val="TextBody"/>
        <w:bidi w:val="0"/>
        <w:spacing w:before="120" w:after="0"/>
        <w:jc w:val="left"/>
        <w:rPr>
          <w:rFonts w:ascii="Times New Roman" w:hAnsi="Times New Roman"/>
          <w:sz w:val="20"/>
        </w:rPr>
      </w:pPr>
      <w:r>
        <w:rPr>
          <w:rFonts w:ascii="Times New Roman" w:hAnsi="Times New Roman"/>
          <w:sz w:val="20"/>
        </w:rPr>
        <w:t>For the period from February 10, 2022 (inception) to December 31, 2022 and for the year ended December 31, 2023, the Company recorded a tax provision of zero and $10 thousand, respectively. In addition, the Company has recorded a full valuation allowance against its net deferred tax assets as of December 31, 2022 and 2023.</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income tax provision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4"/>
        <w:gridCol w:w="280"/>
        <w:gridCol w:w="220"/>
        <w:gridCol w:w="1878"/>
        <w:gridCol w:w="60"/>
        <w:gridCol w:w="280"/>
        <w:gridCol w:w="220"/>
        <w:gridCol w:w="1878"/>
        <w:gridCol w:w="65"/>
      </w:tblGrid>
      <w:tr>
        <w:trPr/>
        <w:tc>
          <w:tcPr>
            <w:tcW w:w="5324"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February 10, 2022</w:t>
              <w:br/>
              <w:t>(inception) to</w:t>
              <w:br/>
              <w:t>December 31, 2022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65" w:type="dxa"/>
            <w:tcBorders/>
            <w:vAlign w:val="bottom"/>
          </w:tcPr>
          <w:p>
            <w:pPr>
              <w:pStyle w:val="TableContents"/>
              <w:bidi w:val="0"/>
              <w:spacing w:before="0" w:after="283"/>
              <w:jc w:val="left"/>
              <w:rPr/>
            </w:pPr>
            <w:r>
              <w:rPr/>
              <w:t> </w:t>
            </w:r>
          </w:p>
        </w:tc>
      </w:tr>
      <w:tr>
        <w:trPr/>
        <w:tc>
          <w:tcPr>
            <w:tcW w:w="532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Components of income tax provision</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8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8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Current Provision:</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    </w:t>
            </w:r>
            <w:r>
              <w:rPr/>
              <w:t> </w:t>
            </w:r>
          </w:p>
        </w:tc>
        <w:tc>
          <w:tcPr>
            <w:tcW w:w="65"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provision</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10</w:t>
            </w:r>
          </w:p>
        </w:tc>
        <w:tc>
          <w:tcPr>
            <w:tcW w:w="65"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provision (benefit)</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7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income tax provision (benefit)</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24" w:type="dxa"/>
            <w:tcBorders/>
          </w:tcPr>
          <w:p>
            <w:pPr>
              <w:pStyle w:val="TableContents"/>
              <w:bidi w:val="0"/>
              <w:spacing w:before="0" w:after="0"/>
              <w:jc w:val="left"/>
              <w:rPr>
                <w:rFonts w:ascii="Times New Roman" w:hAnsi="Times New Roman"/>
                <w:sz w:val="20"/>
              </w:rPr>
            </w:pPr>
            <w:r>
              <w:rPr>
                <w:rFonts w:ascii="Times New Roman" w:hAnsi="Times New Roman"/>
                <w:sz w:val="20"/>
              </w:rPr>
              <w:t>Total provision for (benefit from) income taxes</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532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8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8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U.S. federal statutory income tax rate to the Companys effective income tax rate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3"/>
        <w:gridCol w:w="318"/>
        <w:gridCol w:w="87"/>
        <w:gridCol w:w="1998"/>
        <w:gridCol w:w="275"/>
        <w:gridCol w:w="270"/>
        <w:gridCol w:w="87"/>
        <w:gridCol w:w="1998"/>
        <w:gridCol w:w="279"/>
      </w:tblGrid>
      <w:tr>
        <w:trPr/>
        <w:tc>
          <w:tcPr>
            <w:tcW w:w="4893"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93"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February 10, 2022</w:t>
              <w:br/>
              <w:t>(inception) to</w:t>
              <w:br/>
              <w:t>December 31, 2022</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279" w:type="dxa"/>
            <w:tcBorders/>
            <w:vAlign w:val="bottom"/>
          </w:tcPr>
          <w:p>
            <w:pPr>
              <w:pStyle w:val="TableContents"/>
              <w:bidi w:val="0"/>
              <w:spacing w:before="0" w:after="283"/>
              <w:jc w:val="left"/>
              <w:rPr/>
            </w:pPr>
            <w:r>
              <w:rPr/>
              <w:t> </w:t>
            </w:r>
          </w:p>
        </w:tc>
      </w:tr>
      <w:tr>
        <w:trPr/>
        <w:tc>
          <w:tcPr>
            <w:tcW w:w="48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Rate Reconciliation</w:t>
            </w:r>
          </w:p>
        </w:tc>
        <w:tc>
          <w:tcPr>
            <w:tcW w:w="31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99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99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893" w:type="dxa"/>
            <w:tcBorders/>
          </w:tcPr>
          <w:p>
            <w:pPr>
              <w:pStyle w:val="TableContents"/>
              <w:bidi w:val="0"/>
              <w:spacing w:before="0" w:after="0"/>
              <w:jc w:val="left"/>
              <w:rPr>
                <w:rFonts w:ascii="Times New Roman" w:hAnsi="Times New Roman"/>
                <w:sz w:val="20"/>
              </w:rPr>
            </w:pPr>
            <w:r>
              <w:rPr>
                <w:rFonts w:ascii="Times New Roman" w:hAnsi="Times New Roman"/>
                <w:sz w:val="20"/>
              </w:rPr>
              <w:t>Statutory U.S. federal rate</w:t>
            </w:r>
          </w:p>
        </w:tc>
        <w:tc>
          <w:tcPr>
            <w:tcW w:w="31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right"/>
              <w:rPr/>
            </w:pPr>
            <w:r>
              <w:rPr/>
              <w:t>   </w:t>
            </w:r>
            <w:r>
              <w:rPr/>
              <w:t>21.00</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right"/>
              <w:rPr/>
            </w:pPr>
            <w:r>
              <w:rPr/>
              <w:t>   </w:t>
            </w:r>
            <w:r>
              <w:rPr/>
              <w:t>21.00</w:t>
            </w:r>
          </w:p>
        </w:tc>
        <w:tc>
          <w:tcPr>
            <w:tcW w:w="279" w:type="dxa"/>
            <w:tcBorders/>
            <w:vAlign w:val="bottom"/>
          </w:tcPr>
          <w:p>
            <w:pPr>
              <w:pStyle w:val="TableContents"/>
              <w:bidi w:val="0"/>
              <w:spacing w:before="0" w:after="283"/>
              <w:jc w:val="left"/>
              <w:rPr/>
            </w:pPr>
            <w:r>
              <w:rPr/>
              <w:t>% </w:t>
            </w:r>
          </w:p>
        </w:tc>
      </w:tr>
      <w:tr>
        <w:trPr/>
        <w:tc>
          <w:tcPr>
            <w:tcW w:w="4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31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-0.69</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-0.84</w:t>
            </w:r>
          </w:p>
        </w:tc>
        <w:tc>
          <w:tcPr>
            <w:tcW w:w="279" w:type="dxa"/>
            <w:tcBorders/>
            <w:shd w:fill="CCEEFF" w:val="clear"/>
            <w:vAlign w:val="bottom"/>
          </w:tcPr>
          <w:p>
            <w:pPr>
              <w:pStyle w:val="TableContents"/>
              <w:bidi w:val="0"/>
              <w:spacing w:before="0" w:after="283"/>
              <w:jc w:val="left"/>
              <w:rPr/>
            </w:pPr>
            <w:r>
              <w:rPr/>
              <w:t>% </w:t>
            </w:r>
          </w:p>
        </w:tc>
      </w:tr>
      <w:tr>
        <w:trPr/>
        <w:tc>
          <w:tcPr>
            <w:tcW w:w="4893"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31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right"/>
              <w:rPr/>
            </w:pPr>
            <w:r>
              <w:rPr/>
              <w:t>2.32</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right"/>
              <w:rPr/>
            </w:pPr>
            <w:r>
              <w:rPr/>
              <w:t>6.47</w:t>
            </w:r>
          </w:p>
        </w:tc>
        <w:tc>
          <w:tcPr>
            <w:tcW w:w="279" w:type="dxa"/>
            <w:tcBorders/>
            <w:vAlign w:val="bottom"/>
          </w:tcPr>
          <w:p>
            <w:pPr>
              <w:pStyle w:val="TableContents"/>
              <w:bidi w:val="0"/>
              <w:spacing w:before="0" w:after="283"/>
              <w:jc w:val="left"/>
              <w:rPr/>
            </w:pPr>
            <w:r>
              <w:rPr/>
              <w:t>% </w:t>
            </w:r>
          </w:p>
        </w:tc>
      </w:tr>
      <w:tr>
        <w:trPr/>
        <w:tc>
          <w:tcPr>
            <w:tcW w:w="4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31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3.64</w:t>
            </w:r>
          </w:p>
        </w:tc>
        <w:tc>
          <w:tcPr>
            <w:tcW w:w="279" w:type="dxa"/>
            <w:tcBorders/>
            <w:shd w:fill="CCEEFF" w:val="clear"/>
            <w:vAlign w:val="bottom"/>
          </w:tcPr>
          <w:p>
            <w:pPr>
              <w:pStyle w:val="TableContents"/>
              <w:bidi w:val="0"/>
              <w:spacing w:before="0" w:after="283"/>
              <w:jc w:val="left"/>
              <w:rPr/>
            </w:pPr>
            <w:r>
              <w:rPr/>
              <w:t>% </w:t>
            </w:r>
          </w:p>
        </w:tc>
      </w:tr>
      <w:tr>
        <w:trPr/>
        <w:tc>
          <w:tcPr>
            <w:tcW w:w="4893"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1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right"/>
              <w:rPr/>
            </w:pPr>
            <w:r>
              <w:rPr/>
              <w:t>-24.50</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right"/>
              <w:rPr/>
            </w:pPr>
            <w:r>
              <w:rPr/>
              <w:t>-30.30</w:t>
            </w:r>
          </w:p>
        </w:tc>
        <w:tc>
          <w:tcPr>
            <w:tcW w:w="279" w:type="dxa"/>
            <w:tcBorders/>
            <w:vAlign w:val="bottom"/>
          </w:tcPr>
          <w:p>
            <w:pPr>
              <w:pStyle w:val="TableContents"/>
              <w:bidi w:val="0"/>
              <w:spacing w:before="0" w:after="283"/>
              <w:jc w:val="left"/>
              <w:rPr/>
            </w:pPr>
            <w:r>
              <w:rPr/>
              <w:t>% </w:t>
            </w:r>
          </w:p>
        </w:tc>
      </w:tr>
      <w:tr>
        <w:trPr/>
        <w:tc>
          <w:tcPr>
            <w:tcW w:w="4893"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9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99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31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-0.01</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-0.03</w:t>
            </w:r>
          </w:p>
        </w:tc>
        <w:tc>
          <w:tcPr>
            <w:tcW w:w="279" w:type="dxa"/>
            <w:tcBorders/>
            <w:shd w:fill="CCEEFF" w:val="clear"/>
            <w:vAlign w:val="bottom"/>
          </w:tcPr>
          <w:p>
            <w:pPr>
              <w:pStyle w:val="TableContents"/>
              <w:bidi w:val="0"/>
              <w:spacing w:before="0" w:after="283"/>
              <w:jc w:val="left"/>
              <w:rPr/>
            </w:pPr>
            <w:r>
              <w:rPr/>
              <w:t>% </w:t>
            </w:r>
          </w:p>
        </w:tc>
      </w:tr>
      <w:tr>
        <w:trPr/>
        <w:tc>
          <w:tcPr>
            <w:tcW w:w="4893"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99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99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income taxes in accordance with ASC Topic 740. Deferred income tax assets and liabilities are determined based upon temporary differences between the financial reporting and tax bases of assets and liabilities and are measured using the enacted tax rates and laws that will be in effect when the differences are expected to 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Net deferred tax assets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7"/>
        <w:gridCol w:w="515"/>
        <w:gridCol w:w="140"/>
        <w:gridCol w:w="1353"/>
        <w:gridCol w:w="155"/>
        <w:gridCol w:w="474"/>
        <w:gridCol w:w="140"/>
        <w:gridCol w:w="1353"/>
        <w:gridCol w:w="158"/>
      </w:tblGrid>
      <w:tr>
        <w:trPr/>
        <w:tc>
          <w:tcPr>
            <w:tcW w:w="5917"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17"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6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8" w:type="dxa"/>
            <w:tcBorders/>
            <w:vAlign w:val="bottom"/>
          </w:tcPr>
          <w:p>
            <w:pPr>
              <w:pStyle w:val="TableContents"/>
              <w:bidi w:val="0"/>
              <w:spacing w:before="0" w:after="283"/>
              <w:jc w:val="left"/>
              <w:rPr/>
            </w:pPr>
            <w:r>
              <w:rPr/>
              <w:t> </w:t>
            </w:r>
          </w:p>
        </w:tc>
      </w:tr>
      <w:tr>
        <w:trPr/>
        <w:tc>
          <w:tcPr>
            <w:tcW w:w="5917"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59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Summary</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and State net operating loss carryforwards</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    </w:t>
            </w:r>
            <w:r>
              <w:rPr/>
              <w:t>119</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1,345</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 costs</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972</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7,307</w:t>
            </w:r>
          </w:p>
        </w:tc>
        <w:tc>
          <w:tcPr>
            <w:tcW w:w="158" w:type="dxa"/>
            <w:tcBorders/>
            <w:vAlign w:val="bottom"/>
          </w:tcPr>
          <w:p>
            <w:pPr>
              <w:pStyle w:val="TableContents"/>
              <w:bidi w:val="0"/>
              <w:spacing w:before="0" w:after="283"/>
              <w:jc w:val="left"/>
              <w:rPr/>
            </w:pPr>
            <w:r>
              <w:rPr/>
              <w:t> </w:t>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License fees capitalization</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1,131</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1,211</w:t>
            </w:r>
          </w:p>
        </w:tc>
        <w:tc>
          <w:tcPr>
            <w:tcW w:w="158" w:type="dxa"/>
            <w:tcBorders/>
            <w:vAlign w:val="bottom"/>
          </w:tcPr>
          <w:p>
            <w:pPr>
              <w:pStyle w:val="TableContents"/>
              <w:bidi w:val="0"/>
              <w:spacing w:before="0" w:after="283"/>
              <w:jc w:val="left"/>
              <w:rPr/>
            </w:pPr>
            <w:r>
              <w:rPr/>
              <w:t> </w:t>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1,041</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carryforwards</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1,837</w:t>
            </w:r>
          </w:p>
        </w:tc>
        <w:tc>
          <w:tcPr>
            <w:tcW w:w="158" w:type="dxa"/>
            <w:tcBorders/>
            <w:vAlign w:val="bottom"/>
          </w:tcPr>
          <w:p>
            <w:pPr>
              <w:pStyle w:val="TableContents"/>
              <w:bidi w:val="0"/>
              <w:spacing w:before="0" w:after="283"/>
              <w:jc w:val="left"/>
              <w:rPr/>
            </w:pPr>
            <w:r>
              <w:rPr/>
              <w:t> </w:t>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r>
              <w:rPr/>
              <w:t>567</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Accruals and other</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635</w:t>
            </w:r>
          </w:p>
        </w:tc>
        <w:tc>
          <w:tcPr>
            <w:tcW w:w="158" w:type="dxa"/>
            <w:tcBorders/>
            <w:vAlign w:val="bottom"/>
          </w:tcPr>
          <w:p>
            <w:pPr>
              <w:pStyle w:val="TableContents"/>
              <w:bidi w:val="0"/>
              <w:spacing w:before="0" w:after="283"/>
              <w:jc w:val="left"/>
              <w:rPr/>
            </w:pPr>
            <w:r>
              <w:rPr/>
              <w:t> </w:t>
            </w:r>
          </w:p>
        </w:tc>
      </w:tr>
      <w:tr>
        <w:trPr/>
        <w:tc>
          <w:tcPr>
            <w:tcW w:w="5917"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2,609</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13,943</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(551</w:t>
            </w:r>
          </w:p>
        </w:tc>
        <w:tc>
          <w:tcPr>
            <w:tcW w:w="158" w:type="dxa"/>
            <w:tcBorders/>
            <w:vAlign w:val="bottom"/>
          </w:tcPr>
          <w:p>
            <w:pPr>
              <w:pStyle w:val="TableContents"/>
              <w:bidi w:val="0"/>
              <w:spacing w:before="0" w:after="283"/>
              <w:jc w:val="left"/>
              <w:rPr/>
            </w:pPr>
            <w:r>
              <w:rPr/>
              <w:t>) </w:t>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481(a) Adjustment</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(220</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(798</w:t>
            </w:r>
          </w:p>
        </w:tc>
        <w:tc>
          <w:tcPr>
            <w:tcW w:w="158" w:type="dxa"/>
            <w:tcBorders/>
            <w:vAlign w:val="bottom"/>
          </w:tcPr>
          <w:p>
            <w:pPr>
              <w:pStyle w:val="TableContents"/>
              <w:bidi w:val="0"/>
              <w:spacing w:before="0" w:after="283"/>
              <w:jc w:val="left"/>
              <w:rPr/>
            </w:pPr>
            <w:r>
              <w:rPr/>
              <w:t>) </w:t>
            </w:r>
          </w:p>
        </w:tc>
      </w:tr>
      <w:tr>
        <w:trPr/>
        <w:tc>
          <w:tcPr>
            <w:tcW w:w="5917"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(2,609</w:t>
            </w:r>
          </w:p>
        </w:tc>
        <w:tc>
          <w:tcPr>
            <w:tcW w:w="155"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(13,145</w:t>
            </w:r>
          </w:p>
        </w:tc>
        <w:tc>
          <w:tcPr>
            <w:tcW w:w="158" w:type="dxa"/>
            <w:tcBorders/>
            <w:shd w:fill="CCEEFF" w:val="clear"/>
            <w:vAlign w:val="bottom"/>
          </w:tcPr>
          <w:p>
            <w:pPr>
              <w:pStyle w:val="TableContents"/>
              <w:bidi w:val="0"/>
              <w:spacing w:before="0" w:after="283"/>
              <w:jc w:val="left"/>
              <w:rPr/>
            </w:pPr>
            <w:r>
              <w:rPr/>
              <w:t>) </w:t>
            </w:r>
          </w:p>
        </w:tc>
      </w:tr>
      <w:tr>
        <w:trPr/>
        <w:tc>
          <w:tcPr>
            <w:tcW w:w="5917"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1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 (liabilities)</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917"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2023, the Company had U.S. federal net operating loss carryforwards of $0.6 million and $6.0 million and state net operating loss carryforwards of zero and $1.6 million, respectively. Federal losses have an indefinite carryforward period, but can only offset 80% of federal taxable income in a given year. Losses for state purposes begin to expire in 2042. As of December 31, 2022 and 2023, the Company had federal research and development tax credit carryforwards of $0.2 million and $1.5 million, respectively, and state research and development tax credit carryforwards of $0.1 million and $0.5 million, respectively, which begin to expire in 2042 and 2037. </w:t>
      </w:r>
    </w:p>
    <w:p>
      <w:pPr>
        <w:pStyle w:val="TextBody"/>
        <w:bidi w:val="0"/>
        <w:spacing w:before="240" w:after="0"/>
        <w:jc w:val="left"/>
        <w:rPr>
          <w:rFonts w:ascii="Times New Roman" w:hAnsi="Times New Roman"/>
          <w:sz w:val="20"/>
        </w:rPr>
      </w:pPr>
      <w:r>
        <w:rPr>
          <w:rFonts w:ascii="Times New Roman" w:hAnsi="Times New Roman"/>
          <w:sz w:val="20"/>
        </w:rPr>
        <w:t xml:space="preserve">Management of the Company has evaluated the positive and negative evidence bearing upon the realizability of its deferred tax assets, which are comprised principally of amortizable license fees, capitalized research and development expenses, and net operating loss carryforwards. Under the applicable accounting standards, management has considered the Companys activity and concluded that it is more likely than not that the Company will not recognize the benefits of domestic deferred tax assets. Accordingly, a full valuation allowance of $2.6 million as of December 31, 2022 and $13.1 million as of December 31, 2023, respectively, was recorded. Changes in valuation allowance for deferred tax assets during the period from February 10, 2022 (inception) to December 31, 2022 and for the year ended December 31, 2023 related primarily to the increases in NOLs, research and development tax credit carryforwards, capitalized research and development expenses pursuant to IRC Section 174, and stock-based compensation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6"/>
        <w:gridCol w:w="463"/>
        <w:gridCol w:w="220"/>
        <w:gridCol w:w="1753"/>
        <w:gridCol w:w="155"/>
        <w:gridCol w:w="417"/>
        <w:gridCol w:w="220"/>
        <w:gridCol w:w="1753"/>
        <w:gridCol w:w="158"/>
      </w:tblGrid>
      <w:tr>
        <w:trPr/>
        <w:tc>
          <w:tcPr>
            <w:tcW w:w="5066"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6"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w:t>
              <w:br/>
              <w:t>February 10, 2022</w:t>
              <w:br/>
              <w:t>(inception) to</w:t>
              <w:br/>
              <w:t>December 31, 2022</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158" w:type="dxa"/>
            <w:tcBorders/>
            <w:vAlign w:val="bottom"/>
          </w:tcPr>
          <w:p>
            <w:pPr>
              <w:pStyle w:val="TableContents"/>
              <w:bidi w:val="0"/>
              <w:spacing w:before="0" w:after="283"/>
              <w:jc w:val="left"/>
              <w:rPr/>
            </w:pPr>
            <w:r>
              <w:rPr/>
              <w:t> </w:t>
            </w:r>
          </w:p>
        </w:tc>
      </w:tr>
      <w:tr>
        <w:trPr/>
        <w:tc>
          <w:tcPr>
            <w:tcW w:w="5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 at February 10, 2022 (inception)</w:t>
            </w:r>
          </w:p>
        </w:tc>
        <w:tc>
          <w:tcPr>
            <w:tcW w:w="46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53" w:type="dxa"/>
            <w:tcBorders/>
            <w:shd w:fill="CCEEFF" w:val="clear"/>
            <w:vAlign w:val="bottom"/>
          </w:tcPr>
          <w:p>
            <w:pPr>
              <w:pStyle w:val="TableContents"/>
              <w:bidi w:val="0"/>
              <w:spacing w:before="0" w:after="283"/>
              <w:jc w:val="right"/>
              <w:rPr/>
            </w:pPr>
            <w:r>
              <w:rPr/>
              <w:t>    </w:t>
            </w:r>
            <w:r>
              <w:rPr/>
              <w:t> </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53" w:type="dxa"/>
            <w:tcBorders/>
            <w:shd w:fill="CCEEFF" w:val="clear"/>
            <w:vAlign w:val="bottom"/>
          </w:tcPr>
          <w:p>
            <w:pPr>
              <w:pStyle w:val="TableContents"/>
              <w:bidi w:val="0"/>
              <w:spacing w:before="0" w:after="283"/>
              <w:jc w:val="right"/>
              <w:rPr/>
            </w:pPr>
            <w:r>
              <w:rPr/>
              <w:t>(2,609</w:t>
            </w:r>
          </w:p>
        </w:tc>
        <w:tc>
          <w:tcPr>
            <w:tcW w:w="158" w:type="dxa"/>
            <w:tcBorders/>
            <w:shd w:fill="CCEEFF" w:val="clear"/>
            <w:vAlign w:val="bottom"/>
          </w:tcPr>
          <w:p>
            <w:pPr>
              <w:pStyle w:val="TableContents"/>
              <w:bidi w:val="0"/>
              <w:spacing w:before="0" w:after="283"/>
              <w:jc w:val="left"/>
              <w:rPr/>
            </w:pPr>
            <w:r>
              <w:rPr/>
              <w:t>) </w:t>
            </w:r>
          </w:p>
        </w:tc>
      </w:tr>
      <w:tr>
        <w:trPr/>
        <w:tc>
          <w:tcPr>
            <w:tcW w:w="5066" w:type="dxa"/>
            <w:tcBorders/>
          </w:tcPr>
          <w:p>
            <w:pPr>
              <w:pStyle w:val="TableContents"/>
              <w:bidi w:val="0"/>
              <w:spacing w:before="0" w:after="0"/>
              <w:jc w:val="left"/>
              <w:rPr>
                <w:rFonts w:ascii="Times New Roman" w:hAnsi="Times New Roman"/>
                <w:sz w:val="20"/>
              </w:rPr>
            </w:pPr>
            <w:r>
              <w:rPr>
                <w:rFonts w:ascii="Times New Roman" w:hAnsi="Times New Roman"/>
                <w:sz w:val="20"/>
              </w:rPr>
              <w:t>Decreases recorded as benefit to income tax provision</w:t>
            </w:r>
          </w:p>
        </w:tc>
        <w:tc>
          <w:tcPr>
            <w:tcW w:w="46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right"/>
              <w:rPr/>
            </w:pPr>
            <w:r>
              <w:rPr/>
              <w:t>    </w:t>
            </w:r>
            <w:r>
              <w:rPr/>
              <w:t> </w:t>
            </w:r>
          </w:p>
        </w:tc>
        <w:tc>
          <w:tcPr>
            <w:tcW w:w="158" w:type="dxa"/>
            <w:tcBorders/>
            <w:vAlign w:val="bottom"/>
          </w:tcPr>
          <w:p>
            <w:pPr>
              <w:pStyle w:val="TableContents"/>
              <w:bidi w:val="0"/>
              <w:spacing w:before="0" w:after="283"/>
              <w:jc w:val="left"/>
              <w:rPr/>
            </w:pPr>
            <w:r>
              <w:rPr/>
              <w:t> </w:t>
            </w:r>
          </w:p>
        </w:tc>
      </w:tr>
      <w:tr>
        <w:trPr/>
        <w:tc>
          <w:tcPr>
            <w:tcW w:w="5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Increases recorded to income tax provision</w:t>
            </w:r>
          </w:p>
        </w:tc>
        <w:tc>
          <w:tcPr>
            <w:tcW w:w="46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bidi w:val="0"/>
              <w:spacing w:before="0" w:after="283"/>
              <w:jc w:val="right"/>
              <w:rPr/>
            </w:pPr>
            <w:r>
              <w:rPr/>
              <w:t>(2,609</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53" w:type="dxa"/>
            <w:tcBorders/>
            <w:shd w:fill="CCEEFF" w:val="clear"/>
            <w:vAlign w:val="bottom"/>
          </w:tcPr>
          <w:p>
            <w:pPr>
              <w:pStyle w:val="TableContents"/>
              <w:bidi w:val="0"/>
              <w:spacing w:before="0" w:after="283"/>
              <w:jc w:val="right"/>
              <w:rPr/>
            </w:pPr>
            <w:r>
              <w:rPr/>
              <w:t>(10,536</w:t>
            </w:r>
          </w:p>
        </w:tc>
        <w:tc>
          <w:tcPr>
            <w:tcW w:w="158" w:type="dxa"/>
            <w:tcBorders/>
            <w:shd w:fill="CCEEFF" w:val="clear"/>
            <w:vAlign w:val="bottom"/>
          </w:tcPr>
          <w:p>
            <w:pPr>
              <w:pStyle w:val="TableContents"/>
              <w:bidi w:val="0"/>
              <w:spacing w:before="0" w:after="283"/>
              <w:jc w:val="left"/>
              <w:rPr/>
            </w:pPr>
            <w:r>
              <w:rPr/>
              <w:t>) </w:t>
            </w:r>
          </w:p>
        </w:tc>
      </w:tr>
      <w:tr>
        <w:trPr/>
        <w:tc>
          <w:tcPr>
            <w:tcW w:w="5066"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66"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 as of end of year</w:t>
            </w:r>
          </w:p>
        </w:tc>
        <w:tc>
          <w:tcPr>
            <w:tcW w:w="46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53" w:type="dxa"/>
            <w:tcBorders/>
            <w:vAlign w:val="bottom"/>
          </w:tcPr>
          <w:p>
            <w:pPr>
              <w:pStyle w:val="TableContents"/>
              <w:bidi w:val="0"/>
              <w:spacing w:before="0" w:after="283"/>
              <w:jc w:val="right"/>
              <w:rPr/>
            </w:pPr>
            <w:r>
              <w:rPr/>
              <w:t>(2,609</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53" w:type="dxa"/>
            <w:tcBorders/>
            <w:vAlign w:val="bottom"/>
          </w:tcPr>
          <w:p>
            <w:pPr>
              <w:pStyle w:val="TableContents"/>
              <w:bidi w:val="0"/>
              <w:spacing w:before="0" w:after="283"/>
              <w:jc w:val="right"/>
              <w:rPr/>
            </w:pPr>
            <w:r>
              <w:rPr/>
              <w:t>(13,145</w:t>
            </w:r>
          </w:p>
        </w:tc>
        <w:tc>
          <w:tcPr>
            <w:tcW w:w="158" w:type="dxa"/>
            <w:tcBorders/>
            <w:vAlign w:val="bottom"/>
          </w:tcPr>
          <w:p>
            <w:pPr>
              <w:pStyle w:val="TableContents"/>
              <w:bidi w:val="0"/>
              <w:spacing w:before="0" w:after="283"/>
              <w:jc w:val="left"/>
              <w:rPr/>
            </w:pPr>
            <w:r>
              <w:rPr/>
              <w:t>) </w:t>
            </w:r>
          </w:p>
        </w:tc>
      </w:tr>
      <w:tr>
        <w:trPr/>
        <w:tc>
          <w:tcPr>
            <w:tcW w:w="5066"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federal and state net operating loss and research and development credit carryforwards may be subject to a substantial annual limitation under Section 382 of the Internal Revenue Code of 1986, and similar state provisions,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2023, the Company has not completed a 382 study to assess whether a change of ownership has occurred since its 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174 made by the Tax Cuts and Jobs Act of 2017 (the TCJA) for tax year beginning on or after Jan. 1, 2022, no longer permits an immediate deduction for research and development expenditures in the tax year that such costs are incurred. Section 174 costs are expenditures which represent research and development costs that are incident to the development or improvement of a product, process, formula, invention, computer software or technique. The research and experimental (R&amp;E) expenses under Section 174 must be capitalized and amortized over five years for research performed in the U.S. and 15 years for research performed outside the U.S. We have included the impact of this provision, which results in a deferred tax asset of approximately $1.0 million as of December 31, 2022 and $7.3 million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adopted the authoritative guidance on accounting for and disclosure of uncertain tax positions, which requires the Company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As of December 31, 2023, the Company had not recorded any reserves for uncertain tax positions or related interest and penalties. The Companys policy is to record interest and penalties related to income taxes as part of the tax provision.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as prescribed by the tax laws of the jurisdictions in which it operates. In the normal course of business, the Company is subject to examination by federal and state jurisdictions in the United States and other countries, where applicable. There are currently no pending tax examinations. The Company is open to federal and state tax examination under statute from 2022 to present. Carryforward attributes from prior years can be adjusted upon examination by federal and state tax authorities to the extent utilized in an open tax year or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There are no tax matters under discussion with taxing authorities that are expected to have a material effect on the Companys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12. Related Party License Agreement </w:t>
      </w:r>
    </w:p>
    <w:p>
      <w:pPr>
        <w:pStyle w:val="TextBody"/>
        <w:bidi w:val="0"/>
        <w:spacing w:before="120" w:after="0"/>
        <w:jc w:val="left"/>
        <w:rPr>
          <w:rFonts w:ascii="Times New Roman" w:hAnsi="Times New Roman"/>
          <w:sz w:val="20"/>
        </w:rPr>
      </w:pPr>
      <w:r>
        <w:rPr>
          <w:rFonts w:ascii="Times New Roman" w:hAnsi="Times New Roman"/>
          <w:sz w:val="20"/>
        </w:rPr>
        <w:t>In August 2022, the Company entered into an option and license agreement with Janssen Pharmaceutical NV (Janssen License) under which the Company received an exclusive option to obtain from Janssen (a) a worldwide exclusive license for the research, development, and commercialization of transmembrane AMPAR regulatory protein-</w:t>
      </w:r>
      <w:r>
        <w:rPr>
          <w:rFonts w:ascii="SYMBOL" w:hAnsi="SYMBOL"/>
          <w:sz w:val="20"/>
        </w:rPr>
        <w:t>g</w:t>
      </w:r>
      <w:r>
        <w:rPr>
          <w:rFonts w:ascii="Times New Roman" w:hAnsi="Times New Roman"/>
          <w:sz w:val="20"/>
        </w:rPr>
        <w:t>8 (TARP</w:t>
      </w:r>
      <w:r>
        <w:rPr>
          <w:rFonts w:ascii="SYMBOL" w:hAnsi="SYMBOL"/>
          <w:sz w:val="20"/>
        </w:rPr>
        <w:t>g</w:t>
      </w:r>
      <w:r>
        <w:rPr>
          <w:rFonts w:ascii="Times New Roman" w:hAnsi="Times New Roman"/>
          <w:sz w:val="20"/>
        </w:rPr>
        <w:t>8) products for the diagnosis, treatment, prophylaxis or palliation of any disease or condition in humans or other animals (the Field) and (b) an assignment of certain patents related to TARP</w:t>
      </w:r>
      <w:r>
        <w:rPr>
          <w:rFonts w:ascii="SYMBOL" w:hAnsi="SYMBOL"/>
          <w:sz w:val="20"/>
        </w:rPr>
        <w:t>g</w:t>
      </w:r>
      <w:r>
        <w:rPr>
          <w:rFonts w:ascii="Times New Roman" w:hAnsi="Times New Roman"/>
          <w:sz w:val="20"/>
        </w:rPr>
        <w:t xml:space="preserve">8, in each case of (a)-(b), subject to certain retained rights by Janssen. Pursuant to the Janssen License, the Company also received a worldwide, royalty-free, non-exclusive license (exclusive under certain joint patents) for the research, development, and commercialization of certain neuronal nicotinic acetylcholine (nACh) products in the Field.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Janssen License, the Company made a non-refundable, non-creditable upfront payment of $1.0 million to Janssen after entering into the Janssen License. In October 2022,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exercised the option and paid a non-refundable, non-creditable option fee of $4.0 million to Janssen. If the Company succeeds in developing and commercializing TARP</w:t>
      </w:r>
      <w:r>
        <w:rPr>
          <w:rFonts w:ascii="SYMBOL" w:hAnsi="SYMBOL"/>
          <w:sz w:val="20"/>
        </w:rPr>
        <w:t>g</w:t>
      </w:r>
      <w:r>
        <w:rPr>
          <w:rFonts w:ascii="Times New Roman" w:hAnsi="Times New Roman"/>
          <w:sz w:val="20"/>
        </w:rPr>
        <w:t>8 products, Janssen will be eligible to receive (i) up to $76.0 million in development milestone payments and up to $40.0 million in sales milestone payments for the product containing the lead TARP</w:t>
      </w:r>
      <w:r>
        <w:rPr>
          <w:rFonts w:ascii="SYMBOL" w:hAnsi="SYMBOL"/>
          <w:sz w:val="20"/>
        </w:rPr>
        <w:t>g</w:t>
      </w:r>
      <w:r>
        <w:rPr>
          <w:rFonts w:ascii="Times New Roman" w:hAnsi="Times New Roman"/>
          <w:sz w:val="20"/>
        </w:rPr>
        <w:t>8 development candidate, and (ii) up to $25.0 million in development milestone payments and up to $42.0 million in sales milestone payments for other products containing a non-lead TARP</w:t>
      </w:r>
      <w:r>
        <w:rPr>
          <w:rFonts w:ascii="SYMBOL" w:hAnsi="SYMBOL"/>
          <w:sz w:val="20"/>
        </w:rPr>
        <w:t>g</w:t>
      </w:r>
      <w:r>
        <w:rPr>
          <w:rFonts w:ascii="Times New Roman" w:hAnsi="Times New Roman"/>
          <w:sz w:val="20"/>
        </w:rPr>
        <w:t xml:space="preserve">8 development candidate. </w:t>
      </w:r>
    </w:p>
    <w:p>
      <w:pPr>
        <w:pStyle w:val="TextBody"/>
        <w:bidi w:val="0"/>
        <w:spacing w:before="240" w:after="0"/>
        <w:jc w:val="left"/>
        <w:rPr>
          <w:rFonts w:ascii="Times New Roman" w:hAnsi="Times New Roman"/>
          <w:sz w:val="20"/>
        </w:rPr>
      </w:pPr>
      <w:r>
        <w:rPr>
          <w:rFonts w:ascii="Times New Roman" w:hAnsi="Times New Roman"/>
          <w:sz w:val="20"/>
        </w:rPr>
        <w:t>Janssen is also eligible to receive (a) royalties ranging from mid-single digits to high single digits on worldwide net sales of any products containing a TARP</w:t>
      </w:r>
      <w:r>
        <w:rPr>
          <w:rFonts w:ascii="SYMBOL" w:hAnsi="SYMBOL"/>
          <w:sz w:val="20"/>
        </w:rPr>
        <w:t>g</w:t>
      </w:r>
      <w:r>
        <w:rPr>
          <w:rFonts w:ascii="Times New Roman" w:hAnsi="Times New Roman"/>
          <w:sz w:val="20"/>
        </w:rPr>
        <w:t>8 development candidate and (b) royalties ranging from low-single digits to mid-single digits for other TARP</w:t>
      </w:r>
      <w:r>
        <w:rPr>
          <w:rFonts w:ascii="SYMBOL" w:hAnsi="SYMBOL"/>
          <w:sz w:val="20"/>
        </w:rPr>
        <w:t>g</w:t>
      </w:r>
      <w:r>
        <w:rPr>
          <w:rFonts w:ascii="Times New Roman" w:hAnsi="Times New Roman"/>
          <w:sz w:val="20"/>
        </w:rPr>
        <w:t>8 products that do not contain a TARP</w:t>
      </w:r>
      <w:r>
        <w:rPr>
          <w:rFonts w:ascii="SYMBOL" w:hAnsi="SYMBOL"/>
          <w:sz w:val="20"/>
        </w:rPr>
        <w:t>g</w:t>
      </w:r>
      <w:r>
        <w:rPr>
          <w:rFonts w:ascii="Times New Roman" w:hAnsi="Times New Roman"/>
          <w:sz w:val="20"/>
        </w:rPr>
        <w:t>8 development candidate, in each case of (a) and (b), subject to potential reductions following the expiration of valid claims and regulatory exclusivity covering such TARP</w:t>
      </w:r>
      <w:r>
        <w:rPr>
          <w:rFonts w:ascii="SYMBOL" w:hAnsi="SYMBOL"/>
          <w:sz w:val="20"/>
        </w:rPr>
        <w:t>g</w:t>
      </w:r>
      <w:r>
        <w:rPr>
          <w:rFonts w:ascii="Times New Roman" w:hAnsi="Times New Roman"/>
          <w:sz w:val="20"/>
        </w:rPr>
        <w:t>8 products, the launch of certain generic products and the application of certain anti-stacking reductions for third party IP payments, subject to a customary reduction floor. The royalties for any TARP</w:t>
      </w:r>
      <w:r>
        <w:rPr>
          <w:rFonts w:ascii="SYMBOL" w:hAnsi="SYMBOL"/>
          <w:sz w:val="20"/>
        </w:rPr>
        <w:t>g</w:t>
      </w:r>
      <w:r>
        <w:rPr>
          <w:rFonts w:ascii="Times New Roman" w:hAnsi="Times New Roman"/>
          <w:sz w:val="20"/>
        </w:rPr>
        <w:t xml:space="preserve">8 product will expire on a country-by-country basis upon the latest to occur of (i) the expiration of all valid patent claims covering such product in such country, (ii) the expiration of all regulatory exclusivities in such country, and (iii) a specified number of years following the first commercial sale of such product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right to terminate the Janssen License for any or no reason upon providing prior written notice to Janssen upon ninety (90) days prior written notice to Janssen. Either party may terminate the license agreement in its entirety for the other partys material breach if such party fails to cure the breach or upon certain insolvency events involving the other party. </w:t>
      </w:r>
    </w:p>
    <w:p>
      <w:pPr>
        <w:pStyle w:val="TextBody"/>
        <w:bidi w:val="0"/>
        <w:spacing w:before="240" w:after="0"/>
        <w:jc w:val="left"/>
        <w:rPr>
          <w:rFonts w:ascii="Times New Roman" w:hAnsi="Times New Roman"/>
          <w:sz w:val="20"/>
        </w:rPr>
      </w:pPr>
      <w:r>
        <w:rPr>
          <w:rFonts w:ascii="Times New Roman" w:hAnsi="Times New Roman"/>
          <w:sz w:val="20"/>
        </w:rPr>
        <w:t>The Company determined that the Janssen License represented an asset acquisition, rather than a business combination, as substantially all of the fair value of the assets acquired in the Janssen License was concentrated in a single asset, the TARP</w:t>
      </w:r>
      <w:r>
        <w:rPr>
          <w:rFonts w:ascii="SYMBOL" w:hAnsi="SYMBOL"/>
          <w:sz w:val="20"/>
        </w:rPr>
        <w:t>g</w:t>
      </w:r>
      <w:r>
        <w:rPr>
          <w:rFonts w:ascii="Times New Roman" w:hAnsi="Times New Roman"/>
          <w:sz w:val="20"/>
        </w:rPr>
        <w:t xml:space="preserve">8 compound, which was in early stage of development at the time of acquisition. As the IPR&amp;D asset was determined to have no alternative future use, the Company recognized the aggregate acquisition cost as related party acquired in-process research and development expense in the consolidated statement of operations and comprehensive loss for the period from February 10, 2022 (inception) to December 31, 2022. For the period from February 10, 2022 (inception) to December 31, 2022 and the year ended December 31, 2023, the Company recognized $5.0 million and zero of related party acquired in-process research and development expense in connection with the consideration due under the Janssen License. </w:t>
      </w:r>
    </w:p>
    <w:p>
      <w:pPr>
        <w:pStyle w:val="TextBody"/>
        <w:bidi w:val="0"/>
        <w:spacing w:before="360" w:after="0"/>
        <w:jc w:val="left"/>
        <w:rPr>
          <w:rFonts w:ascii="Times New Roman" w:hAnsi="Times New Roman"/>
          <w:b/>
          <w:sz w:val="20"/>
        </w:rPr>
      </w:pPr>
      <w:r>
        <w:rPr>
          <w:rFonts w:ascii="Times New Roman" w:hAnsi="Times New Roman"/>
          <w:b/>
          <w:sz w:val="20"/>
        </w:rPr>
        <w:t xml:space="preserve">13.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Janssen </w:t>
      </w:r>
    </w:p>
    <w:p>
      <w:pPr>
        <w:pStyle w:val="TextBody"/>
        <w:bidi w:val="0"/>
        <w:spacing w:before="120" w:after="0"/>
        <w:jc w:val="left"/>
        <w:rPr>
          <w:rFonts w:ascii="Times New Roman" w:hAnsi="Times New Roman"/>
          <w:sz w:val="20"/>
        </w:rPr>
      </w:pPr>
      <w:r>
        <w:rPr>
          <w:rFonts w:ascii="Times New Roman" w:hAnsi="Times New Roman"/>
          <w:sz w:val="20"/>
        </w:rPr>
        <w:t xml:space="preserve">Janssen, counterparty to the Janssen License, is a related party to a founding investor in the Company, Johnson &amp; Johnson InnovationJJDC, Inc., as both entities are direct subsidiaries of Johnson &amp; Johnson, Inc. For the period from February 10, 2022 (inception) to December 31, 2022 and for the year ended December 31, 2023, the Company incurred costs of $0.1 million and $0.4 million, respectively, which was recognized as research and development expense in the consolidated statement of operations and comprehensive loss, to Janssen for the use of lab space in California. As of December 31, 2022 and 2023, there were no related party transactions in accounts payable. As of December 31, 2022 and 2023, $11 thousand and zero was included in accrued expenses,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Rock Ventures </w:t>
      </w:r>
    </w:p>
    <w:p>
      <w:pPr>
        <w:pStyle w:val="TextBody"/>
        <w:bidi w:val="0"/>
        <w:spacing w:before="120" w:after="0"/>
        <w:jc w:val="left"/>
        <w:rPr>
          <w:rFonts w:ascii="Times New Roman" w:hAnsi="Times New Roman"/>
          <w:sz w:val="20"/>
        </w:rPr>
      </w:pPr>
      <w:r>
        <w:rPr>
          <w:rFonts w:ascii="Times New Roman" w:hAnsi="Times New Roman"/>
          <w:sz w:val="20"/>
        </w:rPr>
        <w:t xml:space="preserve">Third Rock Ventures LLC (Third Rock) is a founding investor in the Company. For the period from February 10, 2022 (inception) to December 31, 2022 and for the year ended December 31, 2023,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incurred costs of $2.1 million and $1.2 million, respectively, of which $1.5 million and $0.3 million, respectively was recognized as research and development expense, and $0.6 million and $0.9 million, respectively, was recognized as general and administrative expense in the consolidated statement of operations and comprehensive loss, to Third Rock primarily for management consulting and other various start-up support activities. As of December 31, 2022 and 2023, $0.7 million and $0.2 million, respectively, was included in accounts payable. As of December 31, 2022 and 2023, $19 thousand and zero, respectively was included in accrued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14.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2022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2022 and 2023, the Company was not a party to any material legal proceedings or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NeuroPace Master Services Agreement and Statement of Work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Company entered into a master services agreement (the NeuroPace Agreement) with NeuroPace Inc. (NeuroPace), the manufacturer and distributor of the RNS system. Pursuant to the NeuroPace Agreement and in accordance with statement of work agreements entered into from time to time, NeuroPace provides the Company with certain services with respect to data from the RNS systems used in our clinical trials. The NeuroPace Agreement also grants the Company a royalty-free, worldwide, exclusive, non-transferable license to all data collected by the RNS systems in its Phase 2a clinical trial and the outcomes of algorithms that are applied to such data, as well as the ability to publish the outcomes of algorithms, subject to certain conditions. The consideration the Company will pay to NeuroPace for such services is set out in each statement of work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contains an exclusivity provision providing that, at any time while providing services under the NeuroPace Agreement and for a period after the final clinical study report, NeuroPace may not perform any services that are the same as the services covered by the NeuroPace Agreement to any business that directly competes with us, subject to the specific terms of the NeuroPace Agreement. The NeuroPace Agreement also contains standard representations and warranties, confidentiality and intellectual property protective provisions and indemnification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NeuroPace Agreement expires on the later of three years from the effective date or the completion of all services under all statement of work agreements entered into prior to the third anniversary of the effective date. Either party may terminate the NeuroPace Agreement or any statement of work agreement (i) without cause by giving written notice to the other party within a specified period of time, (ii) by giving written notice upon a curable material breach that is not remediated within a specified period of time, or (iii) immediately upon written notice in the event of a material breach that cannot be cured.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NeuroPace Agreement, the parties also entered into an initial statement of work under the NeuroPace Agreement, as amended in March 2024 (the NeuroPace SOW), pursuant to which NeuroPace agreed to provide services related to the Companys Phase 2a clinical trial of RAP-219, including, among other things, clinical trial readiness support, identification of potential patients satisfying the enrollment criteria and RNS system data reporting and data analysis. Pursuant to the payment schedule set out in the NeuroPace SOW, we will pay NeuroPace an aggregate of up to $3.7 million over a period of approximately two years in connection with NeuroPaces provision of services and achievement of certain patient enrollment and deliverable milestones. During the year ended December 31, 2023, the Company paid NeuroPace $1.5 million, which is recorded as prepaid expenses and other current assets in the consolidated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15.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calculated basic and diluted net loss per share attributable to common stockholders using the two-class method required for companies with participating securities. The Company considers Series A convertible preferred stock and Series B convertible preferred stock to be participating securities as the holders are entitled to receive cumulative dividends as well as residuals in liquidation.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two-class method, basic net loss per share available to common stockholders was calculated by dividing the net loss available to common stockholder by the weighted-average number of shares of common stock outstanding during the period, which excludes unvested restricted stock. The net loss available to common stockholders was not allocated to the Series A convertible preferred stock or Series B convertible preferred stock as the holders of Convertible Preferred Stock did not have a contractual obligation to share in losses. Diluted net loss per share available to common stockholders was computed by giving effect to all potentially dilutive common stock equivalents outstanding for the period. For purposes of this calculation, preferred stock, unvested restricted stock and stock options were considered common stock equivalents but had been excluded from the calculation of diluted net loss per share available to common stockholders as their effect was anti-dilutive.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0"/>
        <w:gridCol w:w="525"/>
        <w:gridCol w:w="332"/>
        <w:gridCol w:w="2492"/>
        <w:gridCol w:w="60"/>
        <w:gridCol w:w="525"/>
        <w:gridCol w:w="140"/>
        <w:gridCol w:w="1346"/>
        <w:gridCol w:w="65"/>
      </w:tblGrid>
      <w:tr>
        <w:trPr/>
        <w:tc>
          <w:tcPr>
            <w:tcW w:w="472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2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 February 10,</w:t>
              <w:br/>
              <w:t>2022 (inception) to</w:t>
              <w:br/>
              <w:t>December 31, 2022</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2023</w:t>
            </w:r>
          </w:p>
        </w:tc>
        <w:tc>
          <w:tcPr>
            <w:tcW w:w="65" w:type="dxa"/>
            <w:tcBorders/>
            <w:vAlign w:val="bottom"/>
          </w:tcPr>
          <w:p>
            <w:pPr>
              <w:pStyle w:val="TableContents"/>
              <w:bidi w:val="0"/>
              <w:spacing w:before="0" w:after="283"/>
              <w:jc w:val="left"/>
              <w:rPr/>
            </w:pPr>
            <w:r>
              <w:rPr/>
              <w:t> </w:t>
            </w:r>
          </w:p>
        </w:tc>
      </w:tr>
      <w:tr>
        <w:trPr/>
        <w:tc>
          <w:tcPr>
            <w:tcW w:w="4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52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24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2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52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2492" w:type="dxa"/>
            <w:tcBorders/>
            <w:vAlign w:val="bottom"/>
          </w:tcPr>
          <w:p>
            <w:pPr>
              <w:pStyle w:val="TableContents"/>
              <w:bidi w:val="0"/>
              <w:spacing w:before="0" w:after="283"/>
              <w:jc w:val="right"/>
              <w:rPr/>
            </w:pPr>
            <w:r>
              <w:rPr/>
              <w:t>(10,652)</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    </w:t>
            </w:r>
            <w:r>
              <w:rPr/>
              <w:t>(34,786)</w:t>
            </w:r>
          </w:p>
        </w:tc>
        <w:tc>
          <w:tcPr>
            <w:tcW w:w="65" w:type="dxa"/>
            <w:tcBorders/>
            <w:vAlign w:val="bottom"/>
          </w:tcPr>
          <w:p>
            <w:pPr>
              <w:pStyle w:val="TableContents"/>
              <w:bidi w:val="0"/>
              <w:spacing w:before="0" w:after="283"/>
              <w:jc w:val="left"/>
              <w:rPr/>
            </w:pPr>
            <w:r>
              <w:rPr/>
              <w:t> </w:t>
            </w:r>
          </w:p>
        </w:tc>
      </w:tr>
      <w:tr>
        <w:trPr/>
        <w:tc>
          <w:tcPr>
            <w:tcW w:w="4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52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sz w:val="4"/>
                <w:szCs w:val="4"/>
              </w:rPr>
            </w:pPr>
            <w:r>
              <w:rPr>
                <w:sz w:val="4"/>
                <w:szCs w:val="4"/>
              </w:rPr>
            </w:r>
          </w:p>
        </w:tc>
        <w:tc>
          <w:tcPr>
            <w:tcW w:w="24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2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52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492" w:type="dxa"/>
            <w:tcBorders/>
            <w:vAlign w:val="bottom"/>
          </w:tcPr>
          <w:p>
            <w:pPr>
              <w:pStyle w:val="TableContents"/>
              <w:bidi w:val="0"/>
              <w:spacing w:before="0" w:after="283"/>
              <w:jc w:val="right"/>
              <w:rPr/>
            </w:pPr>
            <w:r>
              <w:rPr/>
              <w:t>6,656,667</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12,896,713</w:t>
            </w:r>
          </w:p>
        </w:tc>
        <w:tc>
          <w:tcPr>
            <w:tcW w:w="65" w:type="dxa"/>
            <w:tcBorders/>
            <w:vAlign w:val="bottom"/>
          </w:tcPr>
          <w:p>
            <w:pPr>
              <w:pStyle w:val="TableContents"/>
              <w:bidi w:val="0"/>
              <w:spacing w:before="0" w:after="283"/>
              <w:jc w:val="left"/>
              <w:rPr/>
            </w:pPr>
            <w:r>
              <w:rPr/>
              <w:t> </w:t>
            </w:r>
          </w:p>
        </w:tc>
      </w:tr>
      <w:tr>
        <w:trPr/>
        <w:tc>
          <w:tcPr>
            <w:tcW w:w="4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basic and diluted</w:t>
            </w:r>
          </w:p>
        </w:tc>
        <w:tc>
          <w:tcPr>
            <w:tcW w:w="52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2492" w:type="dxa"/>
            <w:tcBorders/>
            <w:shd w:fill="CCEEFF" w:val="clear"/>
            <w:vAlign w:val="bottom"/>
          </w:tcPr>
          <w:p>
            <w:pPr>
              <w:pStyle w:val="TableContents"/>
              <w:bidi w:val="0"/>
              <w:spacing w:before="0" w:after="283"/>
              <w:jc w:val="right"/>
              <w:rPr/>
            </w:pPr>
            <w:r>
              <w:rPr/>
              <w:t>(1.60)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(2.70)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calculation, the Company excluded the following potential common shares, presented based on amounts outstanding at each period end, from the computation of diluted net loss per share available to common shareholders for the periods indicated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2"/>
        <w:gridCol w:w="711"/>
        <w:gridCol w:w="136"/>
        <w:gridCol w:w="2534"/>
        <w:gridCol w:w="60"/>
        <w:gridCol w:w="711"/>
        <w:gridCol w:w="66"/>
        <w:gridCol w:w="1492"/>
        <w:gridCol w:w="63"/>
      </w:tblGrid>
      <w:tr>
        <w:trPr/>
        <w:tc>
          <w:tcPr>
            <w:tcW w:w="4432" w:type="dxa"/>
            <w:tcBorders/>
            <w:vAlign w:val="center"/>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32"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2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Period from February 10,</w:t>
              <w:br/>
              <w:t>2022 (inception) to</w:t>
              <w:br/>
              <w:t>December 31, 2022</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63"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7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534" w:type="dxa"/>
            <w:tcBorders/>
            <w:shd w:fill="CCEEFF" w:val="clear"/>
            <w:vAlign w:val="bottom"/>
          </w:tcPr>
          <w:p>
            <w:pPr>
              <w:pStyle w:val="TableContents"/>
              <w:bidi w:val="0"/>
              <w:spacing w:before="0" w:after="283"/>
              <w:jc w:val="right"/>
              <w:rPr/>
            </w:pPr>
            <w:r>
              <w:rPr/>
              <w:t>40,182,354</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100,182,354</w:t>
            </w:r>
          </w:p>
        </w:tc>
        <w:tc>
          <w:tcPr>
            <w:tcW w:w="63"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w:t>
            </w:r>
          </w:p>
        </w:tc>
        <w:tc>
          <w:tcPr>
            <w:tcW w:w="7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51,273,790</w:t>
            </w:r>
          </w:p>
        </w:tc>
        <w:tc>
          <w:tcPr>
            <w:tcW w:w="63"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7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5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11,790,429</w:t>
            </w:r>
          </w:p>
        </w:tc>
        <w:tc>
          <w:tcPr>
            <w:tcW w:w="63"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stockservice based</w:t>
            </w:r>
          </w:p>
        </w:tc>
        <w:tc>
          <w:tcPr>
            <w:tcW w:w="7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34" w:type="dxa"/>
            <w:tcBorders/>
            <w:vAlign w:val="bottom"/>
          </w:tcPr>
          <w:p>
            <w:pPr>
              <w:pStyle w:val="TableContents"/>
              <w:bidi w:val="0"/>
              <w:spacing w:before="0" w:after="283"/>
              <w:jc w:val="right"/>
              <w:rPr/>
            </w:pPr>
            <w:r>
              <w:rPr/>
              <w:t>8,448,769</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13,583,869</w:t>
            </w:r>
          </w:p>
        </w:tc>
        <w:tc>
          <w:tcPr>
            <w:tcW w:w="63"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stockperformance based</w:t>
            </w:r>
          </w:p>
        </w:tc>
        <w:tc>
          <w:tcPr>
            <w:tcW w:w="71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534" w:type="dxa"/>
            <w:tcBorders/>
            <w:shd w:fill="CCEEFF" w:val="clear"/>
            <w:vAlign w:val="bottom"/>
          </w:tcPr>
          <w:p>
            <w:pPr>
              <w:pStyle w:val="TableContents"/>
              <w:bidi w:val="0"/>
              <w:spacing w:before="0" w:after="283"/>
              <w:jc w:val="right"/>
              <w:rPr/>
            </w:pPr>
            <w:r>
              <w:rPr/>
              <w:t>2,310,600</w:t>
            </w:r>
          </w:p>
        </w:tc>
        <w:tc>
          <w:tcPr>
            <w:tcW w:w="60"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283"/>
              <w:jc w:val="right"/>
              <w:rPr/>
            </w:pPr>
            <w:r>
              <w:rPr/>
              <w:t>5,560,848</w:t>
            </w:r>
          </w:p>
        </w:tc>
        <w:tc>
          <w:tcPr>
            <w:tcW w:w="63" w:type="dxa"/>
            <w:tcBorders/>
            <w:shd w:fill="CCEEFF" w:val="clear"/>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25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4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1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34" w:type="dxa"/>
            <w:tcBorders/>
            <w:vAlign w:val="bottom"/>
          </w:tcPr>
          <w:p>
            <w:pPr>
              <w:pStyle w:val="TableContents"/>
              <w:bidi w:val="0"/>
              <w:spacing w:before="0" w:after="283"/>
              <w:jc w:val="right"/>
              <w:rPr/>
            </w:pPr>
            <w:r>
              <w:rPr/>
              <w:t>50,941,723</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182,391,290</w:t>
            </w:r>
          </w:p>
        </w:tc>
        <w:tc>
          <w:tcPr>
            <w:tcW w:w="63"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25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49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For its consolidated financial statements as of December 31, 2023, the Company has evaluated subsequent events through March 27, 2024, the date on which those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2024, the Company entered into a lease for laboratory and office space in San Diego, California with a lease term of 5 years for which the Company expects to pay $9.6 million over the lease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Grant of Stock Options under the 2022 Plan </w:t>
      </w:r>
    </w:p>
    <w:p>
      <w:pPr>
        <w:pStyle w:val="TextBody"/>
        <w:bidi w:val="0"/>
        <w:spacing w:before="120" w:after="0"/>
        <w:jc w:val="left"/>
        <w:rPr>
          <w:rFonts w:ascii="Times New Roman" w:hAnsi="Times New Roman"/>
          <w:sz w:val="20"/>
        </w:rPr>
      </w:pPr>
      <w:r>
        <w:rPr>
          <w:rFonts w:ascii="Times New Roman" w:hAnsi="Times New Roman"/>
          <w:sz w:val="20"/>
        </w:rPr>
        <w:t xml:space="preserve">In January, February and March 2024, the Company granted options for the purchase of an aggregate of 300,000, 1,130,000 and 9,712,077 shares of common stock, at an exercise price of $0.21, $0.52 and $1.12 per share, respectively. The aggregate grant-date fair value of the options granted has not yet been determined. It is expected to be recognized as stock-based compensation expense over a period of 4.0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Preferred Stock Tranche Right Settlement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2024, the Companys existing Series B convertible preferred stockholders voted to waive the second tranche milestones and subsequently exercised the tranche right in March 2024. As a result, an aggregate of 38,157,240 shares of Series B convertible preferred stock were issued and sold at a price of $1.67727 per share, resulting in total cash proceeds of $64.0 million, less $87 thousand of issuance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 in Shares Authorized for Issuance under the 2022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 amended the 2022 Plan to increase the aggregate number of shares of the Companys common stock reserved for issuance pursuant to the 2022 Plan by 10,322,977 shares for a total reserved for issuance of 25,253,829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fin803738_17"/>
      <w:bookmarkEnd w:id="32"/>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5"/>
        <w:gridCol w:w="377"/>
        <w:gridCol w:w="217"/>
        <w:gridCol w:w="1268"/>
        <w:gridCol w:w="155"/>
        <w:gridCol w:w="336"/>
        <w:gridCol w:w="159"/>
        <w:gridCol w:w="919"/>
        <w:gridCol w:w="159"/>
      </w:tblGrid>
      <w:tr>
        <w:trPr/>
        <w:tc>
          <w:tcPr>
            <w:tcW w:w="6615"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1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70,169</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74,267</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77,309</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118,977</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105</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3,309</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5,379</w:t>
            </w:r>
          </w:p>
        </w:tc>
        <w:tc>
          <w:tcPr>
            <w:tcW w:w="159"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150,872</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198,728</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1,916</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3,560</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2,084</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1,928</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551</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2,073</w:t>
            </w:r>
          </w:p>
        </w:tc>
        <w:tc>
          <w:tcPr>
            <w:tcW w:w="159"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155,423</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206,289</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(1)</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2,502</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1,448</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(1)</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5,631</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7,751</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670</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686</w:t>
            </w:r>
          </w:p>
        </w:tc>
        <w:tc>
          <w:tcPr>
            <w:tcW w:w="159"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8,803</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9,885</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 stock tranche right liability</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4,200</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net of current portion</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1,476</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1,298</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14,479</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11,183</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$0.001 par value; 100,182,354 shares authorized as of December 31, 2023 and March 31, 2024; 100,182,354 shares issued and outstanding as of December 31, 2023 and March 31, 2024; liquidation preference of $100,182 as of December 31, 2023 and March 31, 2024</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89,487</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89,487</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 $0.001 par value; 89,431,030 shares authorized as of December 31, 2023 and March 31, 2024; 51,273,790 and 89,431,030 shares issued and outstanding as of December 31, 2023 and March 31, 2024, respectively; liquidation preference of $86,000 and $150,000 as of December 31, 2023 and March 31, 2024, respectively</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77,091</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145,252</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250,000,000 shares authorized at December 31, 2023 and March 31, 2024; 35,722,402 shares issued and outstanding as of December 31, 2023 and March 31, 2024</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36</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19,764</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28,598</w:t>
            </w:r>
          </w:p>
        </w:tc>
        <w:tc>
          <w:tcPr>
            <w:tcW w:w="159"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(160</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(45,438</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(68,107</w:t>
            </w:r>
          </w:p>
        </w:tc>
        <w:tc>
          <w:tcPr>
            <w:tcW w:w="159"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(25,634</w:t>
            </w:r>
          </w:p>
        </w:tc>
        <w:tc>
          <w:tcPr>
            <w:tcW w:w="155"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(39,633</w:t>
            </w:r>
          </w:p>
        </w:tc>
        <w:tc>
          <w:tcPr>
            <w:tcW w:w="159"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155,423</w:t>
            </w:r>
          </w:p>
        </w:tc>
        <w:tc>
          <w:tcPr>
            <w:tcW w:w="155"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206,289</w:t>
            </w:r>
          </w:p>
        </w:tc>
        <w:tc>
          <w:tcPr>
            <w:tcW w:w="159"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$0.2 million and zero (accounts payable) and zero and less than $0.1 million (accrued expenses) as of December 31, 2023 and March 31, 2024, respectively (see Notes 5 and 10).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fin803738_18"/>
      <w:bookmarkEnd w:id="33"/>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17"/>
        <w:gridCol w:w="513"/>
        <w:gridCol w:w="140"/>
        <w:gridCol w:w="1105"/>
        <w:gridCol w:w="155"/>
        <w:gridCol w:w="472"/>
        <w:gridCol w:w="140"/>
        <w:gridCol w:w="1105"/>
        <w:gridCol w:w="158"/>
      </w:tblGrid>
      <w:tr>
        <w:trPr/>
        <w:tc>
          <w:tcPr>
            <w:tcW w:w="6417"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17"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58" w:type="dxa"/>
            <w:tcBorders/>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(1)</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3,899</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12,504</w:t>
            </w:r>
          </w:p>
        </w:tc>
        <w:tc>
          <w:tcPr>
            <w:tcW w:w="158" w:type="dxa"/>
            <w:tcBorders/>
            <w:vAlign w:val="bottom"/>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(2)</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1,292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4,590</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5,191</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17,094</w:t>
            </w:r>
          </w:p>
        </w:tc>
        <w:tc>
          <w:tcPr>
            <w:tcW w:w="158" w:type="dxa"/>
            <w:tcBorders/>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(5,191</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(17,094</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1,815</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right liability</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(1,030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(7,390</w:t>
            </w:r>
          </w:p>
        </w:tc>
        <w:tc>
          <w:tcPr>
            <w:tcW w:w="158" w:type="dxa"/>
            <w:tcBorders/>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(5,575</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income taxes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(6,146</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(22,669</w:t>
            </w:r>
          </w:p>
        </w:tc>
        <w:tc>
          <w:tcPr>
            <w:tcW w:w="158" w:type="dxa"/>
            <w:tcBorders/>
            <w:vAlign w:val="bottom"/>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(6,147</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(22,669</w:t>
            </w:r>
          </w:p>
        </w:tc>
        <w:tc>
          <w:tcPr>
            <w:tcW w:w="158" w:type="dxa"/>
            <w:tcBorders/>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(0.53</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(1.29</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11,672,557</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17,531,227</w:t>
            </w:r>
          </w:p>
        </w:tc>
        <w:tc>
          <w:tcPr>
            <w:tcW w:w="158" w:type="dxa"/>
            <w:tcBorders/>
            <w:vAlign w:val="bottom"/>
          </w:tcPr>
          <w:p>
            <w:pPr>
              <w:pStyle w:val="TableContents"/>
              <w:bidi w:val="0"/>
              <w:spacing w:before="0" w:after="283"/>
              <w:jc w:val="left"/>
              <w:rPr/>
            </w:pPr>
            <w:r>
              <w:rPr/>
              <w:t> </w:t>
            </w:r>
          </w:p>
        </w:tc>
      </w:tr>
      <w:tr>
        <w:trPr/>
        <w:tc>
          <w:tcPr>
            <w:tcW w:w="6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(6,147</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(22,669</w:t>
            </w:r>
          </w:p>
        </w:tc>
        <w:tc>
          <w:tcPr>
            <w:tcW w:w="158" w:type="dxa"/>
            <w:tcBorders/>
            <w:vAlign w:val="bottom"/>
          </w:tcPr>
          <w:p>
            <w:pPr>
              <w:pStyle w:val="TableContents"/>
              <w:bidi w:val="0"/>
              <w:spacing w:before="0" w:after="283"/>
              <w:jc w:val="left"/>
              <w:rPr/>
            </w:pPr>
            <w:r>
              <w:rPr/>
              <w:t>) </w:t>
            </w:r>
          </w:p>
        </w:tc>
      </w:tr>
      <w:tr>
        <w:trPr/>
        <w:tc>
          <w:tcPr>
            <w:tcW w:w="64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 in unrealized gains (losses) on investments, net of tax</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(164</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(164</w:t>
            </w:r>
          </w:p>
        </w:tc>
        <w:tc>
          <w:tcPr>
            <w:tcW w:w="158" w:type="dxa"/>
            <w:tcBorders/>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(6,147</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(22,833</w:t>
            </w:r>
          </w:p>
        </w:tc>
        <w:tc>
          <w:tcPr>
            <w:tcW w:w="158" w:type="dxa"/>
            <w:tcBorders/>
            <w:shd w:fill="CCEEFF" w:val="clear"/>
            <w:vAlign w:val="bottom"/>
          </w:tcPr>
          <w:p>
            <w:pPr>
              <w:pStyle w:val="TableContents"/>
              <w:bidi w:val="0"/>
              <w:spacing w:before="0" w:after="283"/>
              <w:jc w:val="left"/>
              <w:rPr/>
            </w:pPr>
            <w:r>
              <w:rPr/>
              <w:t>) </w:t>
            </w:r>
          </w:p>
        </w:tc>
      </w:tr>
      <w:tr>
        <w:trPr/>
        <w:tc>
          <w:tcPr>
            <w:tcW w:w="6417"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$0.3 million and less than $0.1 million for the three months ended March 31, 2023 and 2024, respectively (see Note 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$0.3 million and $0.1 million for the three months ended March 31, 2023 and 2024, respectively (see Note 10). </w:t>
            </w:r>
          </w:p>
        </w:tc>
      </w:tr>
    </w:tbl>
    <w:p>
      <w:pPr>
        <w:pStyle w:val="TextBody"/>
        <w:bidi w:val="0"/>
        <w:spacing w:before="0" w:after="0"/>
        <w:jc w:val="left"/>
        <w:rPr/>
      </w:pPr>
      <w:r>
        <w:rPr/>
        <w:t> </w:t>
      </w:r>
    </w:p>
    <w:p>
      <w:pPr>
        <w:pStyle w:val="TextBody"/>
        <w:bidi w:val="0"/>
        <w:spacing w:before="14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fin803738_19"/>
      <w:bookmarkEnd w:id="34"/>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Share Data)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w:t>
      </w:r>
    </w:p>
    <w:p>
      <w:pPr>
        <w:pStyle w:val="TextBody"/>
        <w:bidi w:val="0"/>
        <w:spacing w:before="0" w:after="0"/>
        <w:jc w:val="left"/>
        <w:rPr/>
      </w:pPr>
      <w:r>
        <w:rPr/>
        <w:t> </w:t>
      </w:r>
    </w:p>
    <w:tbl>
      <w:tblPr>
        <w:tblW w:w="14940" w:type="dxa"/>
        <w:jc w:val="center"/>
        <w:tblInd w:w="0" w:type="dxa"/>
        <w:tblLayout w:type="fixed"/>
        <w:tblCellMar>
          <w:top w:w="0" w:type="dxa"/>
          <w:left w:w="0" w:type="dxa"/>
          <w:bottom w:w="0" w:type="dxa"/>
          <w:right w:w="0" w:type="dxa"/>
        </w:tblCellMar>
      </w:tblPr>
      <w:tblGrid>
        <w:gridCol w:w="1010"/>
        <w:gridCol w:w="120"/>
        <w:gridCol w:w="60"/>
        <w:gridCol w:w="1220"/>
        <w:gridCol w:w="60"/>
        <w:gridCol w:w="120"/>
        <w:gridCol w:w="146"/>
        <w:gridCol w:w="714"/>
        <w:gridCol w:w="60"/>
        <w:gridCol w:w="120"/>
        <w:gridCol w:w="60"/>
        <w:gridCol w:w="1100"/>
        <w:gridCol w:w="60"/>
        <w:gridCol w:w="120"/>
        <w:gridCol w:w="140"/>
        <w:gridCol w:w="800"/>
        <w:gridCol w:w="60"/>
        <w:gridCol w:w="120"/>
        <w:gridCol w:w="60"/>
        <w:gridCol w:w="1100"/>
        <w:gridCol w:w="60"/>
        <w:gridCol w:w="120"/>
        <w:gridCol w:w="149"/>
        <w:gridCol w:w="711"/>
        <w:gridCol w:w="60"/>
        <w:gridCol w:w="120"/>
        <w:gridCol w:w="140"/>
        <w:gridCol w:w="1040"/>
        <w:gridCol w:w="60"/>
        <w:gridCol w:w="120"/>
        <w:gridCol w:w="152"/>
        <w:gridCol w:w="1458"/>
        <w:gridCol w:w="155"/>
        <w:gridCol w:w="60"/>
        <w:gridCol w:w="140"/>
        <w:gridCol w:w="1235"/>
        <w:gridCol w:w="155"/>
        <w:gridCol w:w="60"/>
        <w:gridCol w:w="140"/>
        <w:gridCol w:w="1400"/>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 Convertible</w:t>
              <w:br/>
              <w:t>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Convertible</w:t>
              <w:br/>
              <w:t>Preferred Stock</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1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40,182,354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29,567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30,725,019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r>
              <w:rPr/>
              <w:t>(10,652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(10,062</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A convertible preferred stock for the settlement of the second and third tranche right liability, net of issuance costs of $87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59,920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r>
              <w:rPr/>
              <w:t>11,465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          </w:t>
            </w: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r>
              <w:rPr/>
              <w:t>11,465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restricted common stock</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2,339,648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723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723</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(6,147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(6,147</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6"/>
              </w:rPr>
            </w:pPr>
            <w:r>
              <w:rPr>
                <w:rFonts w:ascii="Times New Roman" w:hAnsi="Times New Roman"/>
                <w:b/>
                <w:sz w:val="16"/>
              </w:rPr>
              <w:t>Balance at March 31,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100,182,354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89,487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33,064,667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12,769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4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(16,799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(3,997</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4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010" w:type="dxa"/>
            <w:tcBorders/>
            <w:vAlign w:val="center"/>
          </w:tcPr>
          <w:p>
            <w:pPr>
              <w:pStyle w:val="TableContents"/>
              <w:bidi w:val="0"/>
              <w:spacing w:before="0" w:after="283"/>
              <w:jc w:val="left"/>
              <w:rPr>
                <w:sz w:val="4"/>
                <w:szCs w:val="4"/>
              </w:rPr>
            </w:pPr>
            <w:r>
              <w:rPr>
                <w:sz w:val="4"/>
                <w:szCs w:val="4"/>
              </w:rPr>
            </w:r>
          </w:p>
        </w:tc>
        <w:tc>
          <w:tcPr>
            <w:tcW w:w="2500" w:type="dxa"/>
            <w:gridSpan w:val="8"/>
            <w:tcBorders/>
            <w:vAlign w:val="center"/>
          </w:tcPr>
          <w:p>
            <w:pPr>
              <w:pStyle w:val="TableContents"/>
              <w:bidi w:val="0"/>
              <w:spacing w:before="0" w:after="283"/>
              <w:jc w:val="left"/>
              <w:rPr>
                <w:sz w:val="4"/>
                <w:szCs w:val="4"/>
              </w:rPr>
            </w:pPr>
            <w:r>
              <w:rPr>
                <w:sz w:val="4"/>
                <w:szCs w:val="4"/>
              </w:rPr>
            </w:r>
          </w:p>
        </w:tc>
        <w:tc>
          <w:tcPr>
            <w:tcW w:w="2460" w:type="dxa"/>
            <w:gridSpan w:val="8"/>
            <w:tcBorders/>
            <w:vAlign w:val="center"/>
          </w:tcPr>
          <w:p>
            <w:pPr>
              <w:pStyle w:val="TableContents"/>
              <w:bidi w:val="0"/>
              <w:spacing w:before="0" w:after="283"/>
              <w:jc w:val="left"/>
              <w:rPr>
                <w:sz w:val="4"/>
                <w:szCs w:val="4"/>
              </w:rPr>
            </w:pPr>
            <w:r>
              <w:rPr>
                <w:sz w:val="4"/>
                <w:szCs w:val="4"/>
              </w:rPr>
            </w:r>
          </w:p>
        </w:tc>
        <w:tc>
          <w:tcPr>
            <w:tcW w:w="2380" w:type="dxa"/>
            <w:gridSpan w:val="8"/>
            <w:tcBorders>
              <w:left w:val="single" w:sz="8" w:space="0" w:color="000000"/>
            </w:tcBorders>
            <w:tcMar>
              <w:left w:w="28" w:type="dxa"/>
            </w:tcMar>
            <w:vAlign w:val="center"/>
          </w:tcPr>
          <w:p>
            <w:pPr>
              <w:pStyle w:val="TableContents"/>
              <w:bidi w:val="0"/>
              <w:spacing w:before="0" w:after="283"/>
              <w:jc w:val="left"/>
              <w:rPr/>
            </w:pPr>
            <w:r>
              <w:rPr/>
              <w:t> </w:t>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590" w:type="dxa"/>
            <w:gridSpan w:val="4"/>
            <w:tcBorders/>
            <w:vAlign w:val="center"/>
          </w:tcPr>
          <w:p>
            <w:pPr>
              <w:pStyle w:val="TableContents"/>
              <w:bidi w:val="0"/>
              <w:spacing w:before="0" w:after="283"/>
              <w:jc w:val="left"/>
              <w:rPr>
                <w:sz w:val="4"/>
                <w:szCs w:val="4"/>
              </w:rPr>
            </w:pPr>
            <w:r>
              <w:rPr>
                <w:sz w:val="4"/>
                <w:szCs w:val="4"/>
              </w:rPr>
            </w:r>
          </w:p>
        </w:tc>
        <w:tc>
          <w:tcPr>
            <w:tcW w:w="1755" w:type="dxa"/>
            <w:gridSpan w:val="4"/>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 Convertible</w:t>
              <w:br/>
              <w:t>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Convertible</w:t>
              <w:br/>
              <w:t>Preferred Stock</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1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89,487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51,273,790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77,091</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35,722,402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19,764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r>
              <w:rPr/>
              <w:t>(45,438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(25,634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B convertible preferred stock for the settlement of the tranche right liability, net of issuance costs of $87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38,157,240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68,161</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7,343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r>
              <w:rPr/>
              <w:t>7,343</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1,491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1,491</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(22,669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(22,669</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Change in unrealized gain (loss) on investments, net of tax</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left w:val="single" w:sz="8"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6"/>
              </w:rPr>
            </w:pPr>
            <w:r>
              <w:rPr>
                <w:rFonts w:ascii="Times New Roman" w:hAnsi="Times New Roman"/>
                <w:b/>
                <w:sz w:val="16"/>
              </w:rPr>
              <w:t>Balance at March 31, 2024</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100,182,354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89,487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89,431,030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145,252</w:t>
            </w:r>
          </w:p>
        </w:tc>
        <w:tc>
          <w:tcPr>
            <w:tcW w:w="60" w:type="dxa"/>
            <w:tcBorders/>
            <w:vAlign w:val="bottom"/>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35,722,402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28,598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458"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(68,107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(39,633</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4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14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fin803738_20"/>
      <w:bookmarkEnd w:id="35"/>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5"/>
        <w:gridCol w:w="152"/>
        <w:gridCol w:w="140"/>
        <w:gridCol w:w="722"/>
        <w:gridCol w:w="155"/>
        <w:gridCol w:w="118"/>
        <w:gridCol w:w="140"/>
        <w:gridCol w:w="764"/>
        <w:gridCol w:w="159"/>
      </w:tblGrid>
      <w:tr>
        <w:trPr/>
        <w:tc>
          <w:tcPr>
            <w:tcW w:w="78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March 31,</w:t>
            </w:r>
          </w:p>
        </w:tc>
        <w:tc>
          <w:tcPr>
            <w:tcW w:w="159"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(6,147</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(22,669</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152</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(accretion) and amortization of investments in marketable securities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(978</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Change in fair value of preferred stock tranche right liability</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1,030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7,390</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lease expense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156</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723</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1,491</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(606</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(2,070</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assets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27</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(454</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(1,134</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181</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(161</w:t>
            </w:r>
          </w:p>
        </w:tc>
        <w:tc>
          <w:tcPr>
            <w:tcW w:w="159"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operating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(4,801</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(17,615</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short-term investments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(44,801</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Maturities of short-term investments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3,947</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(1,072</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(41,926</w:t>
            </w:r>
          </w:p>
        </w:tc>
        <w:tc>
          <w:tcPr>
            <w:tcW w:w="159"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issuance of Series A convertible preferred stock, net of issuance costs paid</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60,000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issuance of Series B convertible preferred stock, net of issuance costs paid</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63,942</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issuance of common stock and restricted common stock</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deferred offering costs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(283</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Net cash provided by financing activities</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60,006</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63,659</w:t>
            </w:r>
          </w:p>
        </w:tc>
        <w:tc>
          <w:tcPr>
            <w:tcW w:w="159"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increase in cash, cash equivalents, and restricted cash</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55,144</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4,118</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beginning of period</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31,159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70,254</w:t>
            </w:r>
          </w:p>
        </w:tc>
        <w:tc>
          <w:tcPr>
            <w:tcW w:w="159"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period</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86,303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74,372</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b/>
                <w:sz w:val="18"/>
              </w:rPr>
            </w:pPr>
            <w:r>
              <w:rPr>
                <w:rFonts w:ascii="Times New Roman" w:hAnsi="Times New Roman"/>
                <w:b/>
                <w:sz w:val="18"/>
              </w:rPr>
              <w:t>Supplemental cash flow information:</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Supplemental disclosure for noncash investing and financing activities: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Settlement of Series A preferred stock tranche right liability</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11,465</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Settlement of Series B preferred stock tranche right liability</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11,590</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Deferred offering costs included in accounts payable and accrued expenses at period end</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1,472</w:t>
            </w:r>
          </w:p>
        </w:tc>
        <w:tc>
          <w:tcPr>
            <w:tcW w:w="159" w:type="dxa"/>
            <w:tcBorders/>
            <w:vAlign w:val="bottom"/>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 included in accounts payable and accrued expenses at period end</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134</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847</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b/>
                <w:sz w:val="18"/>
              </w:rPr>
            </w:pPr>
            <w:r>
              <w:rPr>
                <w:rFonts w:ascii="Times New Roman" w:hAnsi="Times New Roman"/>
                <w:b/>
                <w:sz w:val="18"/>
              </w:rPr>
              <w:t>Reconciliation of cash, cash equivalents and restricted cash</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86,303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74,267</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4" w:type="dxa"/>
            <w:tcBorders/>
            <w:vAlign w:val="bottom"/>
          </w:tcPr>
          <w:p>
            <w:pPr>
              <w:pStyle w:val="TableContents"/>
              <w:bidi w:val="0"/>
              <w:spacing w:before="0" w:after="283"/>
              <w:jc w:val="right"/>
              <w:rPr/>
            </w:pPr>
            <w:r>
              <w:rPr/>
              <w:t>105</w:t>
            </w:r>
          </w:p>
        </w:tc>
        <w:tc>
          <w:tcPr>
            <w:tcW w:w="159" w:type="dxa"/>
            <w:tcBorders/>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cash, cash equivalents and restricted cash shown in the statement of cash flows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86,303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74,372</w:t>
            </w:r>
          </w:p>
        </w:tc>
        <w:tc>
          <w:tcPr>
            <w:tcW w:w="159" w:type="dxa"/>
            <w:tcBorders/>
            <w:shd w:fill="CCEEFF" w:val="clear"/>
            <w:vAlign w:val="bottom"/>
          </w:tcPr>
          <w:p>
            <w:pPr>
              <w:pStyle w:val="TableContents"/>
              <w:bidi w:val="0"/>
              <w:spacing w:before="0" w:after="283"/>
              <w:jc w:val="left"/>
              <w:rPr/>
            </w:pPr>
            <w:r>
              <w:rPr/>
              <w:t> </w:t>
            </w:r>
          </w:p>
        </w:tc>
      </w:tr>
      <w:tr>
        <w:trPr/>
        <w:tc>
          <w:tcPr>
            <w:tcW w:w="785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60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fin803738_21"/>
      <w:bookmarkEnd w:id="36"/>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Rapport Therapeutics, Inc., together with its consolidated subsidiary (the Company) is a clinical-stage biopharmaceutical company focused on discovery and development of transformational small molecule medicines for patients suffering from central nervous system disorders. The Company was incorporated in the state of Delaware in February 2022 as Precision Neuroscience NewCo, Inc. In October 2022, the Company changed its name to Rapport Therapeutics, Inc. The Company is located in Boston, Massachusetts and 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risks and uncertainties common to early stage companies in the biotechnology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condensed consolidated financial statements have been prepared on the basis of continuity of operations, realization of assets and the satisfaction of liabilities and commitments in the ordinary course of business. Through March 31, 2024, the Company has funded its operations primarily with proceeds from the sale of convertible notes and convertible preferred stock. The Company has incurred recurring losses since its inception, including net losses of $34.8 million and $22.7 million for the year ended December 31, 2023 and the three months ended March 31, 2024, respectively. In addition, as of March 31, 2024, the Company had an accumulated deficit of $68.1 million. The Company expects to continue to generate operating losses for the foreseeable future. As of the issuance date of the condensed consolidated interim financial statements for the three months ended March 31, 2024, the Company expects that its cash and cash equivalents and short-term investments will be sufficient to fund its operating expenses and capital expenditure requirements through at least 12 months from the issuance of the condensed consolidated financial statements. The future viability of the Company beyond that point is dependent on its ability to raise additional capital to finance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seeking to complete an initial public offering (IPO) of its common stock. Upon the completion of a qualified public offering on specified terms, the Companys outstanding convertible preferred stock will convert into shares of common stock (see Note 6). In the event the Company does not complete an IPO, the Company will seek additional funding through private equity financings, debt financings or other capital sources, including collaborations with other companies or other strategic transactions. The Company may not be able to obtain funding on acceptable terms, or at all. The terms of any financing may adversely affect the holdings or the rights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unable to obtain funding it could be forced to delay, reduce or eliminate some or all of its research and development programs,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by the Company in accordance with accounting principles generally accepted in the United States of America (GAAP) for interim financial reporting and as required by Regulation S-X, Rule 10-01. The accompanying unaudited condensed consolidated financial statements reflect the operations of the Company. Intercompany balances and transactions have been eliminated in consolidation.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March 31, 2024 and the results of operations for the three-month interim periods ended March 31, 2023 and 2024. The condensed balance sheet as of December 31, 2023 was derived from audited annual financial statements but does not include all disclosures required by GAAP. The results of operations for the interim periods are not necessarily indicative of results to be expected for the year ending December 31, 2024, any other interim periods, or any future year or period.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Other than policies noted below, there have been no significant changes from the significant accounting policies and estimates disclosed in Note 2 of the Notes to Consolidated Financial Statements included in our audited annual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Companys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periods. Significant estimates and assumptions reflected within these condensed consolidated financial statements include, but are not limited to, research and development expenses and accruals, the valuation of the Companys common stock and stock-based awards and the valuation of preferred stock tranche right liability. The Company bases its estimates on known trends and other market-specific or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consist primarily of cash and cash equivalents and short-term investments. The Company maintains its cash and cash equivalents at high-quality and accredited financial institutions in amounts that could exceed federally insured limits. Cash equivalents are invested in money market funds. However, the Company does not believe that it is subject to unusual credit risk beyond the normal credit risk associated with commercial banking relationships. The Companys short-term investments consist of U.S. Treasury bills, government securities, and government agency securities and as a result, the Company believes represent minimal credit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as of December 31, 2023 consisted of a letter of credit totaling $85 thousand that was established in connection with an anticipated lease arrangement, which was cancelled prior to commencement due to failure of the landlord to complete its obligations. Consequently, the letter of credit and related cash restriction were released in March 2024. Restricted cash at March 31, 2024 was $105 thousand, which was restricted as cash collateral for the Companys business credit card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short-term investments consist of investments in debt securities, including U.S. Treasury bills, government securities, and U.S. agency securities with remaining maturities beyond three months at the date of purchase that are available to be converted into cash to fund its current operations. As of December 31, 2023 and March 31, 2024, all of the Companys debt securities were classified as available-for-sale and were carried at fair market value (see Note 3). The unrealized gains and losses on the Companys available-for-sale debt securities are recorded in other comprehensive income (loss) in the condensed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in an unrealized loss position are evaluated for impairment at least quarterly. For available-for-sale debt securities in an unrealized loss position, the Company first assesses whether or not it intends to sell, or it is more likely than not that it will be required to sell the security before recovery of its amortized cost basis. If either of the criteria regarding intent or requirement to sell is met, the investment securitys amortized cost basis is written down to fair value through net loss. </w:t>
      </w:r>
    </w:p>
    <w:p>
      <w:pPr>
        <w:pStyle w:val="TextBody"/>
        <w:bidi w:val="0"/>
        <w:spacing w:before="240" w:after="0"/>
        <w:jc w:val="left"/>
        <w:rPr>
          <w:rFonts w:ascii="Times New Roman" w:hAnsi="Times New Roman"/>
          <w:sz w:val="20"/>
        </w:rPr>
      </w:pPr>
      <w:r>
        <w:rPr>
          <w:rFonts w:ascii="Times New Roman" w:hAnsi="Times New Roman"/>
          <w:sz w:val="20"/>
        </w:rPr>
        <w:t xml:space="preserve">For available-for-sale debt securities that do not meet the aforementioned criteria, the Company evaluates whether the decline in fair value has resulted from credit losses or other factors. In conducting this assessment for debt securities in an unrealized loss position, management evaluates the extent to which fair value is less than amortized cost, any changes to the rating of the security by a rating agency, and adverse conditions specifically related to the security, among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this assessment indicates that a credit loss exists, the present value of cash flows expected to be collected from the investment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 is recognized in other comprehensive income (loss). As of December 31, 2023 and March 31, 2024, there was no allowance for credit losses recorded on the Companys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interest income consists of interest earned from cash, cash equivalents, and short-term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the deferred offering costs would be expensed immediately as a charge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operating expenses in the condensed consolidated statements of operations and comprehensive loss. As of December 31, 2023 and March 31, 2024, there were $0.3 million and $1.9 million, respectively, of deferred offering costs capitalized and included in other assets on the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as well as other changes in stockholders deficit that result from transactions and economic events other than those with stockholders. For the three months ended March 31, 2023, there was no difference between net loss and comprehensive loss. For the three months ended March 31, 2024, comprehensive loss includes unrealized losses on short-term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Accounting standards that have been issued by the FASB or other standards-setting bodies that do not require adoption until a future date are not expected to have a material impact on our financial statements upon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0"/>
        <w:gridCol w:w="216"/>
        <w:gridCol w:w="140"/>
        <w:gridCol w:w="683"/>
        <w:gridCol w:w="60"/>
        <w:gridCol w:w="216"/>
        <w:gridCol w:w="140"/>
        <w:gridCol w:w="826"/>
        <w:gridCol w:w="60"/>
        <w:gridCol w:w="216"/>
        <w:gridCol w:w="160"/>
        <w:gridCol w:w="640"/>
        <w:gridCol w:w="60"/>
        <w:gridCol w:w="216"/>
        <w:gridCol w:w="140"/>
        <w:gridCol w:w="826"/>
        <w:gridCol w:w="66"/>
      </w:tblGrid>
      <w:tr>
        <w:trPr/>
        <w:tc>
          <w:tcPr>
            <w:tcW w:w="554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383" w:type="dxa"/>
            <w:gridSpan w:val="14"/>
            <w:tcBorders>
              <w:bottom w:val="single" w:sz="8" w:space="0" w:color="000000"/>
            </w:tcBorders>
            <w:tcMar>
              <w:bottom w:w="28" w:type="dxa"/>
            </w:tcMar>
            <w:vAlign w:val="bottom"/>
          </w:tcPr>
          <w:p>
            <w:pPr>
              <w:pStyle w:val="TableContents"/>
              <w:bidi w:val="0"/>
              <w:spacing w:before="0" w:after="283"/>
              <w:jc w:val="center"/>
              <w:rPr/>
            </w:pPr>
            <w:r>
              <w:rPr>
                <w:b/>
              </w:rPr>
              <w:t>Fair Value Measurements at</w:t>
            </w:r>
            <w:r>
              <w:rPr/>
              <w:br/>
            </w:r>
            <w:r>
              <w:rPr>
                <w:b/>
              </w:rPr>
              <w:t>December 31, 2023</w:t>
            </w:r>
          </w:p>
        </w:tc>
        <w:tc>
          <w:tcPr>
            <w:tcW w:w="66"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23,441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23,441</w:t>
            </w:r>
          </w:p>
        </w:tc>
        <w:tc>
          <w:tcPr>
            <w:tcW w:w="66" w:type="dxa"/>
            <w:tcBorders/>
            <w:shd w:fill="CCEEFF" w:val="clear"/>
            <w:vAlign w:val="bottom"/>
          </w:tcPr>
          <w:p>
            <w:pPr>
              <w:pStyle w:val="TableContents"/>
              <w:bidi w:val="0"/>
              <w:spacing w:before="0" w:after="283"/>
              <w:jc w:val="left"/>
              <w:rPr/>
            </w:pPr>
            <w:r>
              <w:rPr/>
              <w:t> </w:t>
            </w:r>
          </w:p>
        </w:tc>
      </w:tr>
      <w:tr>
        <w:trPr/>
        <w:tc>
          <w:tcPr>
            <w:tcW w:w="554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23,832</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23,832</w:t>
            </w:r>
          </w:p>
        </w:tc>
        <w:tc>
          <w:tcPr>
            <w:tcW w:w="66" w:type="dxa"/>
            <w:tcBorders/>
            <w:vAlign w:val="bottom"/>
          </w:tcPr>
          <w:p>
            <w:pPr>
              <w:pStyle w:val="TableContents"/>
              <w:bidi w:val="0"/>
              <w:spacing w:before="0" w:after="283"/>
              <w:jc w:val="left"/>
              <w:rPr/>
            </w:pPr>
            <w:r>
              <w:rPr/>
              <w:t> </w:t>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 and government securities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77,309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77,309</w:t>
            </w:r>
          </w:p>
        </w:tc>
        <w:tc>
          <w:tcPr>
            <w:tcW w:w="66"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540" w:type="dxa"/>
            <w:tcBorders/>
            <w:shd w:fill="CCEEFF" w:val="clear"/>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23,441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101,141</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124,582</w:t>
            </w:r>
          </w:p>
        </w:tc>
        <w:tc>
          <w:tcPr>
            <w:tcW w:w="66"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preferred stock tranche right liability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4,200</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4,200</w:t>
            </w:r>
          </w:p>
        </w:tc>
        <w:tc>
          <w:tcPr>
            <w:tcW w:w="66"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540"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640" w:type="dxa"/>
            <w:tcBorders/>
            <w:vAlign w:val="bottom"/>
          </w:tcPr>
          <w:p>
            <w:pPr>
              <w:pStyle w:val="TableContents"/>
              <w:bidi w:val="0"/>
              <w:spacing w:before="0" w:after="283"/>
              <w:jc w:val="right"/>
              <w:rPr/>
            </w:pPr>
            <w:r>
              <w:rPr/>
              <w:t>4,200</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4,200</w:t>
            </w:r>
          </w:p>
        </w:tc>
        <w:tc>
          <w:tcPr>
            <w:tcW w:w="66"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8"/>
        <w:gridCol w:w="221"/>
        <w:gridCol w:w="140"/>
        <w:gridCol w:w="777"/>
        <w:gridCol w:w="60"/>
        <w:gridCol w:w="221"/>
        <w:gridCol w:w="140"/>
        <w:gridCol w:w="933"/>
        <w:gridCol w:w="60"/>
        <w:gridCol w:w="221"/>
        <w:gridCol w:w="265"/>
        <w:gridCol w:w="568"/>
        <w:gridCol w:w="60"/>
        <w:gridCol w:w="221"/>
        <w:gridCol w:w="140"/>
        <w:gridCol w:w="933"/>
        <w:gridCol w:w="67"/>
      </w:tblGrid>
      <w:tr>
        <w:trPr/>
        <w:tc>
          <w:tcPr>
            <w:tcW w:w="5178"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17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4739" w:type="dxa"/>
            <w:gridSpan w:val="14"/>
            <w:tcBorders>
              <w:bottom w:val="single" w:sz="8" w:space="0" w:color="000000"/>
            </w:tcBorders>
            <w:tcMar>
              <w:bottom w:w="28" w:type="dxa"/>
            </w:tcMar>
            <w:vAlign w:val="bottom"/>
          </w:tcPr>
          <w:p>
            <w:pPr>
              <w:pStyle w:val="TableContents"/>
              <w:bidi w:val="0"/>
              <w:spacing w:before="0" w:after="283"/>
              <w:jc w:val="center"/>
              <w:rPr/>
            </w:pPr>
            <w:r>
              <w:rPr>
                <w:b/>
              </w:rPr>
              <w:t>Fair Value Measurements at</w:t>
            </w:r>
            <w:r>
              <w:rPr/>
              <w:br/>
            </w:r>
            <w:r>
              <w:rPr>
                <w:b/>
              </w:rPr>
              <w:t>March 31, 2024</w:t>
            </w:r>
          </w:p>
        </w:tc>
        <w:tc>
          <w:tcPr>
            <w:tcW w:w="67" w:type="dxa"/>
            <w:tcBorders/>
            <w:vAlign w:val="bottom"/>
          </w:tcPr>
          <w:p>
            <w:pPr>
              <w:pStyle w:val="TableContents"/>
              <w:bidi w:val="0"/>
              <w:spacing w:before="0" w:after="283"/>
              <w:jc w:val="left"/>
              <w:rPr/>
            </w:pPr>
            <w:r>
              <w:rPr/>
              <w:t> </w:t>
            </w:r>
          </w:p>
        </w:tc>
      </w:tr>
      <w:tr>
        <w:trPr/>
        <w:tc>
          <w:tcPr>
            <w:tcW w:w="517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5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 </w:t>
            </w:r>
            <w:r>
              <w:rPr/>
              <w:t>7,024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7,024</w:t>
            </w:r>
          </w:p>
        </w:tc>
        <w:tc>
          <w:tcPr>
            <w:tcW w:w="67" w:type="dxa"/>
            <w:tcBorders/>
            <w:shd w:fill="CCEEFF" w:val="clear"/>
            <w:vAlign w:val="bottom"/>
          </w:tcPr>
          <w:p>
            <w:pPr>
              <w:pStyle w:val="TableContents"/>
              <w:bidi w:val="0"/>
              <w:spacing w:before="0" w:after="283"/>
              <w:jc w:val="left"/>
              <w:rPr/>
            </w:pPr>
            <w:r>
              <w:rPr/>
              <w:t> </w:t>
            </w:r>
          </w:p>
        </w:tc>
      </w:tr>
      <w:tr>
        <w:trPr/>
        <w:tc>
          <w:tcPr>
            <w:tcW w:w="517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bills, government securities, and government agency securities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118,977</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118,977</w:t>
            </w:r>
          </w:p>
        </w:tc>
        <w:tc>
          <w:tcPr>
            <w:tcW w:w="67" w:type="dxa"/>
            <w:tcBorders/>
            <w:shd w:fill="CCEEFF" w:val="clear"/>
            <w:vAlign w:val="bottom"/>
          </w:tcPr>
          <w:p>
            <w:pPr>
              <w:pStyle w:val="TableContents"/>
              <w:bidi w:val="0"/>
              <w:spacing w:before="0" w:after="283"/>
              <w:jc w:val="left"/>
              <w:rPr/>
            </w:pPr>
            <w:r>
              <w:rPr/>
              <w:t> </w:t>
            </w:r>
          </w:p>
        </w:tc>
      </w:tr>
      <w:tr>
        <w:trPr/>
        <w:tc>
          <w:tcPr>
            <w:tcW w:w="517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178"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7,024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118,977</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126,001</w:t>
            </w:r>
          </w:p>
        </w:tc>
        <w:tc>
          <w:tcPr>
            <w:tcW w:w="67" w:type="dxa"/>
            <w:tcBorders/>
            <w:vAlign w:val="bottom"/>
          </w:tcPr>
          <w:p>
            <w:pPr>
              <w:pStyle w:val="TableContents"/>
              <w:bidi w:val="0"/>
              <w:spacing w:before="0" w:after="283"/>
              <w:jc w:val="left"/>
              <w:rPr/>
            </w:pPr>
            <w:r>
              <w:rPr/>
              <w:t> </w:t>
            </w:r>
          </w:p>
        </w:tc>
      </w:tr>
      <w:tr>
        <w:trPr/>
        <w:tc>
          <w:tcPr>
            <w:tcW w:w="517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Money market funds are highly liquid and actively traded marketable securities that generally transact at a stable $1.00 net asset value representing its estimated fair value. For the year ended December 31, 2023 and for the three months ended March 31, 2024, there were no transfers between Level 1, Level 2 and Level 3.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its U.S. Treasury securities as short-term because they are available to be converted into cash to fund current operations. The fair value of the Companys U.S. Treasury bills, government securities, and government agency securities are classified as Level 2 because they are valued using observable inputs to quoted market prices, benchmark yields, reported trades, broker/dealer quotes or alternative pricing sources with reasonable levels of price transparency and U.S. Treasury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underlying securities held in the money market funds held by the Company are all government backed securities. </w:t>
      </w:r>
    </w:p>
    <w:p>
      <w:pPr>
        <w:pStyle w:val="TextBody"/>
        <w:bidi w:val="0"/>
        <w:spacing w:before="240" w:after="0"/>
        <w:jc w:val="left"/>
        <w:rPr>
          <w:rFonts w:ascii="Times New Roman" w:hAnsi="Times New Roman"/>
          <w:sz w:val="20"/>
        </w:rPr>
      </w:pPr>
      <w:r>
        <w:rPr>
          <w:rFonts w:ascii="Times New Roman" w:hAnsi="Times New Roman"/>
          <w:sz w:val="20"/>
        </w:rPr>
        <w:t xml:space="preserve">Short-term investments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8"/>
        <w:gridCol w:w="206"/>
        <w:gridCol w:w="194"/>
        <w:gridCol w:w="956"/>
        <w:gridCol w:w="60"/>
        <w:gridCol w:w="206"/>
        <w:gridCol w:w="158"/>
        <w:gridCol w:w="998"/>
        <w:gridCol w:w="60"/>
        <w:gridCol w:w="206"/>
        <w:gridCol w:w="209"/>
        <w:gridCol w:w="961"/>
        <w:gridCol w:w="60"/>
        <w:gridCol w:w="206"/>
        <w:gridCol w:w="179"/>
        <w:gridCol w:w="982"/>
        <w:gridCol w:w="66"/>
      </w:tblGrid>
      <w:tr>
        <w:trPr/>
        <w:tc>
          <w:tcPr>
            <w:tcW w:w="449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9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54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449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Losses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6" w:type="dxa"/>
            <w:tcBorders/>
            <w:vAlign w:val="bottom"/>
          </w:tcPr>
          <w:p>
            <w:pPr>
              <w:pStyle w:val="TableContents"/>
              <w:bidi w:val="0"/>
              <w:spacing w:before="0" w:after="283"/>
              <w:jc w:val="left"/>
              <w:rPr/>
            </w:pPr>
            <w:r>
              <w:rPr/>
              <w:t> </w:t>
            </w:r>
          </w:p>
        </w:tc>
      </w:tr>
      <w:tr>
        <w:trPr/>
        <w:tc>
          <w:tcPr>
            <w:tcW w:w="44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0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9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498"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 and government securities</w:t>
            </w:r>
          </w:p>
        </w:tc>
        <w:tc>
          <w:tcPr>
            <w:tcW w:w="20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77,305</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9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 </w:t>
            </w:r>
            <w:r>
              <w:rPr/>
              <w:t>77,309</w:t>
            </w:r>
          </w:p>
        </w:tc>
        <w:tc>
          <w:tcPr>
            <w:tcW w:w="66" w:type="dxa"/>
            <w:tcBorders/>
            <w:vAlign w:val="bottom"/>
          </w:tcPr>
          <w:p>
            <w:pPr>
              <w:pStyle w:val="TableContents"/>
              <w:bidi w:val="0"/>
              <w:spacing w:before="0" w:after="283"/>
              <w:jc w:val="left"/>
              <w:rPr/>
            </w:pPr>
            <w:r>
              <w:rPr/>
              <w:t> </w:t>
            </w:r>
          </w:p>
        </w:tc>
      </w:tr>
      <w:tr>
        <w:trPr/>
        <w:tc>
          <w:tcPr>
            <w:tcW w:w="449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98"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77,305</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   </w:t>
            </w:r>
            <w:r>
              <w:rPr/>
              <w:t>4</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77,309</w:t>
            </w:r>
          </w:p>
        </w:tc>
        <w:tc>
          <w:tcPr>
            <w:tcW w:w="66" w:type="dxa"/>
            <w:tcBorders/>
            <w:shd w:fill="CCEEFF" w:val="clear"/>
            <w:vAlign w:val="bottom"/>
          </w:tcPr>
          <w:p>
            <w:pPr>
              <w:pStyle w:val="TableContents"/>
              <w:bidi w:val="0"/>
              <w:spacing w:before="0" w:after="283"/>
              <w:jc w:val="left"/>
              <w:rPr/>
            </w:pPr>
            <w:r>
              <w:rPr/>
              <w:t> </w:t>
            </w:r>
          </w:p>
        </w:tc>
      </w:tr>
      <w:tr>
        <w:trPr/>
        <w:tc>
          <w:tcPr>
            <w:tcW w:w="449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57"/>
        <w:gridCol w:w="205"/>
        <w:gridCol w:w="163"/>
        <w:gridCol w:w="974"/>
        <w:gridCol w:w="60"/>
        <w:gridCol w:w="205"/>
        <w:gridCol w:w="209"/>
        <w:gridCol w:w="963"/>
        <w:gridCol w:w="60"/>
        <w:gridCol w:w="205"/>
        <w:gridCol w:w="165"/>
        <w:gridCol w:w="994"/>
        <w:gridCol w:w="155"/>
        <w:gridCol w:w="162"/>
        <w:gridCol w:w="178"/>
        <w:gridCol w:w="983"/>
        <w:gridCol w:w="67"/>
      </w:tblGrid>
      <w:tr>
        <w:trPr/>
        <w:tc>
          <w:tcPr>
            <w:tcW w:w="4457"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45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47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7" w:type="dxa"/>
            <w:tcBorders/>
            <w:vAlign w:val="bottom"/>
          </w:tcPr>
          <w:p>
            <w:pPr>
              <w:pStyle w:val="TableContents"/>
              <w:bidi w:val="0"/>
              <w:spacing w:before="0" w:after="283"/>
              <w:jc w:val="left"/>
              <w:rPr/>
            </w:pPr>
            <w:r>
              <w:rPr/>
              <w:t> </w:t>
            </w:r>
          </w:p>
        </w:tc>
      </w:tr>
      <w:tr>
        <w:trPr/>
        <w:tc>
          <w:tcPr>
            <w:tcW w:w="445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Losses</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7" w:type="dxa"/>
            <w:tcBorders/>
            <w:vAlign w:val="bottom"/>
          </w:tcPr>
          <w:p>
            <w:pPr>
              <w:pStyle w:val="TableContents"/>
              <w:bidi w:val="0"/>
              <w:spacing w:before="0" w:after="283"/>
              <w:jc w:val="left"/>
              <w:rPr/>
            </w:pPr>
            <w:r>
              <w:rPr/>
              <w:t> </w:t>
            </w:r>
          </w:p>
        </w:tc>
      </w:tr>
      <w:tr>
        <w:trPr/>
        <w:tc>
          <w:tcPr>
            <w:tcW w:w="4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0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457"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 government securities, and government agency securities</w:t>
            </w:r>
          </w:p>
        </w:tc>
        <w:tc>
          <w:tcPr>
            <w:tcW w:w="20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4" w:type="dxa"/>
            <w:tcBorders/>
            <w:vAlign w:val="bottom"/>
          </w:tcPr>
          <w:p>
            <w:pPr>
              <w:pStyle w:val="TableContents"/>
              <w:bidi w:val="0"/>
              <w:spacing w:before="0" w:after="283"/>
              <w:jc w:val="right"/>
              <w:rPr/>
            </w:pPr>
            <w:r>
              <w:rPr/>
              <w:t>119,137</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118,977</w:t>
            </w:r>
          </w:p>
        </w:tc>
        <w:tc>
          <w:tcPr>
            <w:tcW w:w="67" w:type="dxa"/>
            <w:tcBorders/>
            <w:vAlign w:val="bottom"/>
          </w:tcPr>
          <w:p>
            <w:pPr>
              <w:pStyle w:val="TableContents"/>
              <w:bidi w:val="0"/>
              <w:spacing w:before="0" w:after="283"/>
              <w:jc w:val="left"/>
              <w:rPr/>
            </w:pPr>
            <w:r>
              <w:rPr/>
              <w:t> </w:t>
            </w:r>
          </w:p>
        </w:tc>
      </w:tr>
      <w:tr>
        <w:trPr/>
        <w:tc>
          <w:tcPr>
            <w:tcW w:w="445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457" w:type="dxa"/>
            <w:tcBorders/>
            <w:shd w:fill="CCEEFF" w:val="clear"/>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74" w:type="dxa"/>
            <w:tcBorders/>
            <w:shd w:fill="CCEEFF" w:val="clear"/>
            <w:vAlign w:val="bottom"/>
          </w:tcPr>
          <w:p>
            <w:pPr>
              <w:pStyle w:val="TableContents"/>
              <w:bidi w:val="0"/>
              <w:spacing w:before="0" w:after="283"/>
              <w:jc w:val="right"/>
              <w:rPr/>
            </w:pPr>
            <w:r>
              <w:rPr/>
              <w:t>119,137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  </w:t>
            </w:r>
            <w:r>
              <w:rPr/>
              <w:t>(160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118,977</w:t>
            </w:r>
          </w:p>
        </w:tc>
        <w:tc>
          <w:tcPr>
            <w:tcW w:w="67" w:type="dxa"/>
            <w:tcBorders/>
            <w:shd w:fill="CCEEFF" w:val="clear"/>
            <w:vAlign w:val="bottom"/>
          </w:tcPr>
          <w:p>
            <w:pPr>
              <w:pStyle w:val="TableContents"/>
              <w:bidi w:val="0"/>
              <w:spacing w:before="0" w:after="283"/>
              <w:jc w:val="left"/>
              <w:rPr/>
            </w:pPr>
            <w:r>
              <w:rPr/>
              <w:t> </w:t>
            </w:r>
          </w:p>
        </w:tc>
      </w:tr>
      <w:tr>
        <w:trPr/>
        <w:tc>
          <w:tcPr>
            <w:tcW w:w="445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contractual maturities of the Companys short-term investments in available-for-sale debt securities held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8"/>
        <w:gridCol w:w="233"/>
        <w:gridCol w:w="152"/>
        <w:gridCol w:w="1365"/>
        <w:gridCol w:w="60"/>
        <w:gridCol w:w="233"/>
        <w:gridCol w:w="171"/>
        <w:gridCol w:w="920"/>
        <w:gridCol w:w="63"/>
      </w:tblGrid>
      <w:tr>
        <w:trPr/>
        <w:tc>
          <w:tcPr>
            <w:tcW w:w="7008"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00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3" w:type="dxa"/>
            <w:tcBorders/>
            <w:vAlign w:val="bottom"/>
          </w:tcPr>
          <w:p>
            <w:pPr>
              <w:pStyle w:val="TableContents"/>
              <w:bidi w:val="0"/>
              <w:spacing w:before="0" w:after="283"/>
              <w:jc w:val="left"/>
              <w:rPr/>
            </w:pPr>
            <w:r>
              <w:rPr/>
              <w:t> </w:t>
            </w:r>
          </w:p>
        </w:tc>
      </w:tr>
      <w:tr>
        <w:trPr/>
        <w:tc>
          <w:tcPr>
            <w:tcW w:w="7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within one year</w:t>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77,309</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101,154</w:t>
            </w:r>
          </w:p>
        </w:tc>
        <w:tc>
          <w:tcPr>
            <w:tcW w:w="63" w:type="dxa"/>
            <w:tcBorders/>
            <w:shd w:fill="CCEEFF" w:val="clear"/>
            <w:vAlign w:val="bottom"/>
          </w:tcPr>
          <w:p>
            <w:pPr>
              <w:pStyle w:val="TableContents"/>
              <w:bidi w:val="0"/>
              <w:spacing w:before="0" w:after="283"/>
              <w:jc w:val="left"/>
              <w:rPr/>
            </w:pPr>
            <w:r>
              <w:rPr/>
              <w:t> </w:t>
            </w:r>
          </w:p>
        </w:tc>
      </w:tr>
      <w:tr>
        <w:trPr/>
        <w:tc>
          <w:tcPr>
            <w:tcW w:w="7008" w:type="dxa"/>
            <w:tcBorders/>
          </w:tcPr>
          <w:p>
            <w:pPr>
              <w:pStyle w:val="TableContents"/>
              <w:bidi w:val="0"/>
              <w:spacing w:before="0" w:after="0"/>
              <w:jc w:val="left"/>
              <w:rPr>
                <w:rFonts w:ascii="Times New Roman" w:hAnsi="Times New Roman"/>
                <w:sz w:val="20"/>
              </w:rPr>
            </w:pPr>
            <w:r>
              <w:rPr>
                <w:rFonts w:ascii="Times New Roman" w:hAnsi="Times New Roman"/>
                <w:sz w:val="20"/>
              </w:rPr>
              <w:t>Due between one and two years</w:t>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17,823</w:t>
            </w:r>
          </w:p>
        </w:tc>
        <w:tc>
          <w:tcPr>
            <w:tcW w:w="63" w:type="dxa"/>
            <w:tcBorders/>
            <w:vAlign w:val="bottom"/>
          </w:tcPr>
          <w:p>
            <w:pPr>
              <w:pStyle w:val="TableContents"/>
              <w:bidi w:val="0"/>
              <w:spacing w:before="0" w:after="283"/>
              <w:jc w:val="left"/>
              <w:rPr/>
            </w:pPr>
            <w:r>
              <w:rPr/>
              <w:t> </w:t>
            </w:r>
          </w:p>
        </w:tc>
      </w:tr>
      <w:tr>
        <w:trPr/>
        <w:tc>
          <w:tcPr>
            <w:tcW w:w="700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008" w:type="dxa"/>
            <w:tcBorders/>
            <w:shd w:fill="CCEEFF" w:val="clear"/>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  </w:t>
            </w:r>
            <w:r>
              <w:rPr/>
              <w:t>77,309</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118,977</w:t>
            </w:r>
          </w:p>
        </w:tc>
        <w:tc>
          <w:tcPr>
            <w:tcW w:w="63" w:type="dxa"/>
            <w:tcBorders/>
            <w:shd w:fill="CCEEFF" w:val="clear"/>
            <w:vAlign w:val="bottom"/>
          </w:tcPr>
          <w:p>
            <w:pPr>
              <w:pStyle w:val="TableContents"/>
              <w:bidi w:val="0"/>
              <w:spacing w:before="0" w:after="283"/>
              <w:jc w:val="left"/>
              <w:rPr/>
            </w:pPr>
            <w:r>
              <w:rPr/>
              <w:t> </w:t>
            </w:r>
          </w:p>
        </w:tc>
      </w:tr>
      <w:tr>
        <w:trPr/>
        <w:tc>
          <w:tcPr>
            <w:tcW w:w="700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2024, all investments in an unrealized loss position were in this position for less than 12 months. The Company evaluated its securities for potential other-than-temporary impairment and considered the decline in market value to be primarily attributable to current economic and market conditions. Additionally, the Company does not intend to sell the securities in an unrealized loss position and does not expect it will be required to sell the securities before recovery of the unamortized cost basis. Given the Companys intent and ability to hold such securities until recovery, and the lack of a significant change in credit risk for these investments, the Company does not consider these investments to be impaired as of March 31, 2024. The Company did not recognize any credit losses during the three months ended March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Valuation of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Series A and Series B preferred stock tranche right liabilities in the table above are composed of the fair value of obligations to issue Series A convertible preferred stock and Series B convertible preferred stock, respectively (see Note 6), either upon achievement of certain specified milestones, upon the waiver of such milestone achievement by a majority vote of the respective series convertible preferred stockholders or in relation to the Series B convertible preferred stock, upon a shareholder exercising its right to early exercise the tranche right. The fair value of the tranche right liability was determined based on significant inputs not observable in the market, which represented a Level 3 measurement within the fair value hierarchy. The fair value of the tranche right liabilities were determined using a Contingent Forward Analysis, which is a scenario-based lattice model that accounts for the different possible milestone scenarios and their associated probabilities, as estimated by the Company. The valuation model considered the probability of closing the tranche, the estimated future value of the Convertible Preferred Stock to be issued at each closing and the investment required at each closing. Future values were converted to present value using a discount rate appropriate for probability-adjusted cash flows. The risk-free rate was determined by reference to the U.S. Treasury yield curve for time periods approximately equal to the remaining estimated time to each tranche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provide a roll-forward of the aggregate fair value of the Companys Series A preferred stock tranche right liability during the three months ended March 31, 2023, for which fair value is determined using Level 3 inputs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1"/>
        <w:gridCol w:w="309"/>
        <w:gridCol w:w="177"/>
        <w:gridCol w:w="2430"/>
        <w:gridCol w:w="158"/>
      </w:tblGrid>
      <w:tr>
        <w:trPr/>
        <w:tc>
          <w:tcPr>
            <w:tcW w:w="7131"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3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 Preferred Stock</w:t>
              <w:br/>
              <w:t>Tranche Right Liability</w:t>
            </w:r>
          </w:p>
        </w:tc>
        <w:tc>
          <w:tcPr>
            <w:tcW w:w="158" w:type="dxa"/>
            <w:tcBorders/>
            <w:vAlign w:val="bottom"/>
          </w:tcPr>
          <w:p>
            <w:pPr>
              <w:pStyle w:val="TableContents"/>
              <w:bidi w:val="0"/>
              <w:spacing w:before="0" w:after="283"/>
              <w:jc w:val="left"/>
              <w:rPr/>
            </w:pPr>
            <w:r>
              <w:rPr/>
              <w:t> </w:t>
            </w:r>
          </w:p>
        </w:tc>
      </w:tr>
      <w:tr>
        <w:trPr/>
        <w:tc>
          <w:tcPr>
            <w:tcW w:w="7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30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2430" w:type="dxa"/>
            <w:tcBorders/>
            <w:shd w:fill="CCEEFF" w:val="clear"/>
            <w:vAlign w:val="bottom"/>
          </w:tcPr>
          <w:p>
            <w:pPr>
              <w:pStyle w:val="TableContents"/>
              <w:bidi w:val="0"/>
              <w:spacing w:before="0" w:after="283"/>
              <w:jc w:val="right"/>
              <w:rPr/>
            </w:pPr>
            <w:r>
              <w:rPr/>
              <w:t>     </w:t>
            </w:r>
            <w:r>
              <w:rPr/>
              <w:t>10,435</w:t>
            </w:r>
          </w:p>
        </w:tc>
        <w:tc>
          <w:tcPr>
            <w:tcW w:w="158" w:type="dxa"/>
            <w:tcBorders/>
            <w:shd w:fill="CCEEFF" w:val="clear"/>
            <w:vAlign w:val="bottom"/>
          </w:tcPr>
          <w:p>
            <w:pPr>
              <w:pStyle w:val="TableContents"/>
              <w:bidi w:val="0"/>
              <w:spacing w:before="0" w:after="283"/>
              <w:jc w:val="left"/>
              <w:rPr/>
            </w:pPr>
            <w:r>
              <w:rPr/>
              <w:t> </w:t>
            </w:r>
          </w:p>
        </w:tc>
      </w:tr>
      <w:tr>
        <w:trPr/>
        <w:tc>
          <w:tcPr>
            <w:tcW w:w="713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Series A preferred stock tranche right liability</w:t>
            </w:r>
          </w:p>
        </w:tc>
        <w:tc>
          <w:tcPr>
            <w:tcW w:w="30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430" w:type="dxa"/>
            <w:tcBorders/>
            <w:vAlign w:val="bottom"/>
          </w:tcPr>
          <w:p>
            <w:pPr>
              <w:pStyle w:val="TableContents"/>
              <w:bidi w:val="0"/>
              <w:spacing w:before="0" w:after="283"/>
              <w:jc w:val="right"/>
              <w:rPr/>
            </w:pPr>
            <w:r>
              <w:rPr/>
              <w:t>1,030</w:t>
            </w:r>
          </w:p>
        </w:tc>
        <w:tc>
          <w:tcPr>
            <w:tcW w:w="158" w:type="dxa"/>
            <w:tcBorders/>
            <w:vAlign w:val="bottom"/>
          </w:tcPr>
          <w:p>
            <w:pPr>
              <w:pStyle w:val="TableContents"/>
              <w:bidi w:val="0"/>
              <w:spacing w:before="0" w:after="283"/>
              <w:jc w:val="left"/>
              <w:rPr/>
            </w:pPr>
            <w:r>
              <w:rPr/>
              <w:t> </w:t>
            </w:r>
          </w:p>
        </w:tc>
      </w:tr>
      <w:tr>
        <w:trPr/>
        <w:tc>
          <w:tcPr>
            <w:tcW w:w="7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Series A preferred stock tranche right liability upon waiver of milestone</w:t>
            </w:r>
          </w:p>
        </w:tc>
        <w:tc>
          <w:tcPr>
            <w:tcW w:w="30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430" w:type="dxa"/>
            <w:tcBorders/>
            <w:shd w:fill="CCEEFF" w:val="clear"/>
            <w:vAlign w:val="bottom"/>
          </w:tcPr>
          <w:p>
            <w:pPr>
              <w:pStyle w:val="TableContents"/>
              <w:bidi w:val="0"/>
              <w:spacing w:before="0" w:after="283"/>
              <w:jc w:val="right"/>
              <w:rPr/>
            </w:pPr>
            <w:r>
              <w:rPr/>
              <w:t>(11,465</w:t>
            </w:r>
          </w:p>
        </w:tc>
        <w:tc>
          <w:tcPr>
            <w:tcW w:w="158" w:type="dxa"/>
            <w:tcBorders/>
            <w:shd w:fill="CCEEFF" w:val="clear"/>
            <w:vAlign w:val="bottom"/>
          </w:tcPr>
          <w:p>
            <w:pPr>
              <w:pStyle w:val="TableContents"/>
              <w:bidi w:val="0"/>
              <w:spacing w:before="0" w:after="283"/>
              <w:jc w:val="left"/>
              <w:rPr/>
            </w:pPr>
            <w:r>
              <w:rPr/>
              <w:t>) </w:t>
            </w:r>
          </w:p>
        </w:tc>
      </w:tr>
      <w:tr>
        <w:trPr/>
        <w:tc>
          <w:tcPr>
            <w:tcW w:w="713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4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1"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March 31, 2023</w:t>
            </w:r>
          </w:p>
        </w:tc>
        <w:tc>
          <w:tcPr>
            <w:tcW w:w="309"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243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31"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243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B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B preferred stock tranche right liability that is categorized within Level 3 of the fair value hierarchy as of December 31, 2023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77"/>
        <w:gridCol w:w="836"/>
        <w:gridCol w:w="140"/>
        <w:gridCol w:w="875"/>
        <w:gridCol w:w="277"/>
      </w:tblGrid>
      <w:tr>
        <w:trPr/>
        <w:tc>
          <w:tcPr>
            <w:tcW w:w="8077" w:type="dxa"/>
            <w:tcBorders/>
            <w:vAlign w:val="center"/>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8077"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w:t>
              <w:br/>
              <w:t>Tranche</w:t>
              <w:br/>
              <w:t>Milestone</w:t>
            </w:r>
          </w:p>
        </w:tc>
        <w:tc>
          <w:tcPr>
            <w:tcW w:w="277" w:type="dxa"/>
            <w:tcBorders/>
            <w:vAlign w:val="bottom"/>
          </w:tcPr>
          <w:p>
            <w:pPr>
              <w:pStyle w:val="TableContents"/>
              <w:bidi w:val="0"/>
              <w:spacing w:before="0" w:after="283"/>
              <w:jc w:val="left"/>
              <w:rPr/>
            </w:pPr>
            <w:r>
              <w:rPr/>
              <w:t> </w:t>
            </w:r>
          </w:p>
        </w:tc>
      </w:tr>
      <w:tr>
        <w:trPr/>
        <w:tc>
          <w:tcPr>
            <w:tcW w:w="8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meeting Series B milestone</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80</w:t>
            </w:r>
          </w:p>
        </w:tc>
        <w:tc>
          <w:tcPr>
            <w:tcW w:w="277" w:type="dxa"/>
            <w:tcBorders/>
            <w:shd w:fill="CCEEFF" w:val="clear"/>
            <w:vAlign w:val="bottom"/>
          </w:tcPr>
          <w:p>
            <w:pPr>
              <w:pStyle w:val="TableContents"/>
              <w:bidi w:val="0"/>
              <w:spacing w:before="0" w:after="283"/>
              <w:jc w:val="left"/>
              <w:rPr/>
            </w:pPr>
            <w:r>
              <w:rPr/>
              <w:t>% </w:t>
            </w:r>
          </w:p>
        </w:tc>
      </w:tr>
      <w:tr>
        <w:trPr/>
        <w:tc>
          <w:tcPr>
            <w:tcW w:w="8077" w:type="dxa"/>
            <w:tcBorders/>
          </w:tcPr>
          <w:p>
            <w:pPr>
              <w:pStyle w:val="TableContents"/>
              <w:bidi w:val="0"/>
              <w:spacing w:before="0" w:after="0"/>
              <w:jc w:val="left"/>
              <w:rPr>
                <w:rFonts w:ascii="Times New Roman" w:hAnsi="Times New Roman"/>
                <w:sz w:val="20"/>
              </w:rPr>
            </w:pPr>
            <w:r>
              <w:rPr>
                <w:rFonts w:ascii="Times New Roman" w:hAnsi="Times New Roman"/>
                <w:sz w:val="20"/>
              </w:rPr>
              <w:t>Milestone achievement date</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12/31/2024</w:t>
            </w:r>
          </w:p>
        </w:tc>
        <w:tc>
          <w:tcPr>
            <w:tcW w:w="277" w:type="dxa"/>
            <w:tcBorders/>
            <w:vAlign w:val="bottom"/>
          </w:tcPr>
          <w:p>
            <w:pPr>
              <w:pStyle w:val="TableContents"/>
              <w:bidi w:val="0"/>
              <w:spacing w:before="0" w:after="283"/>
              <w:jc w:val="left"/>
              <w:rPr/>
            </w:pPr>
            <w:r>
              <w:rPr/>
              <w:t> </w:t>
            </w:r>
          </w:p>
        </w:tc>
      </w:tr>
      <w:tr>
        <w:trPr/>
        <w:tc>
          <w:tcPr>
            <w:tcW w:w="8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8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4.79</w:t>
            </w:r>
          </w:p>
        </w:tc>
        <w:tc>
          <w:tcPr>
            <w:tcW w:w="277" w:type="dxa"/>
            <w:tcBorders/>
            <w:shd w:fill="CCEEFF" w:val="clear"/>
            <w:vAlign w:val="bottom"/>
          </w:tcPr>
          <w:p>
            <w:pPr>
              <w:pStyle w:val="TableContents"/>
              <w:bidi w:val="0"/>
              <w:spacing w:before="0" w:after="283"/>
              <w:jc w:val="left"/>
              <w:rPr/>
            </w:pPr>
            <w:r>
              <w:rPr/>
              <w:t>% </w:t>
            </w:r>
          </w:p>
        </w:tc>
      </w:tr>
      <w:tr>
        <w:trPr/>
        <w:tc>
          <w:tcPr>
            <w:tcW w:w="8077" w:type="dxa"/>
            <w:tcBorders/>
          </w:tcPr>
          <w:p>
            <w:pPr>
              <w:pStyle w:val="TableContents"/>
              <w:bidi w:val="0"/>
              <w:spacing w:before="0" w:after="0"/>
              <w:jc w:val="left"/>
              <w:rPr>
                <w:rFonts w:ascii="Times New Roman" w:hAnsi="Times New Roman"/>
                <w:sz w:val="20"/>
              </w:rPr>
            </w:pPr>
            <w:r>
              <w:rPr>
                <w:rFonts w:ascii="Times New Roman" w:hAnsi="Times New Roman"/>
                <w:sz w:val="20"/>
              </w:rPr>
              <w:t>Expected value of Series B if milestones are not met</w:t>
            </w:r>
          </w:p>
        </w:tc>
        <w:tc>
          <w:tcPr>
            <w:tcW w:w="8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0.84</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provide a roll-forward of the aggregate fair value of the Companys Series B preferred stock tranche right liability during the three months ended March 31, 2024, for which fair value is determined using Level 3 inputs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2"/>
        <w:gridCol w:w="1114"/>
        <w:gridCol w:w="168"/>
        <w:gridCol w:w="2383"/>
        <w:gridCol w:w="158"/>
      </w:tblGrid>
      <w:tr>
        <w:trPr/>
        <w:tc>
          <w:tcPr>
            <w:tcW w:w="6382" w:type="dxa"/>
            <w:tcBorders/>
            <w:vAlign w:val="center"/>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8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left"/>
              <w:rPr/>
            </w:pPr>
            <w:r>
              <w:rPr/>
              <w:t>  </w:t>
            </w:r>
          </w:p>
        </w:tc>
        <w:tc>
          <w:tcPr>
            <w:tcW w:w="2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 Preferred Stock</w:t>
              <w:br/>
              <w:t>Tranche Right Liability</w:t>
            </w:r>
          </w:p>
        </w:tc>
        <w:tc>
          <w:tcPr>
            <w:tcW w:w="158" w:type="dxa"/>
            <w:tcBorders/>
            <w:vAlign w:val="bottom"/>
          </w:tcPr>
          <w:p>
            <w:pPr>
              <w:pStyle w:val="TableContents"/>
              <w:bidi w:val="0"/>
              <w:spacing w:before="0" w:after="283"/>
              <w:jc w:val="left"/>
              <w:rPr/>
            </w:pPr>
            <w:r>
              <w:rPr/>
              <w:t> </w:t>
            </w:r>
          </w:p>
        </w:tc>
      </w:tr>
      <w:tr>
        <w:trPr/>
        <w:tc>
          <w:tcPr>
            <w:tcW w:w="63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11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2383" w:type="dxa"/>
            <w:tcBorders/>
            <w:shd w:fill="CCEEFF" w:val="clear"/>
            <w:vAlign w:val="bottom"/>
          </w:tcPr>
          <w:p>
            <w:pPr>
              <w:pStyle w:val="TableContents"/>
              <w:bidi w:val="0"/>
              <w:spacing w:before="0" w:after="283"/>
              <w:jc w:val="right"/>
              <w:rPr/>
            </w:pPr>
            <w:r>
              <w:rPr/>
              <w:t>4,200</w:t>
            </w:r>
          </w:p>
        </w:tc>
        <w:tc>
          <w:tcPr>
            <w:tcW w:w="158" w:type="dxa"/>
            <w:tcBorders/>
            <w:shd w:fill="CCEEFF" w:val="clear"/>
            <w:vAlign w:val="bottom"/>
          </w:tcPr>
          <w:p>
            <w:pPr>
              <w:pStyle w:val="TableContents"/>
              <w:bidi w:val="0"/>
              <w:spacing w:before="0" w:after="283"/>
              <w:jc w:val="left"/>
              <w:rPr/>
            </w:pPr>
            <w:r>
              <w:rPr/>
              <w:t> </w:t>
            </w:r>
          </w:p>
        </w:tc>
      </w:tr>
      <w:tr>
        <w:trPr/>
        <w:tc>
          <w:tcPr>
            <w:tcW w:w="638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Series B preferred stock tranche right liability</w:t>
            </w:r>
          </w:p>
        </w:tc>
        <w:tc>
          <w:tcPr>
            <w:tcW w:w="111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right"/>
              <w:rPr/>
            </w:pPr>
            <w:r>
              <w:rPr/>
              <w:t>7,390</w:t>
            </w:r>
          </w:p>
        </w:tc>
        <w:tc>
          <w:tcPr>
            <w:tcW w:w="158" w:type="dxa"/>
            <w:tcBorders/>
            <w:vAlign w:val="bottom"/>
          </w:tcPr>
          <w:p>
            <w:pPr>
              <w:pStyle w:val="TableContents"/>
              <w:bidi w:val="0"/>
              <w:spacing w:before="0" w:after="283"/>
              <w:jc w:val="left"/>
              <w:rPr/>
            </w:pPr>
            <w:r>
              <w:rPr/>
              <w:t> </w:t>
            </w:r>
          </w:p>
        </w:tc>
      </w:tr>
      <w:tr>
        <w:trPr/>
        <w:tc>
          <w:tcPr>
            <w:tcW w:w="63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Series B preferred stock tranche right liability upon waiver of milestone</w:t>
            </w:r>
          </w:p>
        </w:tc>
        <w:tc>
          <w:tcPr>
            <w:tcW w:w="1114"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right"/>
              <w:rPr/>
            </w:pPr>
            <w:r>
              <w:rPr/>
              <w:t>     </w:t>
            </w:r>
            <w:r>
              <w:rPr/>
              <w:t>(11,590</w:t>
            </w:r>
          </w:p>
        </w:tc>
        <w:tc>
          <w:tcPr>
            <w:tcW w:w="158" w:type="dxa"/>
            <w:tcBorders/>
            <w:shd w:fill="CCEEFF" w:val="clear"/>
            <w:vAlign w:val="bottom"/>
          </w:tcPr>
          <w:p>
            <w:pPr>
              <w:pStyle w:val="TableContents"/>
              <w:bidi w:val="0"/>
              <w:spacing w:before="0" w:after="283"/>
              <w:jc w:val="left"/>
              <w:rPr/>
            </w:pPr>
            <w:r>
              <w:rPr/>
              <w:t>) </w:t>
            </w:r>
          </w:p>
        </w:tc>
      </w:tr>
      <w:tr>
        <w:trPr/>
        <w:tc>
          <w:tcPr>
            <w:tcW w:w="6382"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23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82"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111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238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82"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23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6"/>
        <w:gridCol w:w="614"/>
        <w:gridCol w:w="164"/>
        <w:gridCol w:w="1823"/>
        <w:gridCol w:w="155"/>
        <w:gridCol w:w="560"/>
        <w:gridCol w:w="173"/>
        <w:gridCol w:w="1451"/>
        <w:gridCol w:w="159"/>
      </w:tblGrid>
      <w:tr>
        <w:trPr/>
        <w:tc>
          <w:tcPr>
            <w:tcW w:w="5106"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1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 2023</w:t>
            </w:r>
          </w:p>
        </w:tc>
        <w:tc>
          <w:tcPr>
            <w:tcW w:w="15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March 31, 2024</w:t>
            </w:r>
          </w:p>
        </w:tc>
        <w:tc>
          <w:tcPr>
            <w:tcW w:w="159"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61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823" w:type="dxa"/>
            <w:tcBorders/>
            <w:shd w:fill="CCEEFF" w:val="clear"/>
            <w:vAlign w:val="bottom"/>
          </w:tcPr>
          <w:p>
            <w:pPr>
              <w:pStyle w:val="TableContents"/>
              <w:bidi w:val="0"/>
              <w:spacing w:before="0" w:after="283"/>
              <w:jc w:val="right"/>
              <w:rPr/>
            </w:pPr>
            <w:r>
              <w:rPr/>
              <w:t>1,719</w:t>
            </w:r>
          </w:p>
        </w:tc>
        <w:tc>
          <w:tcPr>
            <w:tcW w:w="15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451" w:type="dxa"/>
            <w:tcBorders/>
            <w:shd w:fill="CCEEFF" w:val="clear"/>
            <w:vAlign w:val="bottom"/>
          </w:tcPr>
          <w:p>
            <w:pPr>
              <w:pStyle w:val="TableContents"/>
              <w:bidi w:val="0"/>
              <w:spacing w:before="0" w:after="283"/>
              <w:jc w:val="right"/>
              <w:rPr/>
            </w:pPr>
            <w:r>
              <w:rPr/>
              <w:t>2,694</w:t>
            </w:r>
          </w:p>
        </w:tc>
        <w:tc>
          <w:tcPr>
            <w:tcW w:w="159"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61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right"/>
              <w:rPr/>
            </w:pPr>
            <w:r>
              <w:rPr/>
              <w:t>61</w:t>
            </w:r>
          </w:p>
        </w:tc>
        <w:tc>
          <w:tcPr>
            <w:tcW w:w="159" w:type="dxa"/>
            <w:tcBorders/>
            <w:vAlign w:val="bottom"/>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61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bidi w:val="0"/>
              <w:spacing w:before="0" w:after="283"/>
              <w:jc w:val="right"/>
              <w:rPr/>
            </w:pPr>
            <w:r>
              <w:rPr/>
              <w:t>281</w:t>
            </w:r>
          </w:p>
        </w:tc>
        <w:tc>
          <w:tcPr>
            <w:tcW w:w="159"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in process</w:t>
            </w:r>
          </w:p>
        </w:tc>
        <w:tc>
          <w:tcPr>
            <w:tcW w:w="61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right"/>
              <w:rPr/>
            </w:pPr>
            <w:r>
              <w:rPr/>
              <w:t>803</w:t>
            </w:r>
          </w:p>
        </w:tc>
        <w:tc>
          <w:tcPr>
            <w:tcW w:w="159"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4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61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    </w:t>
            </w:r>
            <w:r>
              <w:rPr/>
              <w:t>2,043</w:t>
            </w:r>
          </w:p>
        </w:tc>
        <w:tc>
          <w:tcPr>
            <w:tcW w:w="15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bidi w:val="0"/>
              <w:spacing w:before="0" w:after="283"/>
              <w:jc w:val="right"/>
              <w:rPr/>
            </w:pPr>
            <w:r>
              <w:rPr/>
              <w:t>   </w:t>
            </w:r>
            <w:r>
              <w:rPr/>
              <w:t>3,839</w:t>
            </w:r>
          </w:p>
        </w:tc>
        <w:tc>
          <w:tcPr>
            <w:tcW w:w="159" w:type="dxa"/>
            <w:tcBorders/>
            <w:shd w:fill="CCEEFF" w:val="clear"/>
            <w:vAlign w:val="bottom"/>
          </w:tcPr>
          <w:p>
            <w:pPr>
              <w:pStyle w:val="TableContents"/>
              <w:bidi w:val="0"/>
              <w:spacing w:before="0" w:after="283"/>
              <w:jc w:val="left"/>
              <w:rPr/>
            </w:pPr>
            <w:r>
              <w:rPr/>
              <w:t> </w:t>
            </w:r>
          </w:p>
        </w:tc>
      </w:tr>
      <w:tr>
        <w:trPr/>
        <w:tc>
          <w:tcPr>
            <w:tcW w:w="510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61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(127</w:t>
            </w:r>
          </w:p>
        </w:tc>
        <w:tc>
          <w:tcPr>
            <w:tcW w:w="15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right"/>
              <w:rPr/>
            </w:pPr>
            <w:r>
              <w:rPr/>
              <w:t>(279</w:t>
            </w:r>
          </w:p>
        </w:tc>
        <w:tc>
          <w:tcPr>
            <w:tcW w:w="159" w:type="dxa"/>
            <w:tcBorders/>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4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6" w:type="dxa"/>
            <w:tcBorders/>
            <w:shd w:fill="CCEEFF" w:val="clear"/>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1823" w:type="dxa"/>
            <w:tcBorders/>
            <w:shd w:fill="CCEEFF" w:val="clear"/>
            <w:vAlign w:val="bottom"/>
          </w:tcPr>
          <w:p>
            <w:pPr>
              <w:pStyle w:val="TableContents"/>
              <w:bidi w:val="0"/>
              <w:spacing w:before="0" w:after="283"/>
              <w:jc w:val="right"/>
              <w:rPr/>
            </w:pPr>
            <w:r>
              <w:rPr/>
              <w:t>1,916</w:t>
            </w:r>
          </w:p>
        </w:tc>
        <w:tc>
          <w:tcPr>
            <w:tcW w:w="155"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451" w:type="dxa"/>
            <w:tcBorders/>
            <w:shd w:fill="CCEEFF" w:val="clear"/>
            <w:vAlign w:val="bottom"/>
          </w:tcPr>
          <w:p>
            <w:pPr>
              <w:pStyle w:val="TableContents"/>
              <w:bidi w:val="0"/>
              <w:spacing w:before="0" w:after="283"/>
              <w:jc w:val="right"/>
              <w:rPr/>
            </w:pPr>
            <w:r>
              <w:rPr/>
              <w:t>3,560</w:t>
            </w:r>
          </w:p>
        </w:tc>
        <w:tc>
          <w:tcPr>
            <w:tcW w:w="159" w:type="dxa"/>
            <w:tcBorders/>
            <w:shd w:fill="CCEEFF" w:val="clear"/>
            <w:vAlign w:val="bottom"/>
          </w:tcPr>
          <w:p>
            <w:pPr>
              <w:pStyle w:val="TableContents"/>
              <w:bidi w:val="0"/>
              <w:spacing w:before="0" w:after="283"/>
              <w:jc w:val="left"/>
              <w:rPr/>
            </w:pPr>
            <w:r>
              <w:rPr/>
              <w:t> </w:t>
            </w:r>
          </w:p>
        </w:tc>
      </w:tr>
      <w:tr>
        <w:trPr/>
        <w:tc>
          <w:tcPr>
            <w:tcW w:w="5106"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8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4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of property and equipment for the three months ended March 31, 2023 and 2024 was $15 thousand and $0.2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5. 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0"/>
        <w:gridCol w:w="216"/>
        <w:gridCol w:w="165"/>
        <w:gridCol w:w="1887"/>
        <w:gridCol w:w="60"/>
        <w:gridCol w:w="216"/>
        <w:gridCol w:w="162"/>
        <w:gridCol w:w="1475"/>
        <w:gridCol w:w="64"/>
      </w:tblGrid>
      <w:tr>
        <w:trPr/>
        <w:tc>
          <w:tcPr>
            <w:tcW w:w="59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4"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887" w:type="dxa"/>
            <w:tcBorders/>
            <w:shd w:fill="CCEEFF" w:val="clear"/>
            <w:vAlign w:val="bottom"/>
          </w:tcPr>
          <w:p>
            <w:pPr>
              <w:pStyle w:val="TableContents"/>
              <w:bidi w:val="0"/>
              <w:spacing w:before="0" w:after="283"/>
              <w:jc w:val="right"/>
              <w:rPr/>
            </w:pPr>
            <w:r>
              <w:rPr/>
              <w:t>2,645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4,360</w:t>
            </w:r>
          </w:p>
        </w:tc>
        <w:tc>
          <w:tcPr>
            <w:tcW w:w="64"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21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2,091</w:t>
            </w:r>
          </w:p>
        </w:tc>
        <w:tc>
          <w:tcPr>
            <w:tcW w:w="64"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consulting fees</w:t>
            </w:r>
          </w:p>
        </w:tc>
        <w:tc>
          <w:tcPr>
            <w:tcW w:w="21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right"/>
              <w:rPr/>
            </w:pPr>
            <w:r>
              <w:rPr/>
              <w:t>89</w:t>
            </w:r>
          </w:p>
        </w:tc>
        <w:tc>
          <w:tcPr>
            <w:tcW w:w="64"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Employee related</w:t>
            </w:r>
          </w:p>
        </w:tc>
        <w:tc>
          <w:tcPr>
            <w:tcW w:w="21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2,413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1,044</w:t>
            </w:r>
          </w:p>
        </w:tc>
        <w:tc>
          <w:tcPr>
            <w:tcW w:w="64"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21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114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right"/>
              <w:rPr/>
            </w:pPr>
            <w:r>
              <w:rPr/>
              <w:t>167</w:t>
            </w:r>
          </w:p>
        </w:tc>
        <w:tc>
          <w:tcPr>
            <w:tcW w:w="64"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47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60"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887" w:type="dxa"/>
            <w:tcBorders/>
            <w:vAlign w:val="bottom"/>
          </w:tcPr>
          <w:p>
            <w:pPr>
              <w:pStyle w:val="TableContents"/>
              <w:bidi w:val="0"/>
              <w:spacing w:before="0" w:after="283"/>
              <w:jc w:val="right"/>
              <w:rPr/>
            </w:pPr>
            <w:r>
              <w:rPr/>
              <w:t>    </w:t>
            </w:r>
            <w:r>
              <w:rPr/>
              <w:t>5,631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   </w:t>
            </w:r>
            <w:r>
              <w:rPr/>
              <w:t>7,751</w:t>
            </w:r>
          </w:p>
        </w:tc>
        <w:tc>
          <w:tcPr>
            <w:tcW w:w="64"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8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47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Series A convertible preferred stock and Series B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Convertible Preferred Stock and Series A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the Company completed its first closing of Series A convertible preferred stock and issued and sold 32,000,000 shares of Series A convertible preferred stock, at a price of $1.00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Contemporaneously, investors converted their Convertible Promissory Notes for 8,182,354 shares of Series A convertible preferred stock, bringing the total number of shares of Series A convertible preferred stock issued to 40,182,354.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for the Series A convertible preferred stock provided investors the obligation to purchase an additional 60,000,000 shares of Series A convertible preferred stock (the Series A Milestone Tranches) at a price of $1.00 per share in the subsequent second and third tranche closings upon the achievement of specified second and third tranche milestones by the Company or the right to purchase additional shares upon waiving of such milestone achievement by a majority vote of Series A convertible preferred stockholders. Within 30 days prior to a Deemed Liquidation Event (see definition below), investors can also choose to early exercise their tranche right by providing the Company a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Company amended the Series A convertible preferred stock purchase agreement to add an additional investor, who purchased 10,000,000 shares, at the price of $1.00 per share, resulting in cash proceeds of $10.0 million, less $19 thousand of issuance costs and to amend the total number of shares subject to the Series A Milestone Tranches from 60,000,000 to 50,000,000. </w:t>
      </w:r>
    </w:p>
    <w:p>
      <w:pPr>
        <w:pStyle w:val="TextBody"/>
        <w:bidi w:val="0"/>
        <w:spacing w:before="240" w:after="0"/>
        <w:jc w:val="left"/>
        <w:rPr>
          <w:rFonts w:ascii="Times New Roman" w:hAnsi="Times New Roman"/>
          <w:sz w:val="20"/>
        </w:rPr>
      </w:pPr>
      <w:r>
        <w:rPr>
          <w:rFonts w:ascii="Times New Roman" w:hAnsi="Times New Roman"/>
          <w:sz w:val="20"/>
        </w:rPr>
        <w:t xml:space="preserve">In conjunction with the amendment to the Series A convertible preferred stock purchase agreement, the Companys existing Series A convertible preferred stockholders agreed to waive the second and third tranche milestones and exercised the tranche right in February 2023. As a result, an aggregate of 50,000,000 shares of Series A convertible preferred stock were issued and sold at a price of $1.00 per share, resulting in total cash proceeds of $50 million, less $61 thousand of issuance costs. As a result of this issuance, the Series A preferred stock tranche right liability with a then fair value of $11.5 million immediately prior to the amendment and waiver, was settled in full and recognized in additional paid-in capital as a capital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Convertible Preferred Stock and Series B Preferred Stock Tranche Right Liability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the Company issued and sold 46,504,135 shares of Series B convertible preferred stock, at a price of $1.67727 per share. The 46,504,135 shares include the 10,731,725 shares that were early exercised on the original issuance date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for the Series B convertible preferred stock provided investors the obligation to purchase an additional 42,926,895 shares of Series B convertible preferred stock (the Series B Milestone Tranche) at a price of $1.67727 per share in the subsequent closing upon the achievement of a specified milestone by the Company or the right to purchase additional shares upon waiving of such milestone achievement by a majority vote of Series B convertible preferred stockholders. Additionally, each stockholder of Series B convertible preferred stock has the right to early exercise the tranche right by providing three days advance written notice. Upon the closing of the Series B convertible preferred stock, the Company recorded a preferred stock tranche right liability of $4.6 million and a corresponding reduction to the carrying value of the Series B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original issuance of the Series B convertible preferred stock, six stockholders exercised their right to early exercise the Series B preferred stock tranche right and purchased 10,731,725 shares. Consequently, the Company recognized $1.2 million in additional paid-in capital associated with the simultaneous original issuance and early exercise. Additionally, the investors paid a premium of $1.7 million for these shares over their fair value which was also recorded in additional paid-in capital as a capital contribution.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original issuance in August 2023, one stockholder exercised its right to early exercise the Series B preferred stock tranche right and purchased 4,769,655 shares of Series B convertible preferred stock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cash proceeds of $8.0 million. The fair value of the associated tranche right liability that was settled at the time of the sale of $0.5 million was recognized in additional paid-in capital. Additionally, the investor paid a premium of $0.8 million for these shares over their fair value which was also recorded in additional paid-in capital as a capital contribution.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Company remeasured the Series B tranche right liability to be $4.2 million.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the Companys Series B convertible preferred stockholders voted to waive the second tranche milestones and purchase the remaining Series B Milestone Tranche shares. Immediately prior to the waiver, the Company remeasured the Series B tranche right liability to be $11.6 million and recognized $7.4 million in other expense for the change in the fair value of the Series B tranche right liability during the period. As a result of the waiver, the Company remeasured the Series B tranche right liability to be $4.2 million and recognized the change in fair value of $7.4 million in additional paid-in capital, as a capital contribution. In conjunction with the closing that occurred in March 2024, an aggregate of 38,157,240 shares of Series B convertible preferred stock were issued at a price of $1.67727 per share, resulting in total cash proceeds of $64.0 million, less $87 thousand of issuance costs. As a result of this issuance, the Series B preferred stock tranche right liability with a then fair value of $4.2 million was settled in full and recognized as part of the carrying value of the Series B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Upon issuance of each series of Preferred Stock, the Company assessed the embedded conversion and liquidation features of the securities and determined that such features did not require the Company to separately account for these features. </w:t>
      </w:r>
    </w:p>
    <w:p>
      <w:pPr>
        <w:pStyle w:val="TextBody"/>
        <w:bidi w:val="0"/>
        <w:spacing w:before="240" w:after="0"/>
        <w:jc w:val="left"/>
        <w:rPr>
          <w:rFonts w:ascii="Times New Roman" w:hAnsi="Times New Roman"/>
          <w:sz w:val="20"/>
        </w:rPr>
      </w:pPr>
      <w:r>
        <w:rPr>
          <w:rFonts w:ascii="Times New Roman" w:hAnsi="Times New Roman"/>
          <w:sz w:val="20"/>
        </w:rPr>
        <w:t xml:space="preserve">Convertible preferred stock consisted of the following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1"/>
        <w:gridCol w:w="143"/>
        <w:gridCol w:w="60"/>
        <w:gridCol w:w="1242"/>
        <w:gridCol w:w="60"/>
        <w:gridCol w:w="143"/>
        <w:gridCol w:w="60"/>
        <w:gridCol w:w="1242"/>
        <w:gridCol w:w="60"/>
        <w:gridCol w:w="143"/>
        <w:gridCol w:w="143"/>
        <w:gridCol w:w="830"/>
        <w:gridCol w:w="60"/>
        <w:gridCol w:w="143"/>
        <w:gridCol w:w="181"/>
        <w:gridCol w:w="1060"/>
        <w:gridCol w:w="60"/>
        <w:gridCol w:w="143"/>
        <w:gridCol w:w="177"/>
        <w:gridCol w:w="1037"/>
        <w:gridCol w:w="60"/>
        <w:gridCol w:w="143"/>
        <w:gridCol w:w="69"/>
        <w:gridCol w:w="1427"/>
        <w:gridCol w:w="68"/>
      </w:tblGrid>
      <w:tr>
        <w:trPr/>
        <w:tc>
          <w:tcPr>
            <w:tcW w:w="145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543"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8" w:type="dxa"/>
            <w:tcBorders/>
            <w:vAlign w:val="bottom"/>
          </w:tcPr>
          <w:p>
            <w:pPr>
              <w:pStyle w:val="TableContents"/>
              <w:bidi w:val="0"/>
              <w:spacing w:before="0" w:after="283"/>
              <w:jc w:val="left"/>
              <w:rPr/>
            </w:pPr>
            <w:r>
              <w:rPr/>
              <w:t> </w:t>
            </w:r>
          </w:p>
        </w:tc>
      </w:tr>
      <w:tr>
        <w:trPr/>
        <w:tc>
          <w:tcPr>
            <w:tcW w:w="145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 Issued</w:t>
              <w:br/>
              <w:t>and</w:t>
              <w:br/>
              <w:t>Outstanding</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Issuable</w:t>
              <w:br/>
              <w:t>Upon</w:t>
              <w:br/>
              <w:t>Conversion</w:t>
            </w:r>
          </w:p>
        </w:tc>
        <w:tc>
          <w:tcPr>
            <w:tcW w:w="68" w:type="dxa"/>
            <w:tcBorders/>
            <w:vAlign w:val="bottom"/>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89,487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100,182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100,182,354</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89,431,030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51,273,790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77,091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86,000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1.67727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51,273,790</w:t>
            </w:r>
          </w:p>
        </w:tc>
        <w:tc>
          <w:tcPr>
            <w:tcW w:w="68" w:type="dxa"/>
            <w:tcBorders/>
            <w:vAlign w:val="bottom"/>
          </w:tcPr>
          <w:p>
            <w:pPr>
              <w:pStyle w:val="TableContents"/>
              <w:bidi w:val="0"/>
              <w:spacing w:before="0" w:after="283"/>
              <w:jc w:val="left"/>
              <w:rPr/>
            </w:pPr>
            <w:r>
              <w:rPr/>
              <w:t> </w:t>
            </w:r>
          </w:p>
        </w:tc>
      </w:tr>
      <w:tr>
        <w:trPr/>
        <w:tc>
          <w:tcPr>
            <w:tcW w:w="145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451" w:type="dxa"/>
            <w:tcBorders/>
            <w:shd w:fill="CCEEFF" w:val="clear"/>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189,613,384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151,456,144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166,578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186,182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151,456,144</w:t>
            </w:r>
          </w:p>
        </w:tc>
        <w:tc>
          <w:tcPr>
            <w:tcW w:w="68" w:type="dxa"/>
            <w:tcBorders/>
            <w:shd w:fill="CCEEFF" w:val="clear"/>
            <w:vAlign w:val="bottom"/>
          </w:tcPr>
          <w:p>
            <w:pPr>
              <w:pStyle w:val="TableContents"/>
              <w:bidi w:val="0"/>
              <w:spacing w:before="0" w:after="283"/>
              <w:jc w:val="left"/>
              <w:rPr/>
            </w:pPr>
            <w:r>
              <w:rPr/>
              <w:t> </w:t>
            </w:r>
          </w:p>
        </w:tc>
      </w:tr>
      <w:tr>
        <w:trPr/>
        <w:tc>
          <w:tcPr>
            <w:tcW w:w="145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6"/>
        <w:gridCol w:w="148"/>
        <w:gridCol w:w="60"/>
        <w:gridCol w:w="1247"/>
        <w:gridCol w:w="60"/>
        <w:gridCol w:w="148"/>
        <w:gridCol w:w="60"/>
        <w:gridCol w:w="1247"/>
        <w:gridCol w:w="60"/>
        <w:gridCol w:w="148"/>
        <w:gridCol w:w="143"/>
        <w:gridCol w:w="831"/>
        <w:gridCol w:w="60"/>
        <w:gridCol w:w="148"/>
        <w:gridCol w:w="181"/>
        <w:gridCol w:w="1066"/>
        <w:gridCol w:w="60"/>
        <w:gridCol w:w="148"/>
        <w:gridCol w:w="176"/>
        <w:gridCol w:w="1043"/>
        <w:gridCol w:w="60"/>
        <w:gridCol w:w="148"/>
        <w:gridCol w:w="60"/>
        <w:gridCol w:w="1268"/>
        <w:gridCol w:w="69"/>
      </w:tblGrid>
      <w:tr>
        <w:trPr/>
        <w:tc>
          <w:tcPr>
            <w:tcW w:w="156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56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2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c>
          <w:tcPr>
            <w:tcW w:w="69" w:type="dxa"/>
            <w:tcBorders/>
            <w:vAlign w:val="bottom"/>
          </w:tcPr>
          <w:p>
            <w:pPr>
              <w:pStyle w:val="TableContents"/>
              <w:bidi w:val="0"/>
              <w:spacing w:before="0" w:after="283"/>
              <w:jc w:val="left"/>
              <w:rPr/>
            </w:pPr>
            <w:r>
              <w:rPr/>
              <w:t> </w:t>
            </w:r>
          </w:p>
        </w:tc>
      </w:tr>
      <w:tr>
        <w:trPr/>
        <w:tc>
          <w:tcPr>
            <w:tcW w:w="156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 Issued</w:t>
              <w:br/>
              <w:t>and</w:t>
              <w:br/>
              <w:t>Outstanding</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br/>
              <w:t>Price per</w:t>
              <w:br/>
              <w:t>share</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Issuable</w:t>
              <w:br/>
              <w:t>Upon</w:t>
              <w:br/>
              <w:t>Conversion</w:t>
            </w:r>
          </w:p>
        </w:tc>
        <w:tc>
          <w:tcPr>
            <w:tcW w:w="69" w:type="dxa"/>
            <w:tcBorders/>
            <w:vAlign w:val="bottom"/>
          </w:tcPr>
          <w:p>
            <w:pPr>
              <w:pStyle w:val="TableContents"/>
              <w:bidi w:val="0"/>
              <w:spacing w:before="0" w:after="283"/>
              <w:jc w:val="left"/>
              <w:rPr/>
            </w:pPr>
            <w:r>
              <w:rPr/>
              <w:t> </w:t>
            </w:r>
          </w:p>
        </w:tc>
      </w:tr>
      <w:tr>
        <w:trPr/>
        <w:tc>
          <w:tcPr>
            <w:tcW w:w="15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89,487</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100,182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100,182,354</w:t>
            </w:r>
          </w:p>
        </w:tc>
        <w:tc>
          <w:tcPr>
            <w:tcW w:w="69" w:type="dxa"/>
            <w:tcBorders/>
            <w:shd w:fill="CCEEFF" w:val="clear"/>
            <w:vAlign w:val="bottom"/>
          </w:tcPr>
          <w:p>
            <w:pPr>
              <w:pStyle w:val="TableContents"/>
              <w:bidi w:val="0"/>
              <w:spacing w:before="0" w:after="283"/>
              <w:jc w:val="left"/>
              <w:rPr/>
            </w:pPr>
            <w:r>
              <w:rPr/>
              <w:t> </w:t>
            </w:r>
          </w:p>
        </w:tc>
      </w:tr>
      <w:tr>
        <w:trPr/>
        <w:tc>
          <w:tcPr>
            <w:tcW w:w="1566"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89,431,030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89,431,030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145,252</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150,000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1.67727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89,431,030</w:t>
            </w:r>
          </w:p>
        </w:tc>
        <w:tc>
          <w:tcPr>
            <w:tcW w:w="69" w:type="dxa"/>
            <w:tcBorders/>
            <w:vAlign w:val="bottom"/>
          </w:tcPr>
          <w:p>
            <w:pPr>
              <w:pStyle w:val="TableContents"/>
              <w:bidi w:val="0"/>
              <w:spacing w:before="0" w:after="283"/>
              <w:jc w:val="left"/>
              <w:rPr/>
            </w:pPr>
            <w:r>
              <w:rPr/>
              <w:t> </w:t>
            </w:r>
          </w:p>
        </w:tc>
      </w:tr>
      <w:tr>
        <w:trPr/>
        <w:tc>
          <w:tcPr>
            <w:tcW w:w="156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566" w:type="dxa"/>
            <w:tcBorders/>
            <w:shd w:fill="CCEEFF" w:val="clear"/>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189,613,384</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189,613,384</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234,739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250,182</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189,613,384</w:t>
            </w:r>
          </w:p>
        </w:tc>
        <w:tc>
          <w:tcPr>
            <w:tcW w:w="69" w:type="dxa"/>
            <w:tcBorders/>
            <w:shd w:fill="CCEEFF" w:val="clear"/>
            <w:vAlign w:val="bottom"/>
          </w:tcPr>
          <w:p>
            <w:pPr>
              <w:pStyle w:val="TableContents"/>
              <w:bidi w:val="0"/>
              <w:spacing w:before="0" w:after="283"/>
              <w:jc w:val="left"/>
              <w:rPr/>
            </w:pPr>
            <w:r>
              <w:rPr/>
              <w:t> </w:t>
            </w:r>
          </w:p>
        </w:tc>
      </w:tr>
      <w:tr>
        <w:trPr/>
        <w:tc>
          <w:tcPr>
            <w:tcW w:w="156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preferred stock are entitled to vote, together with the holders of common stock, as a single class, on all matters submitted to the shareholders for a vote and are entitled to the number of votes equal to the number of shares of common stock into which the convertible preferred stock could convert on the record date for determination of shareholders entitled to vote. A majority vote of the holders of convertible preferred stock along with a majority vote of the Series B convertible preferred stock (the Required Vote) is required to, among others, liquidate or dissolve the Company, amend the certificate of incorporation or bylaws, reclassify common stock or establish another class of capital stock, create shares that would rank senior to or authorize additional shares of convertible preferred stock, declare a dividend or make a distribution, or change the authorized number of directors constituting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shares of Series A convertible preferred stock, voting exclusively and as a separate class, are entitled to elect up to three directors of the Company. The holders of shares of Series B convertible preferred stock, voting exclusively and as a separate class, are entitled to elect up to two directors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A convertible preferred stock is convertible into common stock, at any time, at the option of the holder, and without the payment of additional consideration, at the applicable conversion ratio then in effect, provided that such holder may waive such option to convert upon written notice to the Company. Holders of Series B convertible preferred stock are not entitled to elect to convert shares of Series B convertible preferred stock into shares of Common Stock at any time during the period commencing on the date of the first issuance of the Series B convertible preferred stock and ending immediately following the earliest to occur of (i) the Series B Milestone Tranche closing, (ii) the achievement of the second tranche milestone, (iii) the date such holders obligation to purchase its Second Tranche Shares is fulfilled, (iv) the termination of such holders obligations to complete the Series B Milestone Tranche closing and (v) such date as agreed to by the Company and the holders of a majority of the then outstanding shares of Series B convertible preferred stock, voting as a separate, exclusive class. In addition, each share of convertible preferred stock will be automatically converted into shares of common stock at the then-effective applicable conversion ratio upon either (i) the closing of a firm-commitment underwritten public offering of its common stock at a price per share of at least $1.71668 resulting in at least $50.0 million of gross proceeds, net of underwriting discount and commissions, to the Company, or (ii) the date specified by vote or written consent of the holders of the Required Vote,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each class of convertible preferred stock is determined by dividing the Applicable Original Issue Price of each class of convertible preferred stock by the Conversion Price of each class. As of December 31, 2023 and March 31, 2024, the Conversion Price was $1.00 per share for Series A convertible preferred stock and $1.67727 per share for Series B convertible preferred stock, each subject to appropriate adjustment in the event of any share dividend, share split, combination or other similar recapitalization with respect to the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There shall be no adjustment in the conversion price of the convertible preferred stock as the result of the issuance or deemed issuance of additional shares of the Companys common stock if the Company receives written notice from the holders of the Required Vote of the then outstanding shares of convertible preferred stock agreeing that no such adjustment shall be made as the result of the issuance or deemed issuance of additional shares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the event that any holder of convertible preferred stock who is required to participate in a subsequent closing pursuant to the purchase agreement does not purchase the aggregate number of subsequent closing shares, then each share of convertible preferred stock held by such holder shall automatically be converted into shares of common stock at a ratio of one share of common stock for every ten shares of convertible preferred stock held immediately prior to the consummation of such subsequent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preferred stock shall be entitled to receive, only when, as and if declared by the Board of Directors, non-cumulative dividends at the rate of 8% of the Applicable Original Issue Price of the convertible preferred stock (the Preferred Dividend).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declare, pay or set aside any dividends on common shares of the Company unless the holders of convertible preferred stock then outstanding shall first receive, or simultaneously receive, the Preferred Dividend on each outstanding convertible preferred stock and a dividend on each outstanding convertible preferred stock in an amount at least equal to the product of (1) the dividend payable on each share of such class or series determined, as if all shares of such class or series had been converted into common stock and (2) the number of shares of common stock issuable upon conversion of a share of such series of convertible preferred stock, in each case calculated on the record date for determination of the holders entitle to receive such dividend. As of December 31, 2023 and March 31, 2024, no cash dividends have been declared or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Company, or upon the occurrence of a Deemed Liquidation Event (as defined below), the holders of shares of convertible preferred stock then outstanding shall be entitled, on a pari passu basis among the series of convertible preferred stock, to be paid out of the assets or funds of the Company available for distribution to stockholders before any payment is made to the holders of common stock. The holders of convertible preferred stock are entitled to an amount per share equal to the greater of (i) the Applicable Original Issue Price, plus any dividends declared but unpaid thereon, or (ii) the amount that would have been payable had all shares of each series of convertible preferred stock been converted into common stock immediately prior to such liquidation, dissolution, winding up or Deemed Liquidation Event (as defined below). After the payment in full of the convertible preferred stock preference amount, the remaining assets of the Company available for distribution to stockholders shall be distributed among the holders of common stock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Unless at least the holders of the Required Vote,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 or the closing of the transfer of 50% or more of the Companys outstanding voting stock, or any merger or consolidation in connection with a SPAC transaction or reverse merger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does not have redemption rights, except for the contingent redemption upon the occurrence of a Deemed Liquidation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7.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voting, dividend and liquidation rights of the holders of the Companys common stock are subject to and qualified by the rights, powers and preferences of the holders of the convertible preferred stock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above. Each share of common stock entitles the holder to one vote, together with the holders of the convertible preferred stock, on all matters submitted to the stockholders for a vote. The holders of common stock are entitled to receive dividends, if any, as declared by the Companys board of directors, subject to the preferential dividend rights of convertible preferred stock. As of December 31, 2023 and March 31, 2024, no dividends have been declared or paid.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March 31, 2024, the Company had reserved 204,544,236 and 214,867,213 shares of common stock, respectively, of which 189,613,384 and 189,613,384 were reserved for the potential conversion of shares of Series A convertible preferred stock and Series B convertible preferred stock, respectively, and 14,930,852 and 25,253,829 for issuance under the 2022 Stock Option and Grant Plan,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8.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2022 Stock Option and Grant Plan (the 2022 Plan) provides for the Company to grant incentive stock options (ISO) or non-qualified stock options, unrestricted stock awards, restricted stock awards and restricted stock units (collectively, the Awards) to the employees, directors, and consultants of the Company. The 2022 Plan is administered by the board of directors, or at the discretion of the board of directors, by a committee of the board of directors. The exercise prices, vesting and other restrictions are determined at the discretion of the board of directors, or its committee if so delegated.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total number of shares of common stock authorized and issuable under the 2022 Plan was 14,930,852. In March 2024, the Companys board of directors increased the number of shares of common stock reserved for issuance under the plan from 14,930,852 to 25,253,829 shares. As of March 31, 2024, 1,016,323 shares remain available for future grants. Shares of unused common stock underlying any Awards that are forfeited, canceled or reacquired by the Company prior to vesting will again be available for the grant of awards under the 2022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granted stock options with service-based vesting conditions. Stock options generally vest over four years and have a maximum term of ten years. The Company typically grants stock options to employees and non-employees at exercise prices deemed by the Board to be equal to the fair value of the common stock at the time of grant. The following table summarizes the Companys stock option activity for the three months ended March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7"/>
        <w:gridCol w:w="226"/>
        <w:gridCol w:w="97"/>
        <w:gridCol w:w="1799"/>
        <w:gridCol w:w="60"/>
        <w:gridCol w:w="226"/>
        <w:gridCol w:w="162"/>
        <w:gridCol w:w="1636"/>
        <w:gridCol w:w="60"/>
        <w:gridCol w:w="226"/>
        <w:gridCol w:w="186"/>
        <w:gridCol w:w="1358"/>
        <w:gridCol w:w="60"/>
        <w:gridCol w:w="226"/>
        <w:gridCol w:w="148"/>
        <w:gridCol w:w="1239"/>
        <w:gridCol w:w="69"/>
      </w:tblGrid>
      <w:tr>
        <w:trPr/>
        <w:tc>
          <w:tcPr>
            <w:tcW w:w="2427"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2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per share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 years)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Intrinsic</w:t>
            </w:r>
            <w:r>
              <w:rPr/>
              <w:br/>
            </w:r>
            <w:r>
              <w:rPr>
                <w:b/>
              </w:rPr>
              <w:t>Value</w:t>
              <w:br/>
              <w:t>(in thousands)</w:t>
            </w:r>
          </w:p>
        </w:tc>
        <w:tc>
          <w:tcPr>
            <w:tcW w:w="69" w:type="dxa"/>
            <w:tcBorders/>
            <w:vAlign w:val="bottom"/>
          </w:tcPr>
          <w:p>
            <w:pPr>
              <w:pStyle w:val="TableContents"/>
              <w:bidi w:val="0"/>
              <w:spacing w:before="0" w:after="283"/>
              <w:jc w:val="left"/>
              <w:rPr/>
            </w:pPr>
            <w:r>
              <w:rPr/>
              <w:t> </w:t>
            </w:r>
          </w:p>
        </w:tc>
      </w:tr>
      <w:tr>
        <w:trPr/>
        <w:tc>
          <w:tcPr>
            <w:tcW w:w="2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22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11,790,429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636" w:type="dxa"/>
            <w:tcBorders/>
            <w:shd w:fill="CCEEFF" w:val="clear"/>
            <w:vAlign w:val="bottom"/>
          </w:tcPr>
          <w:p>
            <w:pPr>
              <w:pStyle w:val="TableContents"/>
              <w:bidi w:val="0"/>
              <w:spacing w:before="0" w:after="283"/>
              <w:jc w:val="right"/>
              <w:rPr/>
            </w:pPr>
            <w:r>
              <w:rPr/>
              <w:t>0.21</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9.83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6,249</w:t>
            </w:r>
          </w:p>
        </w:tc>
        <w:tc>
          <w:tcPr>
            <w:tcW w:w="69" w:type="dxa"/>
            <w:tcBorders/>
            <w:shd w:fill="CCEEFF" w:val="clear"/>
            <w:vAlign w:val="bottom"/>
          </w:tcPr>
          <w:p>
            <w:pPr>
              <w:pStyle w:val="TableContents"/>
              <w:bidi w:val="0"/>
              <w:spacing w:before="0" w:after="283"/>
              <w:jc w:val="left"/>
              <w:rPr/>
            </w:pPr>
            <w:r>
              <w:rPr/>
              <w:t> </w:t>
            </w:r>
          </w:p>
        </w:tc>
      </w:tr>
      <w:tr>
        <w:trPr/>
        <w:tc>
          <w:tcPr>
            <w:tcW w:w="242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11,142,077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2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42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2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4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27" w:type="dxa"/>
            <w:tcBorders/>
          </w:tcPr>
          <w:p>
            <w:pPr>
              <w:pStyle w:val="TableContents"/>
              <w:bidi w:val="0"/>
              <w:spacing w:before="0" w:after="0"/>
              <w:jc w:val="left"/>
              <w:rPr>
                <w:rFonts w:ascii="Times New Roman" w:hAnsi="Times New Roman"/>
                <w:sz w:val="20"/>
              </w:rPr>
            </w:pPr>
            <w:r>
              <w:rPr>
                <w:rFonts w:ascii="Times New Roman" w:hAnsi="Times New Roman"/>
                <w:sz w:val="20"/>
              </w:rPr>
              <w:t>Options outstanding at March 31, 2024</w:t>
            </w:r>
          </w:p>
        </w:tc>
        <w:tc>
          <w:tcPr>
            <w:tcW w:w="22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22,932,506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636" w:type="dxa"/>
            <w:tcBorders/>
            <w:vAlign w:val="bottom"/>
          </w:tcPr>
          <w:p>
            <w:pPr>
              <w:pStyle w:val="TableContents"/>
              <w:bidi w:val="0"/>
              <w:spacing w:before="0" w:after="283"/>
              <w:jc w:val="right"/>
              <w:rPr/>
            </w:pPr>
            <w:r>
              <w:rPr/>
              <w:t>0.61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9.77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16,955</w:t>
            </w:r>
          </w:p>
        </w:tc>
        <w:tc>
          <w:tcPr>
            <w:tcW w:w="69" w:type="dxa"/>
            <w:tcBorders/>
            <w:vAlign w:val="bottom"/>
          </w:tcPr>
          <w:p>
            <w:pPr>
              <w:pStyle w:val="TableContents"/>
              <w:bidi w:val="0"/>
              <w:spacing w:before="0" w:after="283"/>
              <w:jc w:val="left"/>
              <w:rPr/>
            </w:pPr>
            <w:r>
              <w:rPr/>
              <w:t> </w:t>
            </w:r>
          </w:p>
        </w:tc>
      </w:tr>
      <w:tr>
        <w:trPr/>
        <w:tc>
          <w:tcPr>
            <w:tcW w:w="24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6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at March 31, 2024</w:t>
            </w:r>
          </w:p>
        </w:tc>
        <w:tc>
          <w:tcPr>
            <w:tcW w:w="22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427"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at March 31, 2024</w:t>
            </w:r>
          </w:p>
        </w:tc>
        <w:tc>
          <w:tcPr>
            <w:tcW w:w="22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22,932,506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636" w:type="dxa"/>
            <w:tcBorders/>
            <w:vAlign w:val="bottom"/>
          </w:tcPr>
          <w:p>
            <w:pPr>
              <w:pStyle w:val="TableContents"/>
              <w:bidi w:val="0"/>
              <w:spacing w:before="0" w:after="283"/>
              <w:jc w:val="right"/>
              <w:rPr/>
            </w:pPr>
            <w:r>
              <w:rPr/>
              <w:t>    </w:t>
            </w:r>
            <w:r>
              <w:rPr/>
              <w:t>0.61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9.77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  </w:t>
            </w:r>
            <w:r>
              <w:rPr/>
              <w:t>16,955</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weighted-average grant-date fair value of stock options granted for the three months ended March 31, 2023 and 2024 was zero and $1.04 per share, respectively. As of March 31, 2024, there was $18.5 million of total unrecognized compensation cost related to unvested stock options, which is expected to be recognized over a remaining weighted average period of 3.75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(RSA) </w:t>
      </w:r>
    </w:p>
    <w:p>
      <w:pPr>
        <w:pStyle w:val="TextBody"/>
        <w:bidi w:val="0"/>
        <w:spacing w:before="120" w:after="0"/>
        <w:jc w:val="left"/>
        <w:rPr>
          <w:rFonts w:ascii="Times New Roman" w:hAnsi="Times New Roman"/>
          <w:sz w:val="20"/>
        </w:rPr>
      </w:pPr>
      <w:r>
        <w:rPr>
          <w:rFonts w:ascii="Times New Roman" w:hAnsi="Times New Roman"/>
          <w:sz w:val="20"/>
        </w:rPr>
        <w:t xml:space="preserve">The Company awards restricted stock both under the 2022 Plan as well as outside of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Service-Based RSAs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the RSAs have service-based vesting conditions and vest over a period from immediately to four years. Compensation expense is recognized on a straight-line basis over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service-based RSA grant activity for the three months ended March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52"/>
        <w:gridCol w:w="439"/>
        <w:gridCol w:w="60"/>
        <w:gridCol w:w="1350"/>
        <w:gridCol w:w="155"/>
        <w:gridCol w:w="397"/>
        <w:gridCol w:w="163"/>
        <w:gridCol w:w="1526"/>
        <w:gridCol w:w="63"/>
      </w:tblGrid>
      <w:tr>
        <w:trPr/>
        <w:tc>
          <w:tcPr>
            <w:tcW w:w="6052"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52"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RSAs</w:t>
            </w:r>
          </w:p>
        </w:tc>
        <w:tc>
          <w:tcPr>
            <w:tcW w:w="155"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r>
          </w:p>
        </w:tc>
        <w:tc>
          <w:tcPr>
            <w:tcW w:w="63"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December 31, 2023</w:t>
            </w:r>
          </w:p>
        </w:tc>
        <w:tc>
          <w:tcPr>
            <w:tcW w:w="4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13,583,869</w:t>
            </w:r>
          </w:p>
        </w:tc>
        <w:tc>
          <w:tcPr>
            <w:tcW w:w="155"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526" w:type="dxa"/>
            <w:tcBorders/>
            <w:shd w:fill="CCEEFF" w:val="clear"/>
            <w:vAlign w:val="bottom"/>
          </w:tcPr>
          <w:p>
            <w:pPr>
              <w:pStyle w:val="TableContents"/>
              <w:bidi w:val="0"/>
              <w:spacing w:before="0" w:after="283"/>
              <w:jc w:val="right"/>
              <w:rPr/>
            </w:pPr>
            <w:r>
              <w:rPr/>
              <w:t>0.42</w:t>
            </w:r>
          </w:p>
        </w:tc>
        <w:tc>
          <w:tcPr>
            <w:tcW w:w="63"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(1,316,952</w:t>
            </w:r>
          </w:p>
        </w:tc>
        <w:tc>
          <w:tcPr>
            <w:tcW w:w="155"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    </w:t>
            </w:r>
            <w:r>
              <w:rPr/>
              <w:t>0.38</w:t>
            </w:r>
          </w:p>
        </w:tc>
        <w:tc>
          <w:tcPr>
            <w:tcW w:w="63"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March 31, 2024</w:t>
            </w:r>
          </w:p>
        </w:tc>
        <w:tc>
          <w:tcPr>
            <w:tcW w:w="4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r>
              <w:rPr/>
              <w:t>12,266,917</w:t>
            </w:r>
          </w:p>
        </w:tc>
        <w:tc>
          <w:tcPr>
            <w:tcW w:w="155"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526" w:type="dxa"/>
            <w:tcBorders/>
            <w:shd w:fill="CCEEFF" w:val="clear"/>
            <w:vAlign w:val="bottom"/>
          </w:tcPr>
          <w:p>
            <w:pPr>
              <w:pStyle w:val="TableContents"/>
              <w:bidi w:val="0"/>
              <w:spacing w:before="0" w:after="283"/>
              <w:jc w:val="right"/>
              <w:rPr/>
            </w:pPr>
            <w:r>
              <w:rPr/>
              <w:t>0.43</w:t>
            </w:r>
          </w:p>
        </w:tc>
        <w:tc>
          <w:tcPr>
            <w:tcW w:w="63"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52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fair value of service-based RSAs that vested during three months ended March 31, 2023 and 2024, was $0.1 million and $1.3 million, respectively. As of March 31, 2024, there was $4.9 million of total unrecognized compensation cost related to unvested service-based RSAs, which is expected to be recognized over a remaining weighted average period of 2.72 years.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Performance-Based RSAs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performance-based RSAs to certain employees and directors with a vesting commencement date contingent upon the subsequent closing of the Companys Series A convertible preferred stock financing. The Company has determined that it has met all the conditions to establish the grant date for these performance-based RSAs at the original issuance date. Therefore, these awards are deemed to contain an implied performance condition. The vesting of the performance-based RSAs is also subject to grantees continued service until the 4th anniversary date of the closing of a subsequent financing. </w:t>
      </w:r>
    </w:p>
    <w:p>
      <w:pPr>
        <w:pStyle w:val="TextBody"/>
        <w:bidi w:val="0"/>
        <w:spacing w:before="240" w:after="0"/>
        <w:jc w:val="left"/>
        <w:rPr>
          <w:rFonts w:ascii="Times New Roman" w:hAnsi="Times New Roman"/>
          <w:sz w:val="20"/>
        </w:rPr>
      </w:pPr>
      <w:r>
        <w:rPr>
          <w:rFonts w:ascii="Times New Roman" w:hAnsi="Times New Roman"/>
          <w:sz w:val="20"/>
        </w:rPr>
        <w:t xml:space="preserve">Share-based compensation expense associated with the performance-based RSAs is recognized if the performance condition is considered probable of achievement. In February 2023, the existing Series A convertible preferred stock investors waived the second and third tranche milestones and the Company closed on the sale of its second and third tranches of Series A convertible preferred stock. As a result, the performance condition was deemed to be met. The Company recognized $0.4 million and $0.3 million of compensation expense for the performance-based RSAs for the three-months ended March 31, 2023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Companys performance-based RSA grant activity for the three months ended March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09"/>
        <w:gridCol w:w="221"/>
        <w:gridCol w:w="60"/>
        <w:gridCol w:w="1268"/>
        <w:gridCol w:w="159"/>
        <w:gridCol w:w="190"/>
        <w:gridCol w:w="163"/>
        <w:gridCol w:w="1569"/>
        <w:gridCol w:w="66"/>
      </w:tblGrid>
      <w:tr>
        <w:trPr/>
        <w:tc>
          <w:tcPr>
            <w:tcW w:w="6509"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5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RSAs</w:t>
            </w:r>
          </w:p>
        </w:tc>
        <w:tc>
          <w:tcPr>
            <w:tcW w:w="15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 Value</w:t>
            </w:r>
          </w:p>
        </w:tc>
        <w:tc>
          <w:tcPr>
            <w:tcW w:w="66" w:type="dxa"/>
            <w:tcBorders/>
            <w:vAlign w:val="bottom"/>
          </w:tcPr>
          <w:p>
            <w:pPr>
              <w:pStyle w:val="TableContents"/>
              <w:bidi w:val="0"/>
              <w:spacing w:before="0" w:after="283"/>
              <w:jc w:val="left"/>
              <w:rPr/>
            </w:pPr>
            <w:r>
              <w:rPr/>
              <w:t> </w:t>
            </w:r>
          </w:p>
        </w:tc>
      </w:tr>
      <w:tr>
        <w:trPr/>
        <w:tc>
          <w:tcPr>
            <w:tcW w:w="6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December 31, 2023</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5,560,848</w:t>
            </w:r>
          </w:p>
        </w:tc>
        <w:tc>
          <w:tcPr>
            <w:tcW w:w="15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0.42</w:t>
            </w:r>
          </w:p>
        </w:tc>
        <w:tc>
          <w:tcPr>
            <w:tcW w:w="66" w:type="dxa"/>
            <w:tcBorders/>
            <w:shd w:fill="CCEEFF" w:val="clear"/>
            <w:vAlign w:val="bottom"/>
          </w:tcPr>
          <w:p>
            <w:pPr>
              <w:pStyle w:val="TableContents"/>
              <w:bidi w:val="0"/>
              <w:spacing w:before="0" w:after="283"/>
              <w:jc w:val="left"/>
              <w:rPr/>
            </w:pPr>
            <w:r>
              <w:rPr/>
              <w:t> </w:t>
            </w:r>
          </w:p>
        </w:tc>
      </w:tr>
      <w:tr>
        <w:trPr/>
        <w:tc>
          <w:tcPr>
            <w:tcW w:w="650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6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(439,015</w:t>
            </w:r>
          </w:p>
        </w:tc>
        <w:tc>
          <w:tcPr>
            <w:tcW w:w="15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69" w:type="dxa"/>
            <w:tcBorders/>
            <w:shd w:fill="CCEEFF" w:val="clear"/>
            <w:vAlign w:val="bottom"/>
          </w:tcPr>
          <w:p>
            <w:pPr>
              <w:pStyle w:val="TableContents"/>
              <w:bidi w:val="0"/>
              <w:spacing w:before="0" w:after="283"/>
              <w:jc w:val="right"/>
              <w:rPr/>
            </w:pPr>
            <w:r>
              <w:rPr/>
              <w:t>0.42</w:t>
            </w:r>
          </w:p>
        </w:tc>
        <w:tc>
          <w:tcPr>
            <w:tcW w:w="66" w:type="dxa"/>
            <w:tcBorders/>
            <w:shd w:fill="CCEEFF" w:val="clear"/>
            <w:vAlign w:val="bottom"/>
          </w:tcPr>
          <w:p>
            <w:pPr>
              <w:pStyle w:val="TableContents"/>
              <w:bidi w:val="0"/>
              <w:spacing w:before="0" w:after="283"/>
              <w:jc w:val="left"/>
              <w:rPr/>
            </w:pPr>
            <w:r>
              <w:rPr/>
              <w:t> </w:t>
            </w:r>
          </w:p>
        </w:tc>
      </w:tr>
      <w:tr>
        <w:trPr/>
        <w:tc>
          <w:tcPr>
            <w:tcW w:w="650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650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shares at March 31, 2024</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 </w:t>
            </w:r>
            <w:r>
              <w:rPr/>
              <w:t>5,121,833</w:t>
            </w:r>
          </w:p>
        </w:tc>
        <w:tc>
          <w:tcPr>
            <w:tcW w:w="15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    </w:t>
            </w:r>
            <w:r>
              <w:rPr/>
              <w:t>0.42</w:t>
            </w:r>
          </w:p>
        </w:tc>
        <w:tc>
          <w:tcPr>
            <w:tcW w:w="66" w:type="dxa"/>
            <w:tcBorders/>
            <w:shd w:fill="CCEEFF" w:val="clear"/>
            <w:vAlign w:val="bottom"/>
          </w:tcPr>
          <w:p>
            <w:pPr>
              <w:pStyle w:val="TableContents"/>
              <w:bidi w:val="0"/>
              <w:spacing w:before="0" w:after="283"/>
              <w:jc w:val="left"/>
              <w:rPr/>
            </w:pPr>
            <w:r>
              <w:rPr/>
              <w:t> </w:t>
            </w:r>
          </w:p>
        </w:tc>
      </w:tr>
      <w:tr>
        <w:trPr/>
        <w:tc>
          <w:tcPr>
            <w:tcW w:w="650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fair value of performance-based RSAs that vested during the three months ended March 31, 2023 and 2024, was $78 thousand and $0.4 million, respectively. As of March 31, 2024, there was $1.1 million of total unrecognized compensation cost related to unvested performance-based restricted common stock, which is expected to be recognized over a remaining weighted average period of 1.76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for stock options of zero and $0.8 million and for RSAs of $0.7 million and $0.7 million in the three months ended March 31, 2023 and 2024, respectively. The following table below summarizes the classification of the Companys stock-based compensation expense related to stock options and restricted common stock awards in the consolidated statements of operations and comprehensive loss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4"/>
        <w:gridCol w:w="225"/>
        <w:gridCol w:w="146"/>
        <w:gridCol w:w="886"/>
        <w:gridCol w:w="60"/>
        <w:gridCol w:w="225"/>
        <w:gridCol w:w="146"/>
        <w:gridCol w:w="1049"/>
        <w:gridCol w:w="64"/>
      </w:tblGrid>
      <w:tr>
        <w:trPr/>
        <w:tc>
          <w:tcPr>
            <w:tcW w:w="7404"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0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5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64" w:type="dxa"/>
            <w:tcBorders/>
            <w:vAlign w:val="bottom"/>
          </w:tcPr>
          <w:p>
            <w:pPr>
              <w:pStyle w:val="TableContents"/>
              <w:bidi w:val="0"/>
              <w:spacing w:before="0" w:after="283"/>
              <w:jc w:val="left"/>
              <w:rPr/>
            </w:pPr>
            <w:r>
              <w:rPr/>
              <w:t> </w:t>
            </w:r>
          </w:p>
        </w:tc>
      </w:tr>
      <w:tr>
        <w:trPr/>
        <w:tc>
          <w:tcPr>
            <w:tcW w:w="740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74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  </w:t>
            </w:r>
            <w:r>
              <w:rPr/>
              <w:t>215</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769</w:t>
            </w:r>
          </w:p>
        </w:tc>
        <w:tc>
          <w:tcPr>
            <w:tcW w:w="64" w:type="dxa"/>
            <w:tcBorders/>
            <w:shd w:fill="CCEEFF" w:val="clear"/>
            <w:vAlign w:val="bottom"/>
          </w:tcPr>
          <w:p>
            <w:pPr>
              <w:pStyle w:val="TableContents"/>
              <w:bidi w:val="0"/>
              <w:spacing w:before="0" w:after="283"/>
              <w:jc w:val="left"/>
              <w:rPr/>
            </w:pPr>
            <w:r>
              <w:rPr/>
              <w:t> </w:t>
            </w:r>
          </w:p>
        </w:tc>
      </w:tr>
      <w:tr>
        <w:trPr/>
        <w:tc>
          <w:tcPr>
            <w:tcW w:w="740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508</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722</w:t>
            </w:r>
          </w:p>
        </w:tc>
        <w:tc>
          <w:tcPr>
            <w:tcW w:w="64" w:type="dxa"/>
            <w:tcBorders/>
            <w:vAlign w:val="bottom"/>
          </w:tcPr>
          <w:p>
            <w:pPr>
              <w:pStyle w:val="TableContents"/>
              <w:bidi w:val="0"/>
              <w:spacing w:before="0" w:after="283"/>
              <w:jc w:val="left"/>
              <w:rPr/>
            </w:pPr>
            <w:r>
              <w:rPr/>
              <w:t> </w:t>
            </w:r>
          </w:p>
        </w:tc>
      </w:tr>
      <w:tr>
        <w:trPr/>
        <w:tc>
          <w:tcPr>
            <w:tcW w:w="740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404" w:type="dxa"/>
            <w:tcBorders/>
            <w:shd w:fill="CCEEFF" w:val="clear"/>
          </w:tcPr>
          <w:p>
            <w:pPr>
              <w:pStyle w:val="TableContents"/>
              <w:bidi w:val="0"/>
              <w:spacing w:before="0" w:after="283"/>
              <w:jc w:val="left"/>
              <w:rPr>
                <w:sz w:val="4"/>
                <w:szCs w:val="4"/>
              </w:rPr>
            </w:pPr>
            <w:r>
              <w:rPr>
                <w:sz w:val="4"/>
                <w:szCs w:val="4"/>
              </w:rPr>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723</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  </w:t>
            </w:r>
            <w:r>
              <w:rPr/>
              <w:t>1,491</w:t>
            </w:r>
          </w:p>
        </w:tc>
        <w:tc>
          <w:tcPr>
            <w:tcW w:w="64" w:type="dxa"/>
            <w:tcBorders/>
            <w:shd w:fill="CCEEFF" w:val="clear"/>
            <w:vAlign w:val="bottom"/>
          </w:tcPr>
          <w:p>
            <w:pPr>
              <w:pStyle w:val="TableContents"/>
              <w:bidi w:val="0"/>
              <w:spacing w:before="0" w:after="283"/>
              <w:jc w:val="left"/>
              <w:rPr/>
            </w:pPr>
            <w:r>
              <w:rPr/>
              <w:t> </w:t>
            </w:r>
          </w:p>
        </w:tc>
      </w:tr>
      <w:tr>
        <w:trPr/>
        <w:tc>
          <w:tcPr>
            <w:tcW w:w="740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4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June 2023, the Company entered into a lease for its corporate headquarters in Boston, Massachusetts. The lease commenced August 31, 2023 with an initial term of 40 months. The monthly lease payments are $66 thousand for the first 12 months, with 2% escalation each year. In conjunction with the lease, the Company paid a security deposit of $0.1 million that is recorded on the Companys condensed consolidated balance sheet in other assets as of March 31, 2024.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the Company entered into a lease for laboratory and office space in San Diego, California with a lease term of 5 years for which the Company expects to pay $9.6 million over the lease term. Per the terms of the lease, the landlord will deliver the space to the Company on the lease Commencement date, which is no earlier than November 2024. As the Company has not yet occupied the lease space, the Company has not recorded a corresponding right-of-use asset or liability on the condensed consolidated balance sheet as of March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10.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Janssen </w:t>
      </w:r>
    </w:p>
    <w:p>
      <w:pPr>
        <w:pStyle w:val="TextBody"/>
        <w:bidi w:val="0"/>
        <w:spacing w:before="120" w:after="0"/>
        <w:jc w:val="left"/>
        <w:rPr>
          <w:rFonts w:ascii="Times New Roman" w:hAnsi="Times New Roman"/>
          <w:sz w:val="20"/>
        </w:rPr>
      </w:pPr>
      <w:r>
        <w:rPr>
          <w:rFonts w:ascii="Times New Roman" w:hAnsi="Times New Roman"/>
          <w:sz w:val="20"/>
        </w:rPr>
        <w:t xml:space="preserve">Janssen Pharmaceutical NV (Janssen), is a related party to a founding investor in the Company, Johnson &amp; Johnson InnovationJJDC, Inc., as both entities are direct subsidiaries of Johnson &amp; Johnson, Inc. For the three months ended March 31, 2023 and 2024, the Company incurred costs of $75 thousand and $69 thousand, respectively, which was recognized as research and development expense in the condensed consolidated statement of operations and comprehensive loss, to Janssen for the use of lab space in California. As of December 31, 2023 and March 31, 2024, there were no related party transactions in accounts payable or accrued expenses,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Rock Ventures </w:t>
      </w:r>
    </w:p>
    <w:p>
      <w:pPr>
        <w:pStyle w:val="TextBody"/>
        <w:bidi w:val="0"/>
        <w:spacing w:before="120" w:after="0"/>
        <w:jc w:val="left"/>
        <w:rPr>
          <w:rFonts w:ascii="Times New Roman" w:hAnsi="Times New Roman"/>
          <w:sz w:val="20"/>
        </w:rPr>
      </w:pPr>
      <w:r>
        <w:rPr>
          <w:rFonts w:ascii="Times New Roman" w:hAnsi="Times New Roman"/>
          <w:sz w:val="20"/>
        </w:rPr>
        <w:t xml:space="preserve">Third Rock Ventures LLC (Third Rock) is a founding investor in the Company. For the three months ended March 31, 2023 and 2024, the Company incurred costs of $0.5 million and $0.1 million, respectively, of which $0.2 million and zero, respectively was recognized as research and development expense, and $0.3 million and $0.1 million, respectively, was recognized as general and administrative expense in the condensed consolidated statement of operations and comprehensive loss, to Third Rock primarily for management consulting and other various start-up support activities. As of December 31, 2023 and March 31, 2024, $0.2 million and zero, respectively, was included in accounts payable. As of December 31, 2023 and March 31, 2024, zero and $89 thousand, respectively was included in accrued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11.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December 31, 2023 and March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2023 and March 31, 2024, the Company was not a party to any material legal proceedings or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NeuroPace Master Services Agreement and Statement of Work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Company entered into a master services agreement (the NeuroPace Agreement) with NeuroPace Inc. (NeuroPace), the manufacturer and distributor of the RNS system. Pursuant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NeuroPace Agreement and in accordance with statement of work agreements entered into from time to time, NeuroPace provides the Company with certain services with respect to data from the RNS systems used in our clinical trials. The NeuroPace Agreement also grants the Company a royalty-free, worldwide, exclusive, non-transferable license to all data collected by the RNS systems in its Phase 2a clinical trial and the outcomes of algorithms that are applied to such data, as well as the ability to publish the outcomes of algorithms, subject to certain conditions. The consideration the Company will pay to NeuroPace for such services is set out in each statement of work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contains an exclusivity provision providing that, at any time while providing services under the NeuroPace Agreement and for a period after the final clinical study report, NeuroPace may not perform any services that are the same as the services covered by the NeuroPace Agreement to any business that directly competes with us, subject to the specific terms of the NeuroPace Agreement. The NeuroPace Agreement also contains standard representations and warranties, confidentiality and intellectual property protective provisions and indemnification terms. </w:t>
      </w:r>
    </w:p>
    <w:p>
      <w:pPr>
        <w:pStyle w:val="TextBody"/>
        <w:bidi w:val="0"/>
        <w:spacing w:before="240" w:after="0"/>
        <w:jc w:val="left"/>
        <w:rPr>
          <w:rFonts w:ascii="Times New Roman" w:hAnsi="Times New Roman"/>
          <w:sz w:val="20"/>
        </w:rPr>
      </w:pPr>
      <w:r>
        <w:rPr>
          <w:rFonts w:ascii="Times New Roman" w:hAnsi="Times New Roman"/>
          <w:sz w:val="20"/>
        </w:rPr>
        <w:t xml:space="preserve">The NeuroPace Agreement expires on the later of three years from the effective date or the completion of all services under all statement of work agreements entered into prior to the third anniversary of the effective date. Either party may terminate the NeuroPace Agreement or any statement of work agreement (i) without cause by giving written notice to the other party within a specified period of time, (ii) by giving written notice upon a curable material breach that is not remediated within a specified period of time, or (iii) immediately upon written notice in the event of a material breach that cannot be cured.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NeuroPace Agreement, the parties also entered into an initial statement of work under the NeuroPace Agreement, as amended in March 2024 (the NeuroPace SOW), pursuant to which NeuroPace agreed to provide services related to the Companys Phase 2a clinical trial of RAP-219, including, among other things, clinical trial readiness support, identification of potential patients satisfying the enrollment criteria and RNS system data reporting and data analysis. Pursuant to the payment schedule set out in the NeuroPace SOW, we will pay NeuroPace an aggregate of up to $3.7 million over a period of approximately two years in connection with NeuroPaces provision of services and achievement of certain patient enrollment and deliverable milestones. As of December 31, 2023, $1.5 million is recorded as prepaid expenses and other current assets in the condensed consolidated balance sheet. During the three months ended March 31, 2024, the Company paid NeuroPace an additional $0.3 million and recognized $0.3 million in research and development expense for services performed, resulting in a prepaid expense balance of $1.5 million as of March 31, 2024. </w:t>
      </w:r>
    </w:p>
    <w:p>
      <w:pPr>
        <w:pStyle w:val="TextBody"/>
        <w:bidi w:val="0"/>
        <w:spacing w:before="360" w:after="0"/>
        <w:jc w:val="left"/>
        <w:rPr>
          <w:rFonts w:ascii="Times New Roman" w:hAnsi="Times New Roman"/>
          <w:b/>
          <w:sz w:val="20"/>
        </w:rPr>
      </w:pPr>
      <w:r>
        <w:rPr>
          <w:rFonts w:ascii="Times New Roman" w:hAnsi="Times New Roman"/>
          <w:b/>
          <w:sz w:val="20"/>
        </w:rPr>
        <w:t xml:space="preserve">12.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calculated basic and diluted net loss per share attributable to common stockholders using the two-class method required for companies with participating securities. The Company considers Series A convertible preferred stock and Series B convertible preferred stock to be participating securities as the holders are entitled to receive cumulative dividends as well as residuals in liquidation.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two-class method, basic net loss per share available to common stockholders was calculated by dividing the net loss available to common stockholder by the weighted-average number of shares of common stock outstanding during the period, which excludes unvested restricted stock. The net loss available to common stockholders was not allocated to the Series A convertible preferred stock or Series B convertible preferred stock as the holders of convertible preferred stock did not have a contractual obligation to share in losses. Diluted net loss per share available to common stockholders was computed by giving effect to all potentially dilutive common stock equivalents outstanding for the period. For purposes of this calculation, preferred stock, unvested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restricted stock and stock options were considered common stock equivalents but had been excluded from the calculation of diluted net loss per share available to common stockholders as their effect was anti-dilutive.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1"/>
        <w:gridCol w:w="440"/>
        <w:gridCol w:w="140"/>
        <w:gridCol w:w="1105"/>
        <w:gridCol w:w="155"/>
        <w:gridCol w:w="400"/>
        <w:gridCol w:w="140"/>
        <w:gridCol w:w="1105"/>
        <w:gridCol w:w="159"/>
      </w:tblGrid>
      <w:tr>
        <w:trPr/>
        <w:tc>
          <w:tcPr>
            <w:tcW w:w="6561"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0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561"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61"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(6,147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(22,669</w:t>
            </w:r>
          </w:p>
        </w:tc>
        <w:tc>
          <w:tcPr>
            <w:tcW w:w="159" w:type="dxa"/>
            <w:tcBorders/>
            <w:vAlign w:val="bottom"/>
          </w:tcPr>
          <w:p>
            <w:pPr>
              <w:pStyle w:val="TableContents"/>
              <w:bidi w:val="0"/>
              <w:spacing w:before="0" w:after="283"/>
              <w:jc w:val="left"/>
              <w:rPr/>
            </w:pPr>
            <w:r>
              <w:rPr/>
              <w:t>) </w:t>
            </w:r>
          </w:p>
        </w:tc>
      </w:tr>
      <w:tr>
        <w:trPr/>
        <w:tc>
          <w:tcPr>
            <w:tcW w:w="6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11,672,557</w:t>
            </w:r>
          </w:p>
        </w:tc>
        <w:tc>
          <w:tcPr>
            <w:tcW w:w="15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17,531,227</w:t>
            </w:r>
          </w:p>
        </w:tc>
        <w:tc>
          <w:tcPr>
            <w:tcW w:w="159" w:type="dxa"/>
            <w:tcBorders/>
            <w:vAlign w:val="bottom"/>
          </w:tcPr>
          <w:p>
            <w:pPr>
              <w:pStyle w:val="TableContents"/>
              <w:bidi w:val="0"/>
              <w:spacing w:before="0" w:after="283"/>
              <w:jc w:val="left"/>
              <w:rPr/>
            </w:pPr>
            <w:r>
              <w:rPr/>
              <w:t> </w:t>
            </w:r>
          </w:p>
        </w:tc>
      </w:tr>
      <w:tr>
        <w:trPr/>
        <w:tc>
          <w:tcPr>
            <w:tcW w:w="6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basic and diluted</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(0.53</w:t>
            </w:r>
          </w:p>
        </w:tc>
        <w:tc>
          <w:tcPr>
            <w:tcW w:w="155"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(1.29</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calculation, the Company excluded the following potential common shares, presented based on amounts outstanding at each period end, from the computation of diluted net loss per share available to common shareholders for the periods indicated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1"/>
        <w:gridCol w:w="122"/>
        <w:gridCol w:w="60"/>
        <w:gridCol w:w="1228"/>
        <w:gridCol w:w="60"/>
        <w:gridCol w:w="122"/>
        <w:gridCol w:w="60"/>
        <w:gridCol w:w="1228"/>
        <w:gridCol w:w="64"/>
      </w:tblGrid>
      <w:tr>
        <w:trPr/>
        <w:tc>
          <w:tcPr>
            <w:tcW w:w="726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26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726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7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100,182,354</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100,182,354</w:t>
            </w:r>
          </w:p>
        </w:tc>
        <w:tc>
          <w:tcPr>
            <w:tcW w:w="64" w:type="dxa"/>
            <w:tcBorders/>
            <w:shd w:fill="CCEEFF" w:val="clear"/>
            <w:vAlign w:val="bottom"/>
          </w:tcPr>
          <w:p>
            <w:pPr>
              <w:pStyle w:val="TableContents"/>
              <w:bidi w:val="0"/>
              <w:spacing w:before="0" w:after="283"/>
              <w:jc w:val="left"/>
              <w:rPr/>
            </w:pPr>
            <w:r>
              <w:rPr/>
              <w:t> </w:t>
            </w:r>
          </w:p>
        </w:tc>
      </w:tr>
      <w:tr>
        <w:trPr/>
        <w:tc>
          <w:tcPr>
            <w:tcW w:w="7261"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89,431,030</w:t>
            </w:r>
          </w:p>
        </w:tc>
        <w:tc>
          <w:tcPr>
            <w:tcW w:w="64" w:type="dxa"/>
            <w:tcBorders/>
            <w:vAlign w:val="bottom"/>
          </w:tcPr>
          <w:p>
            <w:pPr>
              <w:pStyle w:val="TableContents"/>
              <w:bidi w:val="0"/>
              <w:spacing w:before="0" w:after="283"/>
              <w:jc w:val="left"/>
              <w:rPr/>
            </w:pPr>
            <w:r>
              <w:rPr/>
              <w:t> </w:t>
            </w:r>
          </w:p>
        </w:tc>
      </w:tr>
      <w:tr>
        <w:trPr/>
        <w:tc>
          <w:tcPr>
            <w:tcW w:w="7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22,932,506</w:t>
            </w:r>
          </w:p>
        </w:tc>
        <w:tc>
          <w:tcPr>
            <w:tcW w:w="64" w:type="dxa"/>
            <w:tcBorders/>
            <w:shd w:fill="CCEEFF" w:val="clear"/>
            <w:vAlign w:val="bottom"/>
          </w:tcPr>
          <w:p>
            <w:pPr>
              <w:pStyle w:val="TableContents"/>
              <w:bidi w:val="0"/>
              <w:spacing w:before="0" w:after="283"/>
              <w:jc w:val="left"/>
              <w:rPr/>
            </w:pPr>
            <w:r>
              <w:rPr/>
              <w:t> </w:t>
            </w:r>
          </w:p>
        </w:tc>
      </w:tr>
      <w:tr>
        <w:trPr/>
        <w:tc>
          <w:tcPr>
            <w:tcW w:w="7261"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stockservice based</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14,241,901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12,266,917</w:t>
            </w:r>
          </w:p>
        </w:tc>
        <w:tc>
          <w:tcPr>
            <w:tcW w:w="64" w:type="dxa"/>
            <w:tcBorders/>
            <w:vAlign w:val="bottom"/>
          </w:tcPr>
          <w:p>
            <w:pPr>
              <w:pStyle w:val="TableContents"/>
              <w:bidi w:val="0"/>
              <w:spacing w:before="0" w:after="283"/>
              <w:jc w:val="left"/>
              <w:rPr/>
            </w:pPr>
            <w:r>
              <w:rPr/>
              <w:t> </w:t>
            </w:r>
          </w:p>
        </w:tc>
      </w:tr>
      <w:tr>
        <w:trPr/>
        <w:tc>
          <w:tcPr>
            <w:tcW w:w="7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stockperformance based</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6,877,890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5,121,833</w:t>
            </w:r>
          </w:p>
        </w:tc>
        <w:tc>
          <w:tcPr>
            <w:tcW w:w="64" w:type="dxa"/>
            <w:tcBorders/>
            <w:shd w:fill="CCEEFF" w:val="clear"/>
            <w:vAlign w:val="bottom"/>
          </w:tcPr>
          <w:p>
            <w:pPr>
              <w:pStyle w:val="TableContents"/>
              <w:bidi w:val="0"/>
              <w:spacing w:before="0" w:after="283"/>
              <w:jc w:val="left"/>
              <w:rPr/>
            </w:pPr>
            <w:r>
              <w:rPr/>
              <w:t> </w:t>
            </w:r>
          </w:p>
        </w:tc>
      </w:tr>
      <w:tr>
        <w:trPr/>
        <w:tc>
          <w:tcPr>
            <w:tcW w:w="7261"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6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121,302,145</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229,934,640</w:t>
            </w:r>
          </w:p>
        </w:tc>
        <w:tc>
          <w:tcPr>
            <w:tcW w:w="64" w:type="dxa"/>
            <w:tcBorders/>
            <w:vAlign w:val="bottom"/>
          </w:tcPr>
          <w:p>
            <w:pPr>
              <w:pStyle w:val="TableContents"/>
              <w:bidi w:val="0"/>
              <w:spacing w:before="0" w:after="283"/>
              <w:jc w:val="left"/>
              <w:rPr/>
            </w:pPr>
            <w:r>
              <w:rPr/>
              <w:t> </w:t>
            </w:r>
          </w:p>
        </w:tc>
      </w:tr>
      <w:tr>
        <w:trPr/>
        <w:tc>
          <w:tcPr>
            <w:tcW w:w="7261"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Subsequent Events </w:t>
      </w:r>
    </w:p>
    <w:p>
      <w:pPr>
        <w:pStyle w:val="TextBody"/>
        <w:bidi w:val="0"/>
        <w:spacing w:before="240" w:after="0"/>
        <w:jc w:val="left"/>
        <w:rPr>
          <w:rFonts w:ascii="Times New Roman" w:hAnsi="Times New Roman"/>
          <w:sz w:val="20"/>
        </w:rPr>
      </w:pPr>
      <w:r>
        <w:rPr>
          <w:rFonts w:ascii="Times New Roman" w:hAnsi="Times New Roman"/>
          <w:sz w:val="20"/>
        </w:rPr>
        <w:t xml:space="preserve">For its condensed consolidated financial statements as of March 31, 2024, the Company has evaluated subsequent events through May 17, 2024, the date on which those condensed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Grant of Stock Options under the 2022 Plan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granted options for the purchase of an aggregate of 790,000 shares of common stock, at an exercise price of $1.35 per share, respectively. The aggregate grant-date fair value of the options granted is $0.8 million. It is expected to be recognized as stock-based compensation expense over a period of 4.0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440" w:after="0"/>
        <w:jc w:val="center"/>
        <w:rPr/>
      </w:pPr>
      <w:r>
        <w:rPr/>
        <w:t xml:space="preserve">    </w:t>
      </w:r>
      <w:r>
        <w:rPr>
          <w:rFonts w:ascii="Times New Roman" w:hAnsi="Times New Roman"/>
          <w:b/>
          <w:sz w:val="28"/>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39545" cy="41402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39545" cy="4140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88"/>
        <w:gridCol w:w="101"/>
        <w:gridCol w:w="408"/>
        <w:gridCol w:w="101"/>
        <w:gridCol w:w="1327"/>
        <w:gridCol w:w="100"/>
        <w:gridCol w:w="613"/>
        <w:gridCol w:w="101"/>
        <w:gridCol w:w="1634"/>
        <w:gridCol w:w="101"/>
        <w:gridCol w:w="613"/>
        <w:gridCol w:w="101"/>
        <w:gridCol w:w="817"/>
      </w:tblGrid>
      <w:tr>
        <w:trPr/>
        <w:tc>
          <w:tcPr>
            <w:tcW w:w="418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4188" w:type="dxa"/>
            <w:tcBorders/>
          </w:tcPr>
          <w:p>
            <w:pPr>
              <w:pStyle w:val="TableContents"/>
              <w:bidi w:val="0"/>
              <w:spacing w:before="0" w:after="283"/>
              <w:jc w:val="left"/>
              <w:rPr>
                <w:b/>
              </w:rPr>
            </w:pPr>
            <w:r>
              <w:rPr>
                <w:b/>
              </w:rPr>
              <w:t>Goldman Sachs &amp; Co. LLC</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center"/>
              <w:rPr>
                <w:b/>
              </w:rPr>
            </w:pPr>
            <w:r>
              <w:rPr>
                <w:b/>
              </w:rPr>
              <w:t>Jefferies</w:t>
            </w:r>
          </w:p>
        </w:tc>
        <w:tc>
          <w:tcPr>
            <w:tcW w:w="100"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634" w:type="dxa"/>
            <w:tcBorders/>
            <w:vAlign w:val="bottom"/>
          </w:tcPr>
          <w:p>
            <w:pPr>
              <w:pStyle w:val="TableContents"/>
              <w:bidi w:val="0"/>
              <w:spacing w:before="0" w:after="283"/>
              <w:jc w:val="right"/>
              <w:rPr>
                <w:b/>
              </w:rPr>
            </w:pPr>
            <w:r>
              <w:rPr>
                <w:b/>
              </w:rPr>
              <w:t>TD Cowen</w:t>
            </w:r>
          </w:p>
        </w:tc>
        <w:tc>
          <w:tcPr>
            <w:tcW w:w="101"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Stifel</w:t>
            </w:r>
          </w:p>
        </w:tc>
      </w:tr>
    </w:tbl>
    <w:p>
      <w:pPr>
        <w:pStyle w:val="TextBody"/>
        <w:bidi w:val="0"/>
        <w:spacing w:before="960" w:after="0"/>
        <w:jc w:val="left"/>
        <w:rPr>
          <w:rFonts w:ascii="Times New Roman" w:hAnsi="Times New Roman"/>
          <w:b/>
          <w:sz w:val="20"/>
        </w:rPr>
      </w:pPr>
      <w:r>
        <w:rPr>
          <w:rFonts w:ascii="Times New Roman" w:hAnsi="Times New Roman"/>
          <w:b/>
          <w:sz w:val="20"/>
        </w:rPr>
        <w:t xml:space="preserve">Through and including     , 2024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references to Rapport, the company, we, our, us or similar terms refer to Rapport Therapeutics, Inc. and its wholly owned, consolidated subsidiary, or either or both of them as the context may require. </w:t>
      </w:r>
    </w:p>
    <w:p>
      <w:pPr>
        <w:pStyle w:val="TextBody"/>
        <w:bidi w:val="0"/>
        <w:spacing w:before="36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Global Market (Nasdaq)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4"/>
        <w:gridCol w:w="426"/>
        <w:gridCol w:w="140"/>
        <w:gridCol w:w="862"/>
        <w:gridCol w:w="63"/>
      </w:tblGrid>
      <w:tr>
        <w:trPr/>
        <w:tc>
          <w:tcPr>
            <w:tcW w:w="8714"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14,760</w:t>
            </w:r>
          </w:p>
        </w:tc>
        <w:tc>
          <w:tcPr>
            <w:tcW w:w="63" w:type="dxa"/>
            <w:tcBorders/>
            <w:shd w:fill="CCEEFF" w:val="clear"/>
            <w:vAlign w:val="bottom"/>
          </w:tcPr>
          <w:p>
            <w:pPr>
              <w:pStyle w:val="TableContents"/>
              <w:bidi w:val="0"/>
              <w:spacing w:before="0" w:after="283"/>
              <w:jc w:val="left"/>
              <w:rPr/>
            </w:pPr>
            <w:r>
              <w:rPr/>
              <w:t> </w:t>
            </w:r>
          </w:p>
        </w:tc>
      </w:tr>
      <w:tr>
        <w:trPr/>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15,500</w:t>
            </w:r>
          </w:p>
        </w:tc>
        <w:tc>
          <w:tcPr>
            <w:tcW w:w="63" w:type="dxa"/>
            <w:tcBorders/>
            <w:vAlign w:val="bottom"/>
          </w:tcPr>
          <w:p>
            <w:pPr>
              <w:pStyle w:val="TableContents"/>
              <w:bidi w:val="0"/>
              <w:spacing w:before="0" w:after="283"/>
              <w:jc w:val="left"/>
              <w:rPr/>
            </w:pPr>
            <w:r>
              <w:rPr/>
              <w:t> </w:t>
            </w:r>
          </w:p>
        </w:tc>
      </w:tr>
      <w:tr>
        <w:trPr/>
        <w:tc>
          <w:tcPr>
            <w:tcW w:w="8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Global Market listing fee</w:t>
            </w:r>
          </w:p>
        </w:tc>
        <w:tc>
          <w:tcPr>
            <w:tcW w:w="4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mailing expenses</w:t>
            </w:r>
          </w:p>
        </w:tc>
        <w:tc>
          <w:tcPr>
            <w:tcW w:w="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Custodian transfer agent and registrar fees and expenses</w:t>
            </w:r>
          </w:p>
        </w:tc>
        <w:tc>
          <w:tcPr>
            <w:tcW w:w="4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714"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714"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We will adopt provisions in our third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our directors, any unlawful payments related to dividends or unlawful stock purchases, redemptions or other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our officers, any derivative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and officer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bylaws will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our directors, officers and, in the discretion of our board of directors, certain employees to the fullest extent permitted by the DGCL, as it now exists or may in the future be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advance reasonable expenses, including attorneys fees, to our directors and, in the discretion of our board of directors, to our officers and certain employees, in connection with legal proceedings relating to their service for or on behalf of us,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which covers certain liabilities of our directors and officers arising out of claims based on acts or omissions in their capacities as directors or officers, including liabilities under the Securities Act of 1933, as amended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filed as Exhibit 1.1 to this registration statement provides for indemnification of us and our directors and officers by the underwriters against certain liabilities under the Securities Act and the Securities Exchange Act of 1934.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information regarding securities we have issued within the past three years that were not registered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Preferred Stock Issuances </w:t>
      </w:r>
    </w:p>
    <w:p>
      <w:pPr>
        <w:pStyle w:val="TextBody"/>
        <w:bidi w:val="0"/>
        <w:spacing w:before="120" w:after="0"/>
        <w:jc w:val="left"/>
        <w:rPr>
          <w:rFonts w:ascii="Times New Roman" w:hAnsi="Times New Roman"/>
          <w:sz w:val="20"/>
        </w:rPr>
      </w:pPr>
      <w:r>
        <w:rPr>
          <w:rFonts w:ascii="Times New Roman" w:hAnsi="Times New Roman"/>
          <w:sz w:val="20"/>
        </w:rPr>
        <w:t xml:space="preserve">From December 2022 through February 2023, we sold an aggregate of 100,182,354 shares of Series A convertible preferred stock to accredited investors at a purchase price of $1.00 per share, for an aggregate purchase price of approximately $100.2 million. </w:t>
      </w:r>
    </w:p>
    <w:p>
      <w:pPr>
        <w:pStyle w:val="TextBody"/>
        <w:bidi w:val="0"/>
        <w:spacing w:before="240" w:after="0"/>
        <w:jc w:val="left"/>
        <w:rPr>
          <w:rFonts w:ascii="Times New Roman" w:hAnsi="Times New Roman"/>
          <w:sz w:val="20"/>
        </w:rPr>
      </w:pPr>
      <w:r>
        <w:rPr>
          <w:rFonts w:ascii="Times New Roman" w:hAnsi="Times New Roman"/>
          <w:sz w:val="20"/>
        </w:rPr>
        <w:t xml:space="preserve">From August 2023 through March 2024, we sold an aggregate of 89,431,030 shares of Series B convertible preferred stock to accredited investors at a purchase price of $1.67727 per share, for an aggregate purchase price of approximately $150.0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 Common Stock Issuances </w:t>
      </w:r>
    </w:p>
    <w:p>
      <w:pPr>
        <w:pStyle w:val="TextBody"/>
        <w:bidi w:val="0"/>
        <w:spacing w:before="120" w:after="0"/>
        <w:jc w:val="left"/>
        <w:rPr>
          <w:rFonts w:ascii="Times New Roman" w:hAnsi="Times New Roman"/>
          <w:sz w:val="20"/>
        </w:rPr>
      </w:pPr>
      <w:r>
        <w:rPr>
          <w:rFonts w:ascii="Times New Roman" w:hAnsi="Times New Roman"/>
          <w:sz w:val="20"/>
        </w:rPr>
        <w:t xml:space="preserve">From February 2022 through May 2022, we sold an aggregate of 10,000,000 shares of Common Stock to accredited investors at a purchase price of $0.001 per share, for an aggregate purchase price of approximately $10 thousand. </w:t>
      </w:r>
    </w:p>
    <w:p>
      <w:pPr>
        <w:pStyle w:val="TextBody"/>
        <w:bidi w:val="0"/>
        <w:spacing w:before="240" w:after="0"/>
        <w:jc w:val="left"/>
        <w:rPr>
          <w:rFonts w:ascii="Times New Roman" w:hAnsi="Times New Roman"/>
          <w:sz w:val="20"/>
        </w:rPr>
      </w:pPr>
      <w:r>
        <w:rPr>
          <w:rFonts w:ascii="Times New Roman" w:hAnsi="Times New Roman"/>
          <w:sz w:val="20"/>
        </w:rPr>
        <w:t xml:space="preserve">From November 2022 through May 2023, we granted to our employees, consultants and other service providers shares of restricted Common Stock representing an aggregate of 26,122,402 shares of restricted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From August 2022 to September 2022, we issued convertible promissory notes having an aggregate principal amount of $8.0 million.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 Grants and exercises of stock options </w:t>
      </w:r>
    </w:p>
    <w:p>
      <w:pPr>
        <w:pStyle w:val="TextBody"/>
        <w:bidi w:val="0"/>
        <w:spacing w:before="120" w:after="0"/>
        <w:jc w:val="left"/>
        <w:rPr>
          <w:rFonts w:ascii="Times New Roman" w:hAnsi="Times New Roman"/>
          <w:sz w:val="20"/>
        </w:rPr>
      </w:pPr>
      <w:r>
        <w:rPr>
          <w:rFonts w:ascii="Times New Roman" w:hAnsi="Times New Roman"/>
          <w:sz w:val="20"/>
        </w:rPr>
        <w:t xml:space="preserve">In May 2023, we granted to our employees, consultants and other service providers shares of restricted Common Stock representing an aggregate of 1,705,000 shares of restricted Common Stock under our 2022 Plan. </w:t>
      </w:r>
    </w:p>
    <w:p>
      <w:pPr>
        <w:pStyle w:val="TextBody"/>
        <w:bidi w:val="0"/>
        <w:spacing w:before="240" w:after="0"/>
        <w:jc w:val="left"/>
        <w:rPr>
          <w:rFonts w:ascii="Times New Roman" w:hAnsi="Times New Roman"/>
          <w:sz w:val="20"/>
        </w:rPr>
      </w:pPr>
      <w:r>
        <w:rPr>
          <w:rFonts w:ascii="Times New Roman" w:hAnsi="Times New Roman"/>
          <w:sz w:val="20"/>
        </w:rPr>
        <w:t xml:space="preserve">Since December 2023, we have granted certain employees, consultants and directors options to purchase an aggregate of 23,722,506 shares of our common stock under our 2022 Plan, at exercise prices ranging from $0.21 to $1.35 per share.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
        <w:gridCol w:w="695"/>
        <w:gridCol w:w="8829"/>
      </w:tblGrid>
      <w:tr>
        <w:trPr/>
        <w:tc>
          <w:tcPr>
            <w:tcW w:w="681"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8829" w:type="dxa"/>
            <w:tcBorders/>
            <w:vAlign w:val="center"/>
          </w:tcPr>
          <w:p>
            <w:pPr>
              <w:pStyle w:val="TableContents"/>
              <w:bidi w:val="0"/>
              <w:spacing w:before="0" w:after="283"/>
              <w:jc w:val="left"/>
              <w:rPr>
                <w:sz w:val="4"/>
                <w:szCs w:val="4"/>
              </w:rPr>
            </w:pPr>
            <w:r>
              <w:rPr>
                <w:sz w:val="4"/>
                <w:szCs w:val="4"/>
              </w:rPr>
            </w:r>
          </w:p>
        </w:tc>
      </w:tr>
      <w:tr>
        <w:trPr/>
        <w:tc>
          <w:tcPr>
            <w:tcW w:w="681"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Exhibit</w:t>
              <w:br/>
              <w:t>Number</w:t>
            </w:r>
          </w:p>
        </w:tc>
        <w:tc>
          <w:tcPr>
            <w:tcW w:w="695" w:type="dxa"/>
            <w:tcBorders/>
            <w:vAlign w:val="bottom"/>
          </w:tcPr>
          <w:p>
            <w:pPr>
              <w:pStyle w:val="TableContents"/>
              <w:bidi w:val="0"/>
              <w:spacing w:before="0" w:after="283"/>
              <w:jc w:val="left"/>
              <w:rPr/>
            </w:pPr>
            <w:r>
              <w:rPr/>
              <w:t>  </w:t>
            </w:r>
          </w:p>
        </w:tc>
        <w:tc>
          <w:tcPr>
            <w:tcW w:w="88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8"/>
              </w:rPr>
            </w:pPr>
            <w:r>
              <w:rPr>
                <w:rFonts w:ascii="Times New Roman" w:hAnsi="Times New Roman"/>
                <w:b/>
                <w:sz w:val="18"/>
              </w:rPr>
              <w:t>Description</w:t>
            </w:r>
          </w:p>
        </w:tc>
      </w:tr>
      <w:tr>
        <w:trPr/>
        <w:tc>
          <w:tcPr>
            <w:tcW w:w="681" w:type="dxa"/>
            <w:tcBorders/>
          </w:tcPr>
          <w:p>
            <w:pPr>
              <w:pStyle w:val="TableContents"/>
              <w:bidi w:val="0"/>
              <w:spacing w:before="0" w:after="283"/>
              <w:jc w:val="left"/>
              <w:rPr/>
            </w:pPr>
            <w:r>
              <w:rPr/>
              <w:t>1.1*</w:t>
            </w:r>
          </w:p>
        </w:tc>
        <w:tc>
          <w:tcPr>
            <w:tcW w:w="695"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r>
              <w:rPr/>
              <w:t>Form of Underwriting Agreement.</w:t>
            </w:r>
          </w:p>
        </w:tc>
      </w:tr>
      <w:tr>
        <w:trPr>
          <w:trHeight w:val="120" w:hRule="atLeast"/>
        </w:trPr>
        <w:tc>
          <w:tcPr>
            <w:tcW w:w="681" w:type="dxa"/>
            <w:tcBorders/>
            <w:vAlign w:val="center"/>
          </w:tcPr>
          <w:p>
            <w:pPr>
              <w:pStyle w:val="TableContents"/>
              <w:bidi w:val="0"/>
              <w:spacing w:before="0" w:after="283"/>
              <w:jc w:val="left"/>
              <w:rPr>
                <w:sz w:val="4"/>
                <w:szCs w:val="4"/>
              </w:rPr>
            </w:pPr>
            <w:r>
              <w:rPr>
                <w:sz w:val="4"/>
                <w:szCs w:val="4"/>
              </w:rPr>
            </w:r>
          </w:p>
        </w:tc>
        <w:tc>
          <w:tcPr>
            <w:tcW w:w="9524"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3.1</w:t>
            </w:r>
          </w:p>
        </w:tc>
        <w:tc>
          <w:tcPr>
            <w:tcW w:w="695"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03738dex31.htm">
              <w:r>
                <w:rPr>
                  <w:rStyle w:val="InternetLink"/>
                </w:rPr>
                <w:t xml:space="preserve">Second Amended and Restated Certificate of Incorporation, as amended, as currently in effect. </w:t>
              </w:r>
            </w:hyperlink>
          </w:p>
        </w:tc>
      </w:tr>
      <w:tr>
        <w:trPr>
          <w:trHeight w:val="120" w:hRule="atLeast"/>
        </w:trPr>
        <w:tc>
          <w:tcPr>
            <w:tcW w:w="681" w:type="dxa"/>
            <w:tcBorders/>
            <w:vAlign w:val="center"/>
          </w:tcPr>
          <w:p>
            <w:pPr>
              <w:pStyle w:val="TableContents"/>
              <w:bidi w:val="0"/>
              <w:spacing w:before="0" w:after="283"/>
              <w:jc w:val="left"/>
              <w:rPr>
                <w:sz w:val="4"/>
                <w:szCs w:val="4"/>
              </w:rPr>
            </w:pPr>
            <w:r>
              <w:rPr>
                <w:sz w:val="4"/>
                <w:szCs w:val="4"/>
              </w:rPr>
            </w:r>
          </w:p>
        </w:tc>
        <w:tc>
          <w:tcPr>
            <w:tcW w:w="9524"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3.2*</w:t>
            </w:r>
          </w:p>
        </w:tc>
        <w:tc>
          <w:tcPr>
            <w:tcW w:w="695"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r>
              <w:rPr/>
              <w:t>Form of Third Amended and Restated Certificate of Incorporation, to be in effect immediately prior to the completion of this offering.</w:t>
            </w:r>
          </w:p>
        </w:tc>
      </w:tr>
      <w:tr>
        <w:trPr>
          <w:trHeight w:val="120" w:hRule="atLeast"/>
        </w:trPr>
        <w:tc>
          <w:tcPr>
            <w:tcW w:w="681" w:type="dxa"/>
            <w:tcBorders/>
            <w:vAlign w:val="center"/>
          </w:tcPr>
          <w:p>
            <w:pPr>
              <w:pStyle w:val="TableContents"/>
              <w:bidi w:val="0"/>
              <w:spacing w:before="0" w:after="283"/>
              <w:jc w:val="left"/>
              <w:rPr>
                <w:sz w:val="4"/>
                <w:szCs w:val="4"/>
              </w:rPr>
            </w:pPr>
            <w:r>
              <w:rPr>
                <w:sz w:val="4"/>
                <w:szCs w:val="4"/>
              </w:rPr>
            </w:r>
          </w:p>
        </w:tc>
        <w:tc>
          <w:tcPr>
            <w:tcW w:w="9524"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3.3</w:t>
            </w:r>
          </w:p>
        </w:tc>
        <w:tc>
          <w:tcPr>
            <w:tcW w:w="695" w:type="dxa"/>
            <w:tcBorders/>
            <w:vAlign w:val="bottom"/>
          </w:tcPr>
          <w:p>
            <w:pPr>
              <w:pStyle w:val="TableContents"/>
              <w:bidi w:val="0"/>
              <w:spacing w:before="0" w:after="283"/>
              <w:jc w:val="left"/>
              <w:rPr/>
            </w:pPr>
            <w:r>
              <w:rPr/>
              <w:t>  </w:t>
            </w:r>
          </w:p>
        </w:tc>
        <w:tc>
          <w:tcPr>
            <w:tcW w:w="8829" w:type="dxa"/>
            <w:tcBorders/>
          </w:tcPr>
          <w:p>
            <w:pPr>
              <w:pStyle w:val="TableContents"/>
              <w:bidi w:val="0"/>
              <w:spacing w:before="0" w:after="283"/>
              <w:jc w:val="left"/>
              <w:rPr/>
            </w:pPr>
            <w:hyperlink w:anchor="d803738dex33.htm">
              <w:r>
                <w:rPr>
                  <w:rStyle w:val="InternetLink"/>
                </w:rPr>
                <w:t xml:space="preserve">Bylaws, as currently in effect.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94"/>
        <w:gridCol w:w="396"/>
        <w:gridCol w:w="9115"/>
      </w:tblGrid>
      <w:tr>
        <w:trPr/>
        <w:tc>
          <w:tcPr>
            <w:tcW w:w="694"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9115" w:type="dxa"/>
            <w:tcBorders/>
            <w:vAlign w:val="center"/>
          </w:tcPr>
          <w:p>
            <w:pPr>
              <w:pStyle w:val="TableContents"/>
              <w:bidi w:val="0"/>
              <w:spacing w:before="0" w:after="283"/>
              <w:jc w:val="left"/>
              <w:rPr>
                <w:sz w:val="4"/>
                <w:szCs w:val="4"/>
              </w:rPr>
            </w:pPr>
            <w:r>
              <w:rPr>
                <w:sz w:val="4"/>
                <w:szCs w:val="4"/>
              </w:rPr>
            </w:r>
          </w:p>
        </w:tc>
      </w:tr>
      <w:tr>
        <w:trPr/>
        <w:tc>
          <w:tcPr>
            <w:tcW w:w="694"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Exhibit</w:t>
              <w:br/>
              <w:t>Number</w:t>
            </w:r>
          </w:p>
        </w:tc>
        <w:tc>
          <w:tcPr>
            <w:tcW w:w="396" w:type="dxa"/>
            <w:tcBorders/>
            <w:vAlign w:val="bottom"/>
          </w:tcPr>
          <w:p>
            <w:pPr>
              <w:pStyle w:val="TableContents"/>
              <w:bidi w:val="0"/>
              <w:spacing w:before="0" w:after="283"/>
              <w:jc w:val="left"/>
              <w:rPr/>
            </w:pPr>
            <w:r>
              <w:rPr/>
              <w:t> </w:t>
            </w:r>
          </w:p>
        </w:tc>
        <w:tc>
          <w:tcPr>
            <w:tcW w:w="91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8"/>
              </w:rPr>
            </w:pPr>
            <w:r>
              <w:rPr>
                <w:rFonts w:ascii="Times New Roman" w:hAnsi="Times New Roman"/>
                <w:b/>
                <w:sz w:val="18"/>
              </w:rPr>
              <w:t>Description</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3.4*</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Form of Amended and Restated Bylaws, to be in effect as of the effectiveness of the registration statement of which this prospectus forms a part.</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4.1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41.htm">
              <w:r>
                <w:rPr>
                  <w:rStyle w:val="InternetLink"/>
                </w:rPr>
                <w:t xml:space="preserve">Specimen Common Stock Certificate.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4.2+</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42.htm">
              <w:r>
                <w:rPr>
                  <w:rStyle w:val="InternetLink"/>
                </w:rPr>
                <w:t xml:space="preserve">Amended and Restated Investors Rights Agreement, by and between the Registrant and certain of its stockholders, dated as of August 7, 2023.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5.1*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Opinion of Goodwin Procter LLP.</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htm">
              <w:r>
                <w:rPr>
                  <w:rStyle w:val="InternetLink"/>
                </w:rPr>
                <w:t xml:space="preserve">2022 Stock Option and Grant Plan, as amended, and form of award agreements thereunder.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10.2*#</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Rapport Therapeutics, Inc. 2024 Stock Option and Incentive Plan and form of award agreements thereunder.</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10.3*#</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Rapport Therapeutics, Inc. 2024 Employee Stock Purchase Plan.</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10.4*#</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Form of Indemnification Agreement, by and between the Registrant and its directors and executive officers.</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10.5*#</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Senior Executive Cash Incentive Bonus Plan.</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10.6*#</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Non-Employee Director Compensation Policy.</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10.7*#</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0"/>
              <w:jc w:val="left"/>
              <w:rPr>
                <w:rFonts w:ascii="Times New Roman" w:hAnsi="Times New Roman"/>
                <w:sz w:val="20"/>
              </w:rPr>
            </w:pPr>
            <w:r>
              <w:rPr>
                <w:rFonts w:ascii="Times New Roman" w:hAnsi="Times New Roman"/>
                <w:sz w:val="20"/>
              </w:rPr>
              <w:t>Employment Agreement, by and between the Registrant and Abraham N. Ceesay, M.B.A., to be in effect upon the closing of this offering.</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10.8*#</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0"/>
              <w:jc w:val="left"/>
              <w:rPr>
                <w:rFonts w:ascii="Times New Roman" w:hAnsi="Times New Roman"/>
                <w:sz w:val="20"/>
              </w:rPr>
            </w:pPr>
            <w:r>
              <w:rPr>
                <w:rFonts w:ascii="Times New Roman" w:hAnsi="Times New Roman"/>
                <w:sz w:val="20"/>
              </w:rPr>
              <w:t>Employment Agreement, by and between the Registrant and Troy Ignelzi, to be in effect upon the closing of this offering.</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10.9*#</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Employment Agreement, by and between the Registrant and Cheryl Gault, to be in effect upon the closing of this offering.</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10.10+</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0.htm">
              <w:r>
                <w:rPr>
                  <w:rStyle w:val="InternetLink"/>
                </w:rPr>
                <w:t xml:space="preserve">Option and License Agreement, by and between the Registrant and Janssen Pharmaceutica NV, dated August 9, 2022, as amended.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1.htm">
              <w:r>
                <w:rPr>
                  <w:rStyle w:val="InternetLink"/>
                </w:rPr>
                <w:t xml:space="preserve">Master Services Agreement, by and between the Registrant and NeuroPace Inc., dated November 28, 2023.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10.12+</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2.htm">
              <w:r>
                <w:rPr>
                  <w:rStyle w:val="InternetLink"/>
                </w:rPr>
                <w:t xml:space="preserve">Statement of Work #1, by and between the Registrant and NeuroPace Inc., dated November 28, 2023, as amended March 1, 2024.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10.13+</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3.htm">
              <w:r>
                <w:rPr>
                  <w:rStyle w:val="InternetLink"/>
                </w:rPr>
                <w:t xml:space="preserve">Sublease Agreement, by and between the Registrant and Whoop, Inc., dated June 15, 2023.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10.14+</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4.htm">
              <w:r>
                <w:rPr>
                  <w:rStyle w:val="InternetLink"/>
                </w:rPr>
                <w:t xml:space="preserve">License Agreement, by and between the Registrant and ARE-SD Region No. 61, LLC, dated December 21, 2023.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10.15+</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1015.htm">
              <w:r>
                <w:rPr>
                  <w:rStyle w:val="InternetLink"/>
                </w:rPr>
                <w:t xml:space="preserve">Lease Agreement, by and between the Registrant and ARE-9880 Campus Point, LLC, dated February 12, 2024.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21.1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211.htm">
              <w:r>
                <w:rPr>
                  <w:rStyle w:val="InternetLink"/>
                </w:rPr>
                <w:t xml:space="preserve">Subsidiaries of Registrant.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23.1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231.htm">
              <w:r>
                <w:rPr>
                  <w:rStyle w:val="InternetLink"/>
                </w:rPr>
                <w:t xml:space="preserve">Consent of PricewaterhouseCoopers LLP, Independent Registered Public Accounting Firm.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23.2*</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r>
              <w:rPr/>
              <w:t>Consent of Goodwin Procter LLP (included in Exhibit 5.1).</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24.1</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ii803738_500">
              <w:r>
                <w:rPr>
                  <w:rStyle w:val="InternetLink"/>
                </w:rPr>
                <w:t xml:space="preserve">Power of Attorney (included on signature page). </w:t>
              </w:r>
            </w:hyperlink>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9511"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107</w:t>
            </w:r>
          </w:p>
        </w:tc>
        <w:tc>
          <w:tcPr>
            <w:tcW w:w="396" w:type="dxa"/>
            <w:tcBorders/>
            <w:vAlign w:val="bottom"/>
          </w:tcPr>
          <w:p>
            <w:pPr>
              <w:pStyle w:val="TableContents"/>
              <w:bidi w:val="0"/>
              <w:spacing w:before="0" w:after="283"/>
              <w:jc w:val="left"/>
              <w:rPr/>
            </w:pPr>
            <w:r>
              <w:rPr/>
              <w:t> </w:t>
            </w:r>
          </w:p>
        </w:tc>
        <w:tc>
          <w:tcPr>
            <w:tcW w:w="9115" w:type="dxa"/>
            <w:tcBorders/>
          </w:tcPr>
          <w:p>
            <w:pPr>
              <w:pStyle w:val="TableContents"/>
              <w:bidi w:val="0"/>
              <w:spacing w:before="0" w:after="283"/>
              <w:jc w:val="left"/>
              <w:rPr/>
            </w:pPr>
            <w:hyperlink w:anchor="d803738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any compensatory plan, contract or arrangement.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document that constitute confidential information have been redacted pursuant to Item 601(b)(10) of Regulation S-K.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to these agreements have been omitted pursuant to Item 601(a)(5) and (6) of Regulation S-K. The registrant will furnish copies of any of the exhibits and schedules to the Securities and Exchange Commission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All financial statement schedules are omitted because the information required to be set forth therein is not applicable or is shown in the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will provide to the underwriter at the closing as specified in the underwriting agreement, certificates in such denominations and registered in such names as required by the underwriter to permit prompt delivery to each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on Form S-1 to be signed on its behalf by the undersigned, thereunto duly authorized, in the City of Boston, Massachusetts, on the 17th of May,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RAPPORT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Abraham N. Ceesay</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Abraham N. Ceesay, M.B.A.</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Chief Executive Officer and Director</w:t>
            </w:r>
          </w:p>
        </w:tc>
      </w:tr>
    </w:tbl>
    <w:p>
      <w:pPr>
        <w:pStyle w:val="TextBody"/>
        <w:bidi w:val="0"/>
        <w:spacing w:before="480" w:after="0"/>
        <w:jc w:val="center"/>
        <w:rPr>
          <w:rFonts w:ascii="Times New Roman" w:hAnsi="Times New Roman"/>
          <w:b/>
          <w:sz w:val="20"/>
        </w:rPr>
      </w:pPr>
      <w:bookmarkStart w:id="37" w:name="ii803738_500"/>
      <w:bookmarkEnd w:id="37"/>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Each individual whose signature appears below hereby constitutes and appoints Abraham N. Ceesay, M.B.A. and Troy Ignelzi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and Power of Attorney has been signed by the following person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530"/>
        <w:gridCol w:w="120"/>
        <w:gridCol w:w="4347"/>
        <w:gridCol w:w="203"/>
        <w:gridCol w:w="2005"/>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3530" w:type="dxa"/>
            <w:tcBorders>
              <w:bottom w:val="single" w:sz="8" w:space="0" w:color="000000"/>
            </w:tcBorders>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Signature</w:t>
            </w:r>
          </w:p>
        </w:tc>
        <w:tc>
          <w:tcPr>
            <w:tcW w:w="120" w:type="dxa"/>
            <w:tcBorders/>
            <w:vAlign w:val="bottom"/>
          </w:tcPr>
          <w:p>
            <w:pPr>
              <w:pStyle w:val="TableContents"/>
              <w:bidi w:val="0"/>
              <w:spacing w:before="0" w:after="283"/>
              <w:jc w:val="left"/>
              <w:rPr/>
            </w:pPr>
            <w:r>
              <w:rPr/>
              <w:t>  </w:t>
            </w:r>
          </w:p>
        </w:tc>
        <w:tc>
          <w:tcPr>
            <w:tcW w:w="4347" w:type="dxa"/>
            <w:tcBorders>
              <w:bottom w:val="single" w:sz="8" w:space="0" w:color="000000"/>
            </w:tcBorders>
            <w:tcMar>
              <w:bottom w:w="28" w:type="dxa"/>
            </w:tcMar>
          </w:tcPr>
          <w:p>
            <w:pPr>
              <w:pStyle w:val="TableContents"/>
              <w:bidi w:val="0"/>
              <w:spacing w:before="0" w:after="20"/>
              <w:jc w:val="center"/>
              <w:rPr>
                <w:rFonts w:ascii="Times New Roman" w:hAnsi="Times New Roman"/>
                <w:b/>
                <w:sz w:val="20"/>
              </w:rPr>
            </w:pPr>
            <w:r>
              <w:rPr>
                <w:rFonts w:ascii="Times New Roman" w:hAnsi="Times New Roman"/>
                <w:b/>
                <w:sz w:val="20"/>
              </w:rPr>
              <w:t>Title</w:t>
            </w:r>
          </w:p>
        </w:tc>
        <w:tc>
          <w:tcPr>
            <w:tcW w:w="203" w:type="dxa"/>
            <w:tcBorders/>
            <w:vAlign w:val="bottom"/>
          </w:tcPr>
          <w:p>
            <w:pPr>
              <w:pStyle w:val="TableContents"/>
              <w:bidi w:val="0"/>
              <w:spacing w:before="0" w:after="283"/>
              <w:jc w:val="left"/>
              <w:rPr/>
            </w:pPr>
            <w:r>
              <w:rPr/>
              <w:t> </w:t>
            </w:r>
          </w:p>
        </w:tc>
        <w:tc>
          <w:tcPr>
            <w:tcW w:w="2005" w:type="dxa"/>
            <w:tcBorders>
              <w:bottom w:val="single" w:sz="8" w:space="0" w:color="000000"/>
            </w:tcBorders>
            <w:tcMar>
              <w:bottom w:w="28" w:type="dxa"/>
            </w:tcMar>
          </w:tcPr>
          <w:p>
            <w:pPr>
              <w:pStyle w:val="TableContents"/>
              <w:bidi w:val="0"/>
              <w:spacing w:before="0" w:after="20"/>
              <w:jc w:val="center"/>
              <w:rPr>
                <w:rFonts w:ascii="Times New Roman" w:hAnsi="Times New Roman"/>
                <w:b/>
                <w:sz w:val="20"/>
              </w:rPr>
            </w:pPr>
            <w:r>
              <w:rPr>
                <w:rFonts w:ascii="Times New Roman" w:hAnsi="Times New Roman"/>
                <w:b/>
                <w:sz w:val="20"/>
              </w:rPr>
              <w:t>Date</w:t>
            </w:r>
          </w:p>
        </w:tc>
      </w:tr>
      <w:tr>
        <w:trPr>
          <w:trHeight w:val="240" w:hRule="atLeast"/>
        </w:trPr>
        <w:tc>
          <w:tcPr>
            <w:tcW w:w="3530"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Abraham N. Ceesay</w:t>
            </w:r>
          </w:p>
          <w:p>
            <w:pPr>
              <w:pStyle w:val="TableContents"/>
              <w:bidi w:val="0"/>
              <w:spacing w:before="0" w:after="20"/>
              <w:jc w:val="left"/>
              <w:rPr>
                <w:rFonts w:ascii="Times New Roman" w:hAnsi="Times New Roman"/>
                <w:sz w:val="20"/>
              </w:rPr>
            </w:pPr>
            <w:r>
              <w:rPr>
                <w:rFonts w:ascii="Times New Roman" w:hAnsi="Times New Roman"/>
                <w:sz w:val="20"/>
              </w:rPr>
              <w:t>Abraham N. Ceesay, M.B.A.</w:t>
            </w:r>
          </w:p>
        </w:tc>
        <w:tc>
          <w:tcPr>
            <w:tcW w:w="120" w:type="dxa"/>
            <w:tcBorders/>
            <w:vAlign w:val="bottom"/>
          </w:tcPr>
          <w:p>
            <w:pPr>
              <w:pStyle w:val="TableContents"/>
              <w:bidi w:val="0"/>
              <w:spacing w:before="0" w:after="283"/>
              <w:jc w:val="left"/>
              <w:rPr/>
            </w:pPr>
            <w:r>
              <w:rPr/>
              <w:t>  </w:t>
            </w:r>
          </w:p>
        </w:tc>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203" w:type="dxa"/>
            <w:tcBorders/>
            <w:vAlign w:val="bottom"/>
          </w:tcPr>
          <w:p>
            <w:pPr>
              <w:pStyle w:val="TableContents"/>
              <w:bidi w:val="0"/>
              <w:spacing w:before="0" w:after="283"/>
              <w:jc w:val="left"/>
              <w:rPr/>
            </w:pPr>
            <w:r>
              <w:rPr/>
              <w:t> </w:t>
            </w:r>
          </w:p>
        </w:tc>
        <w:tc>
          <w:tcPr>
            <w:tcW w:w="2005" w:type="dxa"/>
            <w:tcBorders/>
            <w:vAlign w:val="bottom"/>
          </w:tcPr>
          <w:p>
            <w:pPr>
              <w:pStyle w:val="TableContents"/>
              <w:bidi w:val="0"/>
              <w:spacing w:before="0" w:after="283"/>
              <w:jc w:val="center"/>
              <w:rPr/>
            </w:pPr>
            <w:r>
              <w:rPr/>
              <w:t>May 17, 2024</w:t>
            </w:r>
          </w:p>
        </w:tc>
      </w:tr>
      <w:tr>
        <w:trPr>
          <w:trHeight w:val="240" w:hRule="atLeast"/>
        </w:trPr>
        <w:tc>
          <w:tcPr>
            <w:tcW w:w="3530"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Troy Ignelzi</w:t>
            </w:r>
          </w:p>
          <w:p>
            <w:pPr>
              <w:pStyle w:val="TableContents"/>
              <w:bidi w:val="0"/>
              <w:spacing w:before="0" w:after="20"/>
              <w:jc w:val="left"/>
              <w:rPr>
                <w:rFonts w:ascii="Times New Roman" w:hAnsi="Times New Roman"/>
                <w:sz w:val="20"/>
              </w:rPr>
            </w:pPr>
            <w:r>
              <w:rPr>
                <w:rFonts w:ascii="Times New Roman" w:hAnsi="Times New Roman"/>
                <w:sz w:val="20"/>
              </w:rPr>
              <w:t>Troy Ignelzi</w:t>
            </w:r>
          </w:p>
        </w:tc>
        <w:tc>
          <w:tcPr>
            <w:tcW w:w="120" w:type="dxa"/>
            <w:tcBorders/>
            <w:vAlign w:val="bottom"/>
          </w:tcPr>
          <w:p>
            <w:pPr>
              <w:pStyle w:val="TableContents"/>
              <w:bidi w:val="0"/>
              <w:spacing w:before="0" w:after="283"/>
              <w:jc w:val="left"/>
              <w:rPr/>
            </w:pPr>
            <w:r>
              <w:rPr/>
              <w:t>  </w:t>
            </w:r>
          </w:p>
        </w:tc>
        <w:tc>
          <w:tcPr>
            <w:tcW w:w="4347" w:type="dxa"/>
            <w:tcBorders/>
            <w:vAlign w:val="bottom"/>
          </w:tcPr>
          <w:p>
            <w:pPr>
              <w:pStyle w:val="TableContents"/>
              <w:bidi w:val="0"/>
              <w:spacing w:before="0" w:after="283"/>
              <w:jc w:val="left"/>
              <w:rPr/>
            </w:pPr>
            <w:r>
              <w:rPr/>
              <w:t>Chief Financial Officer (</w:t>
            </w:r>
            <w:r>
              <w:rPr>
                <w:i/>
              </w:rPr>
              <w:t>Principal Financial Officer and Principal Accounting Officer</w:t>
            </w:r>
            <w:r>
              <w:rPr/>
              <w:t>)</w:t>
            </w:r>
          </w:p>
        </w:tc>
        <w:tc>
          <w:tcPr>
            <w:tcW w:w="203" w:type="dxa"/>
            <w:tcBorders/>
            <w:vAlign w:val="bottom"/>
          </w:tcPr>
          <w:p>
            <w:pPr>
              <w:pStyle w:val="TableContents"/>
              <w:bidi w:val="0"/>
              <w:spacing w:before="0" w:after="283"/>
              <w:jc w:val="left"/>
              <w:rPr/>
            </w:pPr>
            <w:r>
              <w:rPr/>
              <w:t> </w:t>
            </w:r>
          </w:p>
        </w:tc>
        <w:tc>
          <w:tcPr>
            <w:tcW w:w="2005" w:type="dxa"/>
            <w:tcBorders/>
            <w:vAlign w:val="bottom"/>
          </w:tcPr>
          <w:p>
            <w:pPr>
              <w:pStyle w:val="TableContents"/>
              <w:bidi w:val="0"/>
              <w:spacing w:before="0" w:after="283"/>
              <w:jc w:val="center"/>
              <w:rPr/>
            </w:pPr>
            <w:r>
              <w:rPr/>
              <w:t>May 17, 2024</w:t>
            </w:r>
          </w:p>
        </w:tc>
      </w:tr>
      <w:tr>
        <w:trPr>
          <w:trHeight w:val="240" w:hRule="atLeast"/>
        </w:trPr>
        <w:tc>
          <w:tcPr>
            <w:tcW w:w="3530"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Steven M. Paul</w:t>
            </w:r>
          </w:p>
          <w:p>
            <w:pPr>
              <w:pStyle w:val="TableContents"/>
              <w:bidi w:val="0"/>
              <w:spacing w:before="0" w:after="20"/>
              <w:jc w:val="left"/>
              <w:rPr>
                <w:rFonts w:ascii="Times New Roman" w:hAnsi="Times New Roman"/>
                <w:sz w:val="20"/>
              </w:rPr>
            </w:pPr>
            <w:r>
              <w:rPr>
                <w:rFonts w:ascii="Times New Roman" w:hAnsi="Times New Roman"/>
                <w:sz w:val="20"/>
              </w:rPr>
              <w:t>Steven M. Paul, M.D.</w:t>
            </w:r>
          </w:p>
        </w:tc>
        <w:tc>
          <w:tcPr>
            <w:tcW w:w="120" w:type="dxa"/>
            <w:tcBorders/>
            <w:vAlign w:val="bottom"/>
          </w:tcPr>
          <w:p>
            <w:pPr>
              <w:pStyle w:val="TableContents"/>
              <w:bidi w:val="0"/>
              <w:spacing w:before="0" w:after="283"/>
              <w:jc w:val="left"/>
              <w:rPr/>
            </w:pPr>
            <w:r>
              <w:rPr/>
              <w:t>  </w:t>
            </w:r>
          </w:p>
        </w:tc>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and Chairman</w:t>
            </w:r>
          </w:p>
        </w:tc>
        <w:tc>
          <w:tcPr>
            <w:tcW w:w="203" w:type="dxa"/>
            <w:tcBorders/>
            <w:vAlign w:val="bottom"/>
          </w:tcPr>
          <w:p>
            <w:pPr>
              <w:pStyle w:val="TableContents"/>
              <w:bidi w:val="0"/>
              <w:spacing w:before="0" w:after="283"/>
              <w:jc w:val="left"/>
              <w:rPr/>
            </w:pPr>
            <w:r>
              <w:rPr/>
              <w:t> </w:t>
            </w:r>
          </w:p>
        </w:tc>
        <w:tc>
          <w:tcPr>
            <w:tcW w:w="2005" w:type="dxa"/>
            <w:tcBorders/>
            <w:vAlign w:val="bottom"/>
          </w:tcPr>
          <w:p>
            <w:pPr>
              <w:pStyle w:val="TableContents"/>
              <w:bidi w:val="0"/>
              <w:spacing w:before="0" w:after="283"/>
              <w:jc w:val="center"/>
              <w:rPr/>
            </w:pPr>
            <w:r>
              <w:rPr/>
              <w:t>May 17, 2024</w:t>
            </w:r>
          </w:p>
        </w:tc>
      </w:tr>
      <w:tr>
        <w:trPr>
          <w:trHeight w:val="240" w:hRule="atLeast"/>
        </w:trPr>
        <w:tc>
          <w:tcPr>
            <w:tcW w:w="3530"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Bredt</w:t>
            </w:r>
          </w:p>
          <w:p>
            <w:pPr>
              <w:pStyle w:val="TableContents"/>
              <w:bidi w:val="0"/>
              <w:spacing w:before="0" w:after="20"/>
              <w:jc w:val="left"/>
              <w:rPr>
                <w:rFonts w:ascii="Times New Roman" w:hAnsi="Times New Roman"/>
                <w:sz w:val="20"/>
              </w:rPr>
            </w:pPr>
            <w:r>
              <w:rPr>
                <w:rFonts w:ascii="Times New Roman" w:hAnsi="Times New Roman"/>
                <w:sz w:val="20"/>
              </w:rPr>
              <w:t>David Bredt, M.D., Ph.D.</w:t>
            </w:r>
          </w:p>
        </w:tc>
        <w:tc>
          <w:tcPr>
            <w:tcW w:w="120" w:type="dxa"/>
            <w:tcBorders/>
            <w:vAlign w:val="bottom"/>
          </w:tcPr>
          <w:p>
            <w:pPr>
              <w:pStyle w:val="TableContents"/>
              <w:bidi w:val="0"/>
              <w:spacing w:before="0" w:after="283"/>
              <w:jc w:val="left"/>
              <w:rPr/>
            </w:pPr>
            <w:r>
              <w:rPr/>
              <w:t>  </w:t>
            </w:r>
          </w:p>
        </w:tc>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Scientific Officer and Director</w:t>
            </w:r>
          </w:p>
        </w:tc>
        <w:tc>
          <w:tcPr>
            <w:tcW w:w="203" w:type="dxa"/>
            <w:tcBorders/>
            <w:vAlign w:val="bottom"/>
          </w:tcPr>
          <w:p>
            <w:pPr>
              <w:pStyle w:val="TableContents"/>
              <w:bidi w:val="0"/>
              <w:spacing w:before="0" w:after="283"/>
              <w:jc w:val="left"/>
              <w:rPr/>
            </w:pPr>
            <w:r>
              <w:rPr/>
              <w:t> </w:t>
            </w:r>
          </w:p>
        </w:tc>
        <w:tc>
          <w:tcPr>
            <w:tcW w:w="2005" w:type="dxa"/>
            <w:tcBorders/>
            <w:vAlign w:val="bottom"/>
          </w:tcPr>
          <w:p>
            <w:pPr>
              <w:pStyle w:val="TableContents"/>
              <w:bidi w:val="0"/>
              <w:spacing w:before="0" w:after="283"/>
              <w:jc w:val="center"/>
              <w:rPr/>
            </w:pPr>
            <w:r>
              <w:rPr/>
              <w:t>May 17, 2024</w:t>
            </w:r>
          </w:p>
        </w:tc>
      </w:tr>
      <w:tr>
        <w:trPr>
          <w:trHeight w:val="240" w:hRule="atLeast"/>
        </w:trPr>
        <w:tc>
          <w:tcPr>
            <w:tcW w:w="3530"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Terry-Ann Burrell</w:t>
            </w:r>
          </w:p>
          <w:p>
            <w:pPr>
              <w:pStyle w:val="TableContents"/>
              <w:bidi w:val="0"/>
              <w:spacing w:before="0" w:after="20"/>
              <w:jc w:val="left"/>
              <w:rPr>
                <w:rFonts w:ascii="Times New Roman" w:hAnsi="Times New Roman"/>
                <w:sz w:val="20"/>
              </w:rPr>
            </w:pPr>
            <w:r>
              <w:rPr>
                <w:rFonts w:ascii="Times New Roman" w:hAnsi="Times New Roman"/>
                <w:sz w:val="20"/>
              </w:rPr>
              <w:t>Terry-Ann Burrell, M.B.A.</w:t>
            </w:r>
          </w:p>
        </w:tc>
        <w:tc>
          <w:tcPr>
            <w:tcW w:w="120" w:type="dxa"/>
            <w:tcBorders/>
            <w:vAlign w:val="bottom"/>
          </w:tcPr>
          <w:p>
            <w:pPr>
              <w:pStyle w:val="TableContents"/>
              <w:bidi w:val="0"/>
              <w:spacing w:before="0" w:after="283"/>
              <w:jc w:val="left"/>
              <w:rPr/>
            </w:pPr>
            <w:r>
              <w:rPr/>
              <w:t>  </w:t>
            </w:r>
          </w:p>
        </w:tc>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05" w:type="dxa"/>
            <w:tcBorders/>
            <w:vAlign w:val="bottom"/>
          </w:tcPr>
          <w:p>
            <w:pPr>
              <w:pStyle w:val="TableContents"/>
              <w:bidi w:val="0"/>
              <w:spacing w:before="0" w:after="283"/>
              <w:jc w:val="center"/>
              <w:rPr/>
            </w:pPr>
            <w:r>
              <w:rPr/>
              <w:t>May 17, 2024</w:t>
            </w:r>
          </w:p>
        </w:tc>
      </w:tr>
      <w:tr>
        <w:trPr>
          <w:trHeight w:val="240" w:hRule="atLeast"/>
        </w:trPr>
        <w:tc>
          <w:tcPr>
            <w:tcW w:w="3530"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I. Healy</w:t>
            </w:r>
          </w:p>
          <w:p>
            <w:pPr>
              <w:pStyle w:val="TableContents"/>
              <w:bidi w:val="0"/>
              <w:spacing w:before="0" w:after="20"/>
              <w:jc w:val="left"/>
              <w:rPr>
                <w:rFonts w:ascii="Times New Roman" w:hAnsi="Times New Roman"/>
                <w:sz w:val="20"/>
              </w:rPr>
            </w:pPr>
            <w:r>
              <w:rPr>
                <w:rFonts w:ascii="Times New Roman" w:hAnsi="Times New Roman"/>
                <w:sz w:val="20"/>
              </w:rPr>
              <w:t>James I. Healy, M.D., Ph.D.</w:t>
            </w:r>
          </w:p>
        </w:tc>
        <w:tc>
          <w:tcPr>
            <w:tcW w:w="120" w:type="dxa"/>
            <w:tcBorders/>
            <w:vAlign w:val="bottom"/>
          </w:tcPr>
          <w:p>
            <w:pPr>
              <w:pStyle w:val="TableContents"/>
              <w:bidi w:val="0"/>
              <w:spacing w:before="0" w:after="283"/>
              <w:jc w:val="left"/>
              <w:rPr/>
            </w:pPr>
            <w:r>
              <w:rPr/>
              <w:t>  </w:t>
            </w:r>
          </w:p>
        </w:tc>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05" w:type="dxa"/>
            <w:tcBorders/>
            <w:vAlign w:val="bottom"/>
          </w:tcPr>
          <w:p>
            <w:pPr>
              <w:pStyle w:val="TableContents"/>
              <w:bidi w:val="0"/>
              <w:spacing w:before="0" w:after="283"/>
              <w:jc w:val="center"/>
              <w:rPr/>
            </w:pPr>
            <w:r>
              <w:rPr/>
              <w:t>May 17,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584"/>
        <w:gridCol w:w="120"/>
        <w:gridCol w:w="4286"/>
        <w:gridCol w:w="204"/>
        <w:gridCol w:w="2011"/>
      </w:tblGrid>
      <w:tr>
        <w:trPr/>
        <w:tc>
          <w:tcPr>
            <w:tcW w:w="35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8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Signature</w:t>
            </w:r>
          </w:p>
        </w:tc>
        <w:tc>
          <w:tcPr>
            <w:tcW w:w="120" w:type="dxa"/>
            <w:tcBorders/>
            <w:vAlign w:val="bottom"/>
          </w:tcPr>
          <w:p>
            <w:pPr>
              <w:pStyle w:val="TableContents"/>
              <w:bidi w:val="0"/>
              <w:spacing w:before="0" w:after="283"/>
              <w:jc w:val="left"/>
              <w:rPr/>
            </w:pPr>
            <w:r>
              <w:rPr/>
              <w:t>  </w:t>
            </w:r>
          </w:p>
        </w:tc>
        <w:tc>
          <w:tcPr>
            <w:tcW w:w="4286" w:type="dxa"/>
            <w:tcBorders>
              <w:bottom w:val="single" w:sz="8" w:space="0" w:color="000000"/>
            </w:tcBorders>
            <w:tcMar>
              <w:bottom w:w="28" w:type="dxa"/>
            </w:tcMar>
          </w:tcPr>
          <w:p>
            <w:pPr>
              <w:pStyle w:val="TableContents"/>
              <w:bidi w:val="0"/>
              <w:spacing w:before="0" w:after="20"/>
              <w:jc w:val="center"/>
              <w:rPr>
                <w:rFonts w:ascii="Times New Roman" w:hAnsi="Times New Roman"/>
                <w:b/>
                <w:sz w:val="20"/>
              </w:rPr>
            </w:pPr>
            <w:r>
              <w:rPr>
                <w:rFonts w:ascii="Times New Roman" w:hAnsi="Times New Roman"/>
                <w:b/>
                <w:sz w:val="20"/>
              </w:rPr>
              <w:t>Title</w:t>
            </w:r>
          </w:p>
        </w:tc>
        <w:tc>
          <w:tcPr>
            <w:tcW w:w="204" w:type="dxa"/>
            <w:tcBorders/>
            <w:vAlign w:val="bottom"/>
          </w:tcPr>
          <w:p>
            <w:pPr>
              <w:pStyle w:val="TableContents"/>
              <w:bidi w:val="0"/>
              <w:spacing w:before="0" w:after="283"/>
              <w:jc w:val="left"/>
              <w:rPr/>
            </w:pPr>
            <w:r>
              <w:rPr/>
              <w:t> </w:t>
            </w:r>
          </w:p>
        </w:tc>
        <w:tc>
          <w:tcPr>
            <w:tcW w:w="2011" w:type="dxa"/>
            <w:tcBorders>
              <w:bottom w:val="single" w:sz="8" w:space="0" w:color="000000"/>
            </w:tcBorders>
            <w:tcMar>
              <w:bottom w:w="28" w:type="dxa"/>
            </w:tcMar>
          </w:tcPr>
          <w:p>
            <w:pPr>
              <w:pStyle w:val="TableContents"/>
              <w:bidi w:val="0"/>
              <w:spacing w:before="0" w:after="20"/>
              <w:jc w:val="center"/>
              <w:rPr>
                <w:rFonts w:ascii="Times New Roman" w:hAnsi="Times New Roman"/>
                <w:b/>
                <w:sz w:val="20"/>
              </w:rPr>
            </w:pPr>
            <w:r>
              <w:rPr>
                <w:rFonts w:ascii="Times New Roman" w:hAnsi="Times New Roman"/>
                <w:b/>
                <w:sz w:val="20"/>
              </w:rPr>
              <w:t>Date</w:t>
            </w:r>
          </w:p>
        </w:tc>
      </w:tr>
      <w:tr>
        <w:trPr>
          <w:trHeight w:val="240" w:hRule="atLeast"/>
        </w:trPr>
        <w:tc>
          <w:tcPr>
            <w:tcW w:w="3584" w:type="dxa"/>
            <w:tcBorders/>
            <w:vAlign w:val="center"/>
          </w:tcPr>
          <w:p>
            <w:pPr>
              <w:pStyle w:val="TableContents"/>
              <w:bidi w:val="0"/>
              <w:spacing w:before="0" w:after="283"/>
              <w:jc w:val="left"/>
              <w:rPr>
                <w:sz w:val="4"/>
                <w:szCs w:val="4"/>
              </w:rPr>
            </w:pPr>
            <w:r>
              <w:rPr>
                <w:sz w:val="4"/>
                <w:szCs w:val="4"/>
              </w:rPr>
            </w:r>
          </w:p>
        </w:tc>
        <w:tc>
          <w:tcPr>
            <w:tcW w:w="4406" w:type="dxa"/>
            <w:gridSpan w:val="2"/>
            <w:tcBorders/>
            <w:vAlign w:val="center"/>
          </w:tcPr>
          <w:p>
            <w:pPr>
              <w:pStyle w:val="TableContents"/>
              <w:bidi w:val="0"/>
              <w:spacing w:before="0" w:after="283"/>
              <w:jc w:val="left"/>
              <w:rPr>
                <w:sz w:val="4"/>
                <w:szCs w:val="4"/>
              </w:rPr>
            </w:pPr>
            <w:r>
              <w:rPr>
                <w:sz w:val="4"/>
                <w:szCs w:val="4"/>
              </w:rPr>
            </w:r>
          </w:p>
        </w:tc>
        <w:tc>
          <w:tcPr>
            <w:tcW w:w="2215"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Reid Huber</w:t>
            </w:r>
          </w:p>
          <w:p>
            <w:pPr>
              <w:pStyle w:val="TableContents"/>
              <w:bidi w:val="0"/>
              <w:spacing w:before="0" w:after="20"/>
              <w:jc w:val="left"/>
              <w:rPr>
                <w:rFonts w:ascii="Times New Roman" w:hAnsi="Times New Roman"/>
                <w:sz w:val="20"/>
              </w:rPr>
            </w:pPr>
            <w:r>
              <w:rPr>
                <w:rFonts w:ascii="Times New Roman" w:hAnsi="Times New Roman"/>
                <w:sz w:val="20"/>
              </w:rPr>
              <w:t>Reid Huber, Ph.D.</w:t>
            </w:r>
          </w:p>
        </w:tc>
        <w:tc>
          <w:tcPr>
            <w:tcW w:w="120" w:type="dxa"/>
            <w:tcBorders/>
            <w:vAlign w:val="bottom"/>
          </w:tcPr>
          <w:p>
            <w:pPr>
              <w:pStyle w:val="TableContents"/>
              <w:bidi w:val="0"/>
              <w:spacing w:before="0" w:after="283"/>
              <w:jc w:val="left"/>
              <w:rPr/>
            </w:pPr>
            <w:r>
              <w:rPr/>
              <w:t>  </w:t>
            </w:r>
          </w:p>
        </w:tc>
        <w:tc>
          <w:tcPr>
            <w:tcW w:w="42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center"/>
              <w:rPr/>
            </w:pPr>
            <w:r>
              <w:rPr/>
              <w:t>May 17, 2024</w:t>
            </w:r>
          </w:p>
        </w:tc>
      </w:tr>
      <w:tr>
        <w:trPr>
          <w:trHeight w:val="240" w:hRule="atLeast"/>
        </w:trPr>
        <w:tc>
          <w:tcPr>
            <w:tcW w:w="3584" w:type="dxa"/>
            <w:tcBorders/>
            <w:vAlign w:val="center"/>
          </w:tcPr>
          <w:p>
            <w:pPr>
              <w:pStyle w:val="TableContents"/>
              <w:bidi w:val="0"/>
              <w:spacing w:before="0" w:after="283"/>
              <w:jc w:val="left"/>
              <w:rPr>
                <w:sz w:val="4"/>
                <w:szCs w:val="4"/>
              </w:rPr>
            </w:pPr>
            <w:r>
              <w:rPr>
                <w:sz w:val="4"/>
                <w:szCs w:val="4"/>
              </w:rPr>
            </w:r>
          </w:p>
        </w:tc>
        <w:tc>
          <w:tcPr>
            <w:tcW w:w="4406" w:type="dxa"/>
            <w:gridSpan w:val="2"/>
            <w:tcBorders/>
            <w:vAlign w:val="center"/>
          </w:tcPr>
          <w:p>
            <w:pPr>
              <w:pStyle w:val="TableContents"/>
              <w:bidi w:val="0"/>
              <w:spacing w:before="0" w:after="283"/>
              <w:jc w:val="left"/>
              <w:rPr>
                <w:sz w:val="4"/>
                <w:szCs w:val="4"/>
              </w:rPr>
            </w:pPr>
            <w:r>
              <w:rPr>
                <w:sz w:val="4"/>
                <w:szCs w:val="4"/>
              </w:rPr>
            </w:r>
          </w:p>
        </w:tc>
        <w:tc>
          <w:tcPr>
            <w:tcW w:w="2215"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Raymond Kelleher</w:t>
            </w:r>
          </w:p>
          <w:p>
            <w:pPr>
              <w:pStyle w:val="TableContents"/>
              <w:bidi w:val="0"/>
              <w:spacing w:before="0" w:after="20"/>
              <w:jc w:val="left"/>
              <w:rPr>
                <w:rFonts w:ascii="Times New Roman" w:hAnsi="Times New Roman"/>
                <w:sz w:val="20"/>
              </w:rPr>
            </w:pPr>
            <w:r>
              <w:rPr>
                <w:rFonts w:ascii="Times New Roman" w:hAnsi="Times New Roman"/>
                <w:sz w:val="20"/>
              </w:rPr>
              <w:t>Raymond Kelleher, M.D., Ph.D.</w:t>
            </w:r>
          </w:p>
        </w:tc>
        <w:tc>
          <w:tcPr>
            <w:tcW w:w="120" w:type="dxa"/>
            <w:tcBorders/>
            <w:vAlign w:val="bottom"/>
          </w:tcPr>
          <w:p>
            <w:pPr>
              <w:pStyle w:val="TableContents"/>
              <w:bidi w:val="0"/>
              <w:spacing w:before="0" w:after="283"/>
              <w:jc w:val="left"/>
              <w:rPr/>
            </w:pPr>
            <w:r>
              <w:rPr/>
              <w:t>  </w:t>
            </w:r>
          </w:p>
        </w:tc>
        <w:tc>
          <w:tcPr>
            <w:tcW w:w="42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center"/>
              <w:rPr/>
            </w:pPr>
            <w:r>
              <w:rPr/>
              <w:t>May 17, 2024</w:t>
            </w:r>
          </w:p>
        </w:tc>
      </w:tr>
      <w:tr>
        <w:trPr>
          <w:trHeight w:val="240" w:hRule="atLeast"/>
        </w:trPr>
        <w:tc>
          <w:tcPr>
            <w:tcW w:w="3584" w:type="dxa"/>
            <w:tcBorders/>
            <w:vAlign w:val="center"/>
          </w:tcPr>
          <w:p>
            <w:pPr>
              <w:pStyle w:val="TableContents"/>
              <w:bidi w:val="0"/>
              <w:spacing w:before="0" w:after="283"/>
              <w:jc w:val="left"/>
              <w:rPr>
                <w:sz w:val="4"/>
                <w:szCs w:val="4"/>
              </w:rPr>
            </w:pPr>
            <w:r>
              <w:rPr>
                <w:sz w:val="4"/>
                <w:szCs w:val="4"/>
              </w:rPr>
            </w:r>
          </w:p>
        </w:tc>
        <w:tc>
          <w:tcPr>
            <w:tcW w:w="4406" w:type="dxa"/>
            <w:gridSpan w:val="2"/>
            <w:tcBorders/>
            <w:vAlign w:val="center"/>
          </w:tcPr>
          <w:p>
            <w:pPr>
              <w:pStyle w:val="TableContents"/>
              <w:bidi w:val="0"/>
              <w:spacing w:before="0" w:after="283"/>
              <w:jc w:val="left"/>
              <w:rPr>
                <w:sz w:val="4"/>
                <w:szCs w:val="4"/>
              </w:rPr>
            </w:pPr>
            <w:r>
              <w:rPr>
                <w:sz w:val="4"/>
                <w:szCs w:val="4"/>
              </w:rPr>
            </w:r>
          </w:p>
        </w:tc>
        <w:tc>
          <w:tcPr>
            <w:tcW w:w="2215"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Maraganore</w:t>
            </w:r>
          </w:p>
          <w:p>
            <w:pPr>
              <w:pStyle w:val="TableContents"/>
              <w:bidi w:val="0"/>
              <w:spacing w:before="0" w:after="20"/>
              <w:jc w:val="left"/>
              <w:rPr>
                <w:rFonts w:ascii="Times New Roman" w:hAnsi="Times New Roman"/>
                <w:sz w:val="20"/>
              </w:rPr>
            </w:pPr>
            <w:r>
              <w:rPr>
                <w:rFonts w:ascii="Times New Roman" w:hAnsi="Times New Roman"/>
                <w:sz w:val="20"/>
              </w:rPr>
              <w:t>John Maraganore, Ph.D.</w:t>
            </w:r>
          </w:p>
        </w:tc>
        <w:tc>
          <w:tcPr>
            <w:tcW w:w="120" w:type="dxa"/>
            <w:tcBorders/>
            <w:vAlign w:val="bottom"/>
          </w:tcPr>
          <w:p>
            <w:pPr>
              <w:pStyle w:val="TableContents"/>
              <w:bidi w:val="0"/>
              <w:spacing w:before="0" w:after="283"/>
              <w:jc w:val="left"/>
              <w:rPr/>
            </w:pPr>
            <w:r>
              <w:rPr/>
              <w:t>  </w:t>
            </w:r>
          </w:p>
        </w:tc>
        <w:tc>
          <w:tcPr>
            <w:tcW w:w="42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center"/>
              <w:rPr/>
            </w:pPr>
            <w:r>
              <w:rPr/>
              <w:t>May 17, 2024</w:t>
            </w:r>
          </w:p>
        </w:tc>
      </w:tr>
      <w:tr>
        <w:trPr>
          <w:trHeight w:val="240" w:hRule="atLeast"/>
        </w:trPr>
        <w:tc>
          <w:tcPr>
            <w:tcW w:w="3584" w:type="dxa"/>
            <w:tcBorders/>
            <w:vAlign w:val="center"/>
          </w:tcPr>
          <w:p>
            <w:pPr>
              <w:pStyle w:val="TableContents"/>
              <w:bidi w:val="0"/>
              <w:spacing w:before="0" w:after="283"/>
              <w:jc w:val="left"/>
              <w:rPr>
                <w:sz w:val="4"/>
                <w:szCs w:val="4"/>
              </w:rPr>
            </w:pPr>
            <w:r>
              <w:rPr>
                <w:sz w:val="4"/>
                <w:szCs w:val="4"/>
              </w:rPr>
            </w:r>
          </w:p>
        </w:tc>
        <w:tc>
          <w:tcPr>
            <w:tcW w:w="4406" w:type="dxa"/>
            <w:gridSpan w:val="2"/>
            <w:tcBorders/>
            <w:vAlign w:val="center"/>
          </w:tcPr>
          <w:p>
            <w:pPr>
              <w:pStyle w:val="TableContents"/>
              <w:bidi w:val="0"/>
              <w:spacing w:before="0" w:after="283"/>
              <w:jc w:val="left"/>
              <w:rPr>
                <w:sz w:val="4"/>
                <w:szCs w:val="4"/>
              </w:rPr>
            </w:pPr>
            <w:r>
              <w:rPr>
                <w:sz w:val="4"/>
                <w:szCs w:val="4"/>
              </w:rPr>
            </w:r>
          </w:p>
        </w:tc>
        <w:tc>
          <w:tcPr>
            <w:tcW w:w="2215"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Jeffrey K. Tong</w:t>
            </w:r>
          </w:p>
          <w:p>
            <w:pPr>
              <w:pStyle w:val="TableContents"/>
              <w:bidi w:val="0"/>
              <w:spacing w:before="0" w:after="20"/>
              <w:jc w:val="left"/>
              <w:rPr>
                <w:rFonts w:ascii="Times New Roman" w:hAnsi="Times New Roman"/>
                <w:sz w:val="20"/>
              </w:rPr>
            </w:pPr>
            <w:r>
              <w:rPr>
                <w:rFonts w:ascii="Times New Roman" w:hAnsi="Times New Roman"/>
                <w:sz w:val="20"/>
              </w:rPr>
              <w:t>Jeffrey K. Tong, Ph.D.</w:t>
            </w:r>
          </w:p>
        </w:tc>
        <w:tc>
          <w:tcPr>
            <w:tcW w:w="120" w:type="dxa"/>
            <w:tcBorders/>
            <w:vAlign w:val="bottom"/>
          </w:tcPr>
          <w:p>
            <w:pPr>
              <w:pStyle w:val="TableContents"/>
              <w:bidi w:val="0"/>
              <w:spacing w:before="0" w:after="283"/>
              <w:jc w:val="left"/>
              <w:rPr/>
            </w:pPr>
            <w:r>
              <w:rPr/>
              <w:t>  </w:t>
            </w:r>
          </w:p>
        </w:tc>
        <w:tc>
          <w:tcPr>
            <w:tcW w:w="42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11" w:type="dxa"/>
            <w:tcBorders/>
            <w:vAlign w:val="bottom"/>
          </w:tcPr>
          <w:p>
            <w:pPr>
              <w:pStyle w:val="TableContents"/>
              <w:bidi w:val="0"/>
              <w:spacing w:before="0" w:after="283"/>
              <w:jc w:val="center"/>
              <w:rPr/>
            </w:pPr>
            <w:r>
              <w:rPr/>
              <w:t>May 17,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38" w:name="d803738dex31.htm"/>
      <w:bookmarkStart w:id="39" w:name="ksd803738dex31"/>
      <w:bookmarkEnd w:id="38"/>
      <w:bookmarkEnd w:id="39"/>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Sections 242 and 245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Rapport Therapeutics, Inc.,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the name of this corporation is Rapport Therapeutics, Inc., and that this corporation was originally incorporated pursuant to the General Corporation Law on February 10, 2022 under the name Precision Neuroscience NewCo, Inc. The name of the corporation was changed on October 7, 2022 to Rapport Therapeutics, Inc. The corporations certificate of incorporation was amended by that certain certificates of amendment dated as of May 10, 2022, August 9, 2022, October 7, 2022 and November 28, 2022 and further amended by that certain Amended and Restated Certificate of Incorporation dated as of December 9, 2022.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the Board of Directors (as defined below) duly adopted resolutions proposing to amend and restate the Amended and Restated Certificate of Incorporation (as defined below)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Amended and Restated Certificate of Incorporation of this corporation, as amended, be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The name of this corporation is Rapport Therapeutics, Inc. (the </w:t>
      </w:r>
      <w:r>
        <w:rPr>
          <w:rFonts w:ascii="Times New Roman" w:hAnsi="Times New Roman"/>
          <w:b/>
          <w:sz w:val="20"/>
        </w:rPr>
        <w:t>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address of the registered office of the Corporation in the State of Delaware is 1209 Orange Street, in the City of Wilmington, County of New Castle, 19801. The name of its registered agent at such address is The Corporation Trust Company. </w:t>
      </w:r>
    </w:p>
    <w:p>
      <w:pPr>
        <w:pStyle w:val="TextBody"/>
        <w:bidi w:val="0"/>
        <w:spacing w:before="12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nature of the business or purposes to be conducted or promoted is to engage in any lawful act or activity for which corporations may be organized under the General Corporation Law. </w:t>
      </w:r>
    </w:p>
    <w:p>
      <w:pPr>
        <w:pStyle w:val="TextBody"/>
        <w:bidi w:val="0"/>
        <w:spacing w:before="12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total number of shares of all classes of stock which the Corporation shall have authority to issue is (i) 250,000,000 shares of Common Stock, $0.001 par value per share (</w:t>
      </w:r>
      <w:r>
        <w:rPr>
          <w:rFonts w:ascii="Times New Roman" w:hAnsi="Times New Roman"/>
          <w:b/>
          <w:sz w:val="20"/>
        </w:rPr>
        <w:t>Common Stock</w:t>
      </w:r>
      <w:r>
        <w:rPr>
          <w:rFonts w:ascii="Times New Roman" w:hAnsi="Times New Roman"/>
          <w:sz w:val="20"/>
        </w:rPr>
        <w:t>) and (ii) 189,613,384 shares of Preferred Stock, $0.001 par value per share (</w:t>
      </w:r>
      <w:r>
        <w:rPr>
          <w:rFonts w:ascii="Times New Roman" w:hAnsi="Times New Roman"/>
          <w:b/>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the designations and the powers, privileges and rights, and the qualifications, limitations or restrictions thereof in respect of each class of capital stock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COMMON STOCK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voting, dividend and liquidation rights of the holders of the Common Stock are subject to and qualified by the rights, powers and preferences of the holders of the Preferred Stock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xml:space="preserve">. The holders of the Common Stock are entitled to one vote for each share of Common Stock held at all meetings of stockholders (and written actions in lieu of meetings);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required by law, holders of Common Stock, as such, shall not be entitled to vote on any amendment to the Corporations Certificate of Incorporation (as amended and/or restated from time to time, the </w:t>
      </w:r>
      <w:r>
        <w:rPr>
          <w:rFonts w:ascii="Times New Roman" w:hAnsi="Times New Roman"/>
          <w:b/>
          <w:sz w:val="20"/>
        </w:rPr>
        <w:t>Certificate of Incorporation</w:t>
      </w:r>
      <w:r>
        <w:rPr>
          <w:rFonts w:ascii="Times New Roman" w:hAnsi="Times New Roman"/>
          <w:sz w:val="20"/>
        </w:rPr>
        <w:t xml:space="preserve">)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Preferred Stock may be issued from time to time in one or more series, each of such series to consist of such number of shares and to have such terms, rights, powers and preferences, and the qualifications and limitations with respect thereto, as stated or expressed herein. </w:t>
      </w:r>
    </w:p>
    <w:p>
      <w:pPr>
        <w:pStyle w:val="TextBody"/>
        <w:bidi w:val="0"/>
        <w:spacing w:before="240" w:after="0"/>
        <w:jc w:val="left"/>
        <w:rPr>
          <w:rFonts w:ascii="Times New Roman" w:hAnsi="Times New Roman"/>
          <w:sz w:val="20"/>
        </w:rPr>
      </w:pPr>
      <w:r>
        <w:rPr>
          <w:rFonts w:ascii="Times New Roman" w:hAnsi="Times New Roman"/>
          <w:sz w:val="20"/>
        </w:rPr>
        <w:t>100,182,354 shares of the authorized Preferred Stock of the Corporation are hereby designated the </w:t>
      </w:r>
      <w:r>
        <w:rPr>
          <w:rFonts w:ascii="Times New Roman" w:hAnsi="Times New Roman"/>
          <w:b/>
          <w:sz w:val="20"/>
        </w:rPr>
        <w:t>Series A Preferred Stock</w:t>
      </w:r>
      <w:r>
        <w:rPr>
          <w:rFonts w:ascii="Times New Roman" w:hAnsi="Times New Roman"/>
          <w:sz w:val="20"/>
        </w:rPr>
        <w:t> and 89,431,030 shares of the authorized Preferred Stock of the Corporation are hereby designated </w:t>
      </w:r>
      <w:r>
        <w:rPr>
          <w:rFonts w:ascii="Times New Roman" w:hAnsi="Times New Roman"/>
          <w:b/>
          <w:sz w:val="20"/>
        </w:rPr>
        <w:t>Series B Preferred Stock</w:t>
      </w:r>
      <w:r>
        <w:rPr>
          <w:rFonts w:ascii="Times New Roman" w:hAnsi="Times New Roman"/>
          <w:sz w:val="20"/>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 The Series A Preferred Stock and the Series B Preferred Stock may be referred to collectively as the </w:t>
      </w:r>
      <w:r>
        <w:rPr>
          <w:rFonts w:ascii="Times New Roman" w:hAnsi="Times New Roman"/>
          <w:b/>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then outstanding shares of Preferred Stock shall be entitled to receive, only when, as and if declared by the Board of Directors, out of any funds and assets legally available therefor, dividends at the rate of 8% of the Applicable Original Issue Price (as defined below) for each share of Preferred Stock from and after the Filing Date, prior and in preference to any declaration or payment of any other dividend (other than dividends on shares of Common Stock payable in shares of Common Stock). The right to receive dividends on shares of Preferred Stock pursuant to the preceding sentence of this </w:t>
      </w:r>
      <w:r>
        <w:rPr>
          <w:rFonts w:ascii="Times New Roman" w:hAnsi="Times New Roman"/>
          <w:sz w:val="20"/>
          <w:u w:val="single"/>
        </w:rPr>
        <w:t>Section 1</w:t>
      </w:r>
      <w:r>
        <w:rPr>
          <w:rFonts w:ascii="Times New Roman" w:hAnsi="Times New Roman"/>
          <w:sz w:val="20"/>
        </w:rPr>
        <w:t xml:space="preserve"> shall not be cumulative, and no right to dividends shall accrue to holders of Preferred Stock by reason of the fact that dividends on said shares are not declared.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in addition to the dividends payable pursuant to the first sentence of this </w:t>
      </w:r>
      <w:r>
        <w:rPr>
          <w:rFonts w:ascii="Times New Roman" w:hAnsi="Times New Roman"/>
          <w:sz w:val="20"/>
          <w:u w:val="single"/>
        </w:rPr>
        <w:t>Section 1</w:t>
      </w:r>
      <w:r>
        <w:rPr>
          <w:rFonts w:ascii="Times New Roman" w:hAnsi="Times New Roman"/>
          <w:sz w:val="20"/>
        </w:rPr>
        <w:t xml:space="preser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such class or series had been converted into Common Stock and (B) the number of shares of Common Stock issuable upon conversion of a share of such class or series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Times New Roman" w:hAnsi="Times New Roman"/>
          <w:sz w:val="20"/>
          <w:u w:val="single"/>
        </w:rPr>
        <w:t>provided</w:t>
      </w:r>
      <w:r>
        <w:rPr>
          <w:rFonts w:ascii="Times New Roman" w:hAnsi="Times New Roman"/>
          <w:sz w:val="20"/>
        </w:rPr>
        <w:t xml:space="preserve"> that, if the Corporation declares, pays or sets aside, on the same date, a dividend on shares of more than one (1) class or series of capital stock of the Corporation, the dividend payable to the holders of Preferred Stock pursuant to this </w:t>
      </w:r>
      <w:r>
        <w:rPr>
          <w:rFonts w:ascii="Times New Roman" w:hAnsi="Times New Roman"/>
          <w:sz w:val="20"/>
          <w:u w:val="single"/>
        </w:rPr>
        <w:t>Section 1</w:t>
      </w:r>
      <w:r>
        <w:rPr>
          <w:rFonts w:ascii="Times New Roman" w:hAnsi="Times New Roman"/>
          <w:sz w:val="20"/>
        </w:rPr>
        <w:t xml:space="preserve"> shall be calculated based upon the dividend on the class or series of capital stock that would result in the highest Preferred Stock dividend. As of the date and time of the filing of the Certificate of Incorporation (such date and time, the </w:t>
      </w:r>
      <w:r>
        <w:rPr>
          <w:rFonts w:ascii="Times New Roman" w:hAnsi="Times New Roman"/>
          <w:b/>
          <w:sz w:val="20"/>
        </w:rPr>
        <w:t>Filing Date</w:t>
      </w:r>
      <w:r>
        <w:rPr>
          <w:rFonts w:ascii="Times New Roman" w:hAnsi="Times New Roman"/>
          <w:sz w:val="20"/>
        </w:rPr>
        <w:t>), the </w:t>
      </w:r>
      <w:r>
        <w:rPr>
          <w:rFonts w:ascii="Times New Roman" w:hAnsi="Times New Roman"/>
          <w:b/>
          <w:sz w:val="20"/>
        </w:rPr>
        <w:t>Series A</w:t>
      </w:r>
      <w:r>
        <w:rPr>
          <w:rFonts w:ascii="Times New Roman" w:hAnsi="Times New Roman"/>
          <w:sz w:val="20"/>
        </w:rPr>
        <w:t xml:space="preserve"> </w:t>
      </w:r>
      <w:r>
        <w:rPr>
          <w:rFonts w:ascii="Times New Roman" w:hAnsi="Times New Roman"/>
          <w:b/>
          <w:sz w:val="20"/>
        </w:rPr>
        <w:t>Original Issue Price</w:t>
      </w:r>
      <w:r>
        <w:rPr>
          <w:rFonts w:ascii="Times New Roman" w:hAnsi="Times New Roman"/>
          <w:sz w:val="20"/>
        </w:rPr>
        <w:t> shall mean $1.00 per share, subject to appropriate adjustment in the event of any stock dividend, stock split, combination or other similar recapitalization with respect to the Series A Preferred Stock occurring after the Filing Date. As of the Filing Date, the </w:t>
      </w:r>
      <w:r>
        <w:rPr>
          <w:rFonts w:ascii="Times New Roman" w:hAnsi="Times New Roman"/>
          <w:b/>
          <w:sz w:val="20"/>
        </w:rPr>
        <w:t>Series B Original Issue Price</w:t>
      </w:r>
      <w:r>
        <w:rPr>
          <w:rFonts w:ascii="Times New Roman" w:hAnsi="Times New Roman"/>
          <w:sz w:val="20"/>
        </w:rPr>
        <w:t> shall mean $1.67727 per share, subject to appropriate adjustment in the event of any stock dividend, stock split, combination or other similar recapitalization with respect to the Series B Preferred Stock occurring after the Filing Date. The Series A Original Issue Price, in the case of the Series A Preferred Stock, and the Series B Original Issue Price in the case of the Series B Preferred Stock, are individually or collectively, as applicable, referred to herein as the </w:t>
      </w:r>
      <w:r>
        <w:rPr>
          <w:rFonts w:ascii="Times New Roman" w:hAnsi="Times New Roman"/>
          <w:b/>
          <w:sz w:val="20"/>
        </w:rPr>
        <w:t>Applicable Original Issue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 Certain Mergers, Consolidations and 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Preferential Payments to Holders of Preferred Stock</w:t>
      </w:r>
      <w:r>
        <w:rPr>
          <w:rFonts w:ascii="Times New Roman" w:hAnsi="Times New Roman"/>
          <w:sz w:val="20"/>
        </w:rPr>
        <w:t xml:space="preserve">. In the event of any voluntary or involuntary liquidation, dissolution or winding up of the Corporation, the holders of shares of Preferred Stock then outstanding shall be entitled to be paid, </w:t>
      </w:r>
      <w:r>
        <w:rPr>
          <w:rFonts w:ascii="Times New Roman" w:hAnsi="Times New Roman"/>
          <w:i/>
          <w:sz w:val="20"/>
        </w:rPr>
        <w:t>pari passu</w:t>
      </w:r>
      <w:r>
        <w:rPr>
          <w:rFonts w:ascii="Times New Roman" w:hAnsi="Times New Roman"/>
          <w:sz w:val="20"/>
        </w:rPr>
        <w:t xml:space="preserve"> among the series of Preferred Stock, out of the assets of the Corporation available for distribution to its stockholders, and in the event of a Deemed Liquidation Event (as defined below), the holders of shares of Preferred Stock then outstanding shall be entitled to be paid, </w:t>
      </w:r>
      <w:r>
        <w:rPr>
          <w:rFonts w:ascii="Times New Roman" w:hAnsi="Times New Roman"/>
          <w:i/>
          <w:sz w:val="20"/>
        </w:rPr>
        <w:t>pari passu</w:t>
      </w:r>
      <w:r>
        <w:rPr>
          <w:rFonts w:ascii="Times New Roman" w:hAnsi="Times New Roman"/>
          <w:sz w:val="20"/>
        </w:rPr>
        <w:t xml:space="preserve"> among the series of Preferred Stock, out of the assets of the consideration payable to stockholders in such Deemed Liquidation Event or out of the Available Proceeds (as defined below), as applicable, before any payment shall be made to the holders of Common Stock by reason of their ownership thereof, an amount per share equal to the greater of (i) the Applicable Original Issue Price, plus any dividends declared but unpaid thereon, or (ii) such amount per share as would have been payable had all shares of Series A Preferred Stock or Series B Preferred Stock, as applicable, been converted into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of the Corporation or Deemed Liquidation Event. The amount which a holder of a share of Preferred Stock is entitled to receive pursuant to the first sentence of this </w:t>
      </w:r>
      <w:r>
        <w:rPr>
          <w:rFonts w:ascii="Times New Roman" w:hAnsi="Times New Roman"/>
          <w:sz w:val="20"/>
          <w:u w:val="single"/>
        </w:rPr>
        <w:t>Subsection 2.1</w:t>
      </w:r>
      <w:r>
        <w:rPr>
          <w:rFonts w:ascii="Times New Roman" w:hAnsi="Times New Roman"/>
          <w:sz w:val="20"/>
        </w:rPr>
        <w:t xml:space="preserve"> in the case of the Series A Preferred Stock is hereinafter referred to as the </w:t>
      </w:r>
      <w:r>
        <w:rPr>
          <w:rFonts w:ascii="Times New Roman" w:hAnsi="Times New Roman"/>
          <w:b/>
          <w:sz w:val="20"/>
        </w:rPr>
        <w:t>Series A Liquidation Amount</w:t>
      </w:r>
      <w:r>
        <w:rPr>
          <w:rFonts w:ascii="Times New Roman" w:hAnsi="Times New Roman"/>
          <w:sz w:val="20"/>
        </w:rPr>
        <w:t> and in the case of the Series B Preferred Stock is hereinafter referred to as the </w:t>
      </w:r>
      <w:r>
        <w:rPr>
          <w:rFonts w:ascii="Times New Roman" w:hAnsi="Times New Roman"/>
          <w:b/>
          <w:sz w:val="20"/>
        </w:rPr>
        <w:t>Series B Liquidation Amount</w:t>
      </w:r>
      <w:r>
        <w:rPr>
          <w:rFonts w:ascii="Times New Roman" w:hAnsi="Times New Roman"/>
          <w:sz w:val="20"/>
        </w:rPr>
        <w:t>. </w:t>
      </w:r>
      <w:r>
        <w:rPr>
          <w:rFonts w:ascii="Times New Roman" w:hAnsi="Times New Roman"/>
          <w:b/>
          <w:sz w:val="20"/>
        </w:rPr>
        <w:t>Applicable Liquidation Amount</w:t>
      </w:r>
      <w:r>
        <w:rPr>
          <w:rFonts w:ascii="Times New Roman" w:hAnsi="Times New Roman"/>
          <w:sz w:val="20"/>
        </w:rPr>
        <w:t xml:space="preserve"> refers to the Series A Liquidation Amount with respect to the Series A Preferred Stock and the Series B Liquidation Amount with respect to the Series B Preferred Stock.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hAnsi="Times New Roman"/>
          <w:sz w:val="20"/>
          <w:u w:val="single"/>
        </w:rPr>
        <w:t>Subsection 2.1</w:t>
      </w:r>
      <w:r>
        <w:rPr>
          <w:rFonts w:ascii="Times New Roman" w:hAnsi="Times New Roman"/>
          <w:sz w:val="20"/>
        </w:rPr>
        <w:t xml:space="preserve">,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Payments to Holders of Common Stock</w:t>
      </w:r>
      <w:r>
        <w:rPr>
          <w:rFonts w:ascii="Times New Roman" w:hAnsi="Times New Roman"/>
          <w:sz w:val="20"/>
        </w:rPr>
        <w:t xml:space="preserve">. In the event of any voluntary or involuntary liquidation, dissolution or winding up of the Corporation, after the payment in full of all Applicable Liquidation Amounts required to be paid to the holders of shares of Preferred Stock, the remaining assets of the Corporation available for distribution to its stockholders or, in the case of a Deemed Liquidation Event, the consideration not payable to holders of shares of Preferred Stock pursuant to </w:t>
      </w:r>
      <w:r>
        <w:rPr>
          <w:rFonts w:ascii="Times New Roman" w:hAnsi="Times New Roman"/>
          <w:sz w:val="20"/>
          <w:u w:val="single"/>
        </w:rPr>
        <w:t>Section 2.</w:t>
      </w:r>
      <w:r>
        <w:rPr>
          <w:rFonts w:ascii="Times New Roman" w:hAnsi="Times New Roman"/>
          <w:sz w:val="20"/>
        </w:rPr>
        <w:t xml:space="preserve">1 or the remaining Available Proceeds, as the case may be, shall be distributed among the holders of shares of Common Stock, pro rata based on the number of shares held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Deemed Liquidation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Definition</w:t>
      </w:r>
      <w:r>
        <w:rPr>
          <w:rFonts w:ascii="Times New Roman" w:hAnsi="Times New Roman"/>
          <w:sz w:val="20"/>
        </w:rPr>
        <w:t>. Each of the following events shall be considered a </w:t>
      </w:r>
      <w:r>
        <w:rPr>
          <w:rFonts w:ascii="Times New Roman" w:hAnsi="Times New Roman"/>
          <w:b/>
          <w:sz w:val="20"/>
        </w:rPr>
        <w:t>Deemed Liquidation Event</w:t>
      </w:r>
      <w:r>
        <w:rPr>
          <w:rFonts w:ascii="Times New Roman" w:hAnsi="Times New Roman"/>
          <w:sz w:val="20"/>
        </w:rPr>
        <w:t> unless the holders of (i) a majority of the then outstanding shares of Preferred Stock, voting or consenting together as a single class on an as-converted basis, and (ii) a majority the then outstanding shares of Series B Preferred Stock, voting as a separate, exclusive class (clauses (i) and (ii) collectively, the </w:t>
      </w:r>
      <w:r>
        <w:rPr>
          <w:rFonts w:ascii="Times New Roman" w:hAnsi="Times New Roman"/>
          <w:b/>
          <w:sz w:val="20"/>
        </w:rPr>
        <w:t>Required Vote</w:t>
      </w:r>
      <w:r>
        <w:rPr>
          <w:rFonts w:ascii="Times New Roman" w:hAnsi="Times New Roman"/>
          <w:sz w:val="20"/>
        </w:rPr>
        <w:t xml:space="preserve">), elect otherwise by written notice sent to the Corporation at least ten (10) days prior to the effective date of any such event: </w:t>
      </w:r>
    </w:p>
    <w:p>
      <w:pPr>
        <w:pStyle w:val="TextBody"/>
        <w:bidi w:val="0"/>
        <w:spacing w:before="120" w:after="0"/>
        <w:jc w:val="left"/>
        <w:rPr>
          <w:rFonts w:ascii="Times New Roman" w:hAnsi="Times New Roman"/>
          <w:sz w:val="20"/>
        </w:rPr>
      </w:pPr>
      <w:r>
        <w:rPr>
          <w:rFonts w:ascii="Times New Roman" w:hAnsi="Times New Roman"/>
          <w:sz w:val="20"/>
        </w:rPr>
        <w:t xml:space="preserve">(a) a merger or consolidation in which </w:t>
      </w:r>
    </w:p>
    <w:p>
      <w:pPr>
        <w:pStyle w:val="TextBody"/>
        <w:bidi w:val="0"/>
        <w:spacing w:before="240" w:after="0"/>
        <w:jc w:val="left"/>
        <w:rPr>
          <w:rFonts w:ascii="Times New Roman" w:hAnsi="Times New Roman"/>
          <w:sz w:val="20"/>
        </w:rPr>
      </w:pPr>
      <w:r>
        <w:rPr>
          <w:rFonts w:ascii="Times New Roman" w:hAnsi="Times New Roman"/>
          <w:sz w:val="20"/>
        </w:rPr>
        <w:t xml:space="preserve">(i) the Corporation is a constituent party or </w:t>
      </w:r>
    </w:p>
    <w:p>
      <w:pPr>
        <w:pStyle w:val="TextBody"/>
        <w:bidi w:val="0"/>
        <w:spacing w:before="240" w:after="0"/>
        <w:jc w:val="left"/>
        <w:rPr>
          <w:rFonts w:ascii="Times New Roman" w:hAnsi="Times New Roman"/>
          <w:sz w:val="20"/>
        </w:rPr>
      </w:pPr>
      <w:r>
        <w:rPr>
          <w:rFonts w:ascii="Times New Roman" w:hAnsi="Times New Roman"/>
          <w:sz w:val="20"/>
        </w:rPr>
        <w:t xml:space="preserve">(ii) 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The closing of the transfer in one transaction or series of related transactions to a group of affiliated persons (other than an underwriter of the Corporations securities), of the Corporations securities if, after such closing, such person or group of affiliated persons would hold shares fifty percent (50%) or more of the outstanding voting stock of the Corporation (or surviving entity) other than in connection with a bona fide equity financing primarily for capital raising purposes; or </w:t>
      </w:r>
    </w:p>
    <w:p>
      <w:pPr>
        <w:pStyle w:val="TextBody"/>
        <w:bidi w:val="0"/>
        <w:spacing w:before="240" w:after="0"/>
        <w:jc w:val="left"/>
        <w:rPr>
          <w:rFonts w:ascii="Times New Roman" w:hAnsi="Times New Roman"/>
          <w:sz w:val="20"/>
        </w:rPr>
      </w:pPr>
      <w:r>
        <w:rPr>
          <w:rFonts w:ascii="Times New Roman" w:hAnsi="Times New Roman"/>
          <w:sz w:val="20"/>
        </w:rPr>
        <w:t xml:space="preserve">(d) any merger or consolidation in connection with a SPAC Transaction (as defined below) or Reverse Merger Transaction (as defined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SPAC Transaction</w:t>
      </w:r>
      <w:r>
        <w:rPr>
          <w:rFonts w:ascii="Times New Roman" w:hAnsi="Times New Roman"/>
          <w:sz w:val="20"/>
        </w:rPr>
        <w:t> is any business combination pursuant to which the Corporation is merged into, or otherwise combines with, a special purpose acquisition company (a </w:t>
      </w:r>
      <w:r>
        <w:rPr>
          <w:rFonts w:ascii="Times New Roman" w:hAnsi="Times New Roman"/>
          <w:b/>
          <w:sz w:val="20"/>
        </w:rPr>
        <w:t>SPAC</w:t>
      </w:r>
      <w:r>
        <w:rPr>
          <w:rFonts w:ascii="Times New Roman" w:hAnsi="Times New Roman"/>
          <w:sz w:val="20"/>
        </w:rPr>
        <w:t xml:space="preserve">) listed on a national securities exchange, or a subsidiary of such SPAC, and the shares of capital stock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immediately prior to such transaction continue to represent, or are converted into or exchanged for shares of capital stock (or securities convertible into or exchangeable for shares of capital stock) that represent, immediately following such combination, a majority, by voting power, of the capital stock of (A) the surviving or resulting corporation; or (B) if the surviving or resulting corporation is a wholly owned subsidiary of another corporation immediately following such combination or consolidation, the parent corporation of such surviving or resulting corporation; provided that the cash resources of the SPAC, excluding the cash resources of the Corporation, but inclusive of amounts released from the SPACs associated trust fund and other proceeds to the SPAC from contemporaneous sales of securities upon the consummation of the SPACs business combination with the Corporation, exceeds $10,000,000.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Reverse Merger Transaction</w:t>
      </w:r>
      <w:r>
        <w:rPr>
          <w:rFonts w:ascii="Times New Roman" w:hAnsi="Times New Roman"/>
          <w:sz w:val="20"/>
        </w:rPr>
        <w:t> is any business combination pursuant to which the Corporation is merged into, or otherwise combines with, a public company (a </w:t>
      </w:r>
      <w:r>
        <w:rPr>
          <w:rFonts w:ascii="Times New Roman" w:hAnsi="Times New Roman"/>
          <w:b/>
          <w:sz w:val="20"/>
        </w:rPr>
        <w:t>Pubco</w:t>
      </w:r>
      <w:r>
        <w:rPr>
          <w:rFonts w:ascii="Times New Roman" w:hAnsi="Times New Roman"/>
          <w:sz w:val="20"/>
        </w:rPr>
        <w:t xml:space="preserve">) listed on a national securities exchange, or a subsidiary of such Pubco, and the shares of capital stock of the Corporation outstanding immediately prior to such transaction continue to represent, or are converted into or exchanged for shares of capital stock (or securities convertible into or exchangeable for shares of capital stock) that represent, immediately following such combination, a majority, by voting power, of the capital stock of (A) the surviving or resulting corporation; or (B) if the surviving or resulting corporation is a wholly owned subsidiary of another corporation immediately following such combination or consolidation, the parent corporation of such surviving or resulting corporation, provided that the cash resources of the Pubco, excluding the cash resources of the Corporation, but inclusive of proceeds to the Pubco or the Corporation from contemporaneous sales of securities upon the consummation of the Reverse Merger Transaction, exceeds $10,000,000. </w:t>
      </w:r>
    </w:p>
    <w:p>
      <w:pPr>
        <w:pStyle w:val="TextBody"/>
        <w:bidi w:val="0"/>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Effecting a Deemed Liquidation Event;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not have the power to effect a Deemed Liquidation Event referred to in </w:t>
      </w:r>
      <w:r>
        <w:rPr>
          <w:rFonts w:ascii="Times New Roman" w:hAnsi="Times New Roman"/>
          <w:sz w:val="20"/>
          <w:u w:val="single"/>
        </w:rPr>
        <w:t>Subsection 2.3.1(a)(i)</w:t>
      </w:r>
      <w:r>
        <w:rPr>
          <w:rFonts w:ascii="Times New Roman" w:hAnsi="Times New Roman"/>
          <w:sz w:val="20"/>
        </w:rPr>
        <w:t xml:space="preserve"> above unless the agreement or plan of merger or consolidation for such transaction (the </w:t>
      </w:r>
      <w:r>
        <w:rPr>
          <w:rFonts w:ascii="Times New Roman" w:hAnsi="Times New Roman"/>
          <w:b/>
          <w:sz w:val="20"/>
        </w:rPr>
        <w:t>Merger Agreement</w:t>
      </w:r>
      <w:r>
        <w:rPr>
          <w:rFonts w:ascii="Times New Roman" w:hAnsi="Times New Roman"/>
          <w:sz w:val="20"/>
        </w:rPr>
        <w:t xml:space="preserve">) provides that the consideration payable to the stockholders of the Corporation in such Deemed Liquidation Event shall be allocated among the holders of capital stock of the Corporation in accordance with </w:t>
      </w:r>
      <w:r>
        <w:rPr>
          <w:rFonts w:ascii="Times New Roman" w:hAnsi="Times New Roman"/>
          <w:sz w:val="20"/>
          <w:u w:val="single"/>
        </w:rPr>
        <w:t>Subsections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 Deemed Liquidation Event referred to in </w:t>
      </w:r>
      <w:r>
        <w:rPr>
          <w:rFonts w:ascii="Times New Roman" w:hAnsi="Times New Roman"/>
          <w:sz w:val="20"/>
          <w:u w:val="single"/>
        </w:rPr>
        <w:t>Subsection 2.3.1(a)(ii)</w:t>
      </w:r>
      <w:r>
        <w:rPr>
          <w:rFonts w:ascii="Times New Roman" w:hAnsi="Times New Roman"/>
          <w:sz w:val="20"/>
        </w:rPr>
        <w:t xml:space="preserve">, or </w:t>
      </w:r>
      <w:r>
        <w:rPr>
          <w:rFonts w:ascii="Times New Roman" w:hAnsi="Times New Roman"/>
          <w:sz w:val="20"/>
          <w:u w:val="single"/>
        </w:rPr>
        <w:t>2.3.1(b)</w:t>
      </w:r>
      <w:r>
        <w:rPr>
          <w:rFonts w:ascii="Times New Roman" w:hAnsi="Times New Roman"/>
          <w:sz w:val="20"/>
        </w:rPr>
        <w:t xml:space="preserve"> above, if the Corporation does not effect a dissolution of the Corporation under the General Corporation Law within thirty (30) days after such Deemed Liquidation Event, then (i) the Corporation shall send a written notice to each holder of Preferred Stock no later than the thirtieth (30th) day after the Deemed Liquidation Event advising such holders of their right (and the requirements to be met to secure such right) pursuant to the terms of the following </w:t>
      </w:r>
      <w:r>
        <w:rPr>
          <w:rFonts w:ascii="Times New Roman" w:hAnsi="Times New Roman"/>
          <w:sz w:val="20"/>
          <w:u w:val="single"/>
        </w:rPr>
        <w:t>clause (ii)</w:t>
      </w:r>
      <w:r>
        <w:rPr>
          <w:rFonts w:ascii="Times New Roman" w:hAnsi="Times New Roman"/>
          <w:sz w:val="20"/>
        </w:rPr>
        <w:t> to require the redemption of such shares of Preferred Stock, and (ii) if the holders representing the Required Vote request in a written instrument delivered to the Corporation,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Times New Roman" w:hAnsi="Times New Roman"/>
          <w:b/>
          <w:sz w:val="20"/>
        </w:rPr>
        <w:t>Board of Directors</w:t>
      </w:r>
      <w:r>
        <w:rPr>
          <w:rFonts w:ascii="Times New Roman" w:hAnsi="Times New Roman"/>
          <w:sz w:val="20"/>
        </w:rPr>
        <w:t>) (together with any other assets of the Corporation available for distribution to its stockholders as determined in good faith by the Board of Directors, the </w:t>
      </w:r>
      <w:r>
        <w:rPr>
          <w:rFonts w:ascii="Times New Roman" w:hAnsi="Times New Roman"/>
          <w:b/>
          <w:sz w:val="20"/>
        </w:rPr>
        <w:t>Available Proceeds</w:t>
      </w:r>
      <w:r>
        <w:rPr>
          <w:rFonts w:ascii="Times New Roman" w:hAnsi="Times New Roman"/>
          <w:sz w:val="20"/>
        </w:rPr>
        <w:t>)), all to the extent permitted by Delaware law governing distributions to stockholders, on the sixtieth (60th) day after such Deemed Liquidation Event (the </w:t>
      </w:r>
      <w:r>
        <w:rPr>
          <w:rFonts w:ascii="Times New Roman" w:hAnsi="Times New Roman"/>
          <w:b/>
          <w:sz w:val="20"/>
        </w:rPr>
        <w:t>Redemption Date</w:t>
      </w:r>
      <w:r>
        <w:rPr>
          <w:rFonts w:ascii="Times New Roman" w:hAnsi="Times New Roman"/>
          <w:sz w:val="20"/>
        </w:rPr>
        <w:t>), to redeem all outstanding shares of Preferred Stock at a price per share equal to the Applicable Liquidation Amount (the </w:t>
      </w:r>
      <w:r>
        <w:rPr>
          <w:rFonts w:ascii="Times New Roman" w:hAnsi="Times New Roman"/>
          <w:b/>
          <w:sz w:val="20"/>
        </w:rPr>
        <w:t>Redemption Price</w:t>
      </w:r>
      <w:r>
        <w:rPr>
          <w:rFonts w:ascii="Times New Roman" w:hAnsi="Times New Roman"/>
          <w:sz w:val="20"/>
        </w:rPr>
        <w:t xml:space="preserve">). Notwithstanding the foregoing, in the event of a redemption pursuant to the preceding sentence, if the Available Proceeds are not sufficient to redeem all outstanding shares of Preferred Stock, or if the Corporation does not have sufficient lawfully available funds to effect such redemption, the Corporation shall ratably redeem a pro rata portion of each holders shares of Preferred Stock to the fullest extent of such Available Proceeds or such lawfully available funds, as the case may be, based on the respective amounts which would otherwise be payable in respect of the shares to be redeemed if the Available Proceeds or such lawfully available funds were sufficient to redeem all such shares, and shall redeem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remaining shares as soon as it may lawfully do so under Delaware law governing distributions to stockholders. The provisions of </w:t>
      </w:r>
      <w:r>
        <w:rPr>
          <w:rFonts w:ascii="Times New Roman" w:hAnsi="Times New Roman"/>
          <w:sz w:val="20"/>
          <w:u w:val="single"/>
        </w:rPr>
        <w:t>Subsections 2.3.2(c)(i)</w:t>
      </w:r>
      <w:r>
        <w:rPr>
          <w:rFonts w:ascii="Times New Roman" w:hAnsi="Times New Roman"/>
          <w:sz w:val="20"/>
        </w:rPr>
        <w:t xml:space="preserve"> through </w:t>
      </w:r>
      <w:r>
        <w:rPr>
          <w:rFonts w:ascii="Times New Roman" w:hAnsi="Times New Roman"/>
          <w:sz w:val="20"/>
          <w:u w:val="single"/>
        </w:rPr>
        <w:t>2.3.2(c)(iii)</w:t>
      </w:r>
      <w:r>
        <w:rPr>
          <w:rFonts w:ascii="Times New Roman" w:hAnsi="Times New Roman"/>
          <w:sz w:val="20"/>
        </w:rPr>
        <w:t xml:space="preserve"> below shall apply to the redemption of the Preferred Stock pursuant to this </w:t>
      </w:r>
      <w:r>
        <w:rPr>
          <w:rFonts w:ascii="Times New Roman" w:hAnsi="Times New Roman"/>
          <w:sz w:val="20"/>
          <w:u w:val="single"/>
        </w:rPr>
        <w:t>Subsection 2.3.2(b)</w:t>
      </w:r>
      <w:r>
        <w:rPr>
          <w:rFonts w:ascii="Times New Roman" w:hAnsi="Times New Roman"/>
          <w:sz w:val="20"/>
        </w:rPr>
        <w:t xml:space="preserve">. Prior to the distribution or redemption provided for in this </w:t>
      </w:r>
      <w:r>
        <w:rPr>
          <w:rFonts w:ascii="Times New Roman" w:hAnsi="Times New Roman"/>
          <w:sz w:val="20"/>
          <w:u w:val="single"/>
        </w:rPr>
        <w:t>Subsection 2.3.2(b)</w:t>
      </w:r>
      <w:r>
        <w:rPr>
          <w:rFonts w:ascii="Times New Roman" w:hAnsi="Times New Roman"/>
          <w:sz w:val="20"/>
        </w:rPr>
        <w:t xml:space="preserve">, the Corporation shall not expend or dissipate the consideration received for such Deemed Liquidation Event, except to discharge expenses incurred in connection with such Deemed Liquidation Event or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this </w:t>
      </w:r>
      <w:r>
        <w:rPr>
          <w:rFonts w:ascii="Times New Roman" w:hAnsi="Times New Roman"/>
          <w:sz w:val="20"/>
          <w:u w:val="single"/>
        </w:rPr>
        <w:t>Section 2.3.2</w:t>
      </w:r>
      <w:r>
        <w:rPr>
          <w:rFonts w:ascii="Times New Roman" w:hAnsi="Times New Roman"/>
          <w:sz w:val="20"/>
        </w:rPr>
        <w:t xml:space="preserve"> only, the holders of the Preferred Stock shall have redemption rights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on the Redemption Date, Delaware law governing distributions to stockholders prevents the Corporation from redeeming all shares of Preferred Stock to be redeemed, the Corporation shall ratably (in proportion to each holders respective aggregate Applicable Liquidation Amounts) redeem the maximum number of shares that it may redeem consistent with such law, and shall redeem the remaining shares as soon as it may lawfully do so under such law. </w:t>
      </w:r>
    </w:p>
    <w:p>
      <w:pPr>
        <w:pStyle w:val="TextBody"/>
        <w:bidi w:val="0"/>
        <w:spacing w:before="240" w:after="0"/>
        <w:jc w:val="left"/>
        <w:rPr>
          <w:rFonts w:ascii="Times New Roman" w:hAnsi="Times New Roman"/>
          <w:sz w:val="20"/>
        </w:rPr>
      </w:pPr>
      <w:r>
        <w:rPr>
          <w:rFonts w:ascii="Times New Roman" w:hAnsi="Times New Roman"/>
          <w:sz w:val="20"/>
        </w:rPr>
        <w:t xml:space="preserve">(ii) If on the applicable Redemption Date the applicable Redemption Price payable upon redemption of the shares of Preferred Stock to be redeemed on such Redemption Date is paid or tendered for payment or deposited with an independent payment agent so as to be available therefor, then notwithstanding that the certificates evidencing any of the shares of Preferred Stock so called for redemption shall not have been surrendered, all rights with respect to such shares shall forthwith after the Redemption Date terminate, except only the right of the holders to receive the applicable Redemption Price without interest upon surrender of their certificate or certificates therefor. </w:t>
      </w:r>
    </w:p>
    <w:p>
      <w:pPr>
        <w:pStyle w:val="TextBody"/>
        <w:bidi w:val="0"/>
        <w:spacing w:before="240" w:after="0"/>
        <w:jc w:val="left"/>
        <w:rPr>
          <w:rFonts w:ascii="Times New Roman" w:hAnsi="Times New Roman"/>
          <w:sz w:val="20"/>
        </w:rPr>
      </w:pPr>
      <w:r>
        <w:rPr>
          <w:rFonts w:ascii="Times New Roman" w:hAnsi="Times New Roman"/>
          <w:sz w:val="20"/>
        </w:rPr>
        <w:t xml:space="preserve">(iii)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sz w:val="20"/>
          <w:u w:val="single"/>
        </w:rPr>
        <w:t>Amount Deemed Paid or Distributed</w:t>
      </w:r>
      <w:r>
        <w:rPr>
          <w:rFonts w:ascii="Times New Roman" w:hAnsi="Times New Roman"/>
          <w:sz w:val="20"/>
        </w:rPr>
        <w:t xml:space="preserve">. If the amount deemed paid or distributed under this </w:t>
      </w:r>
      <w:r>
        <w:rPr>
          <w:rFonts w:ascii="Times New Roman" w:hAnsi="Times New Roman"/>
          <w:sz w:val="20"/>
          <w:u w:val="single"/>
        </w:rPr>
        <w:t>Subsection 2.3</w:t>
      </w:r>
      <w:r>
        <w:rPr>
          <w:rFonts w:ascii="Times New Roman" w:hAnsi="Times New Roman"/>
          <w:sz w:val="20"/>
        </w:rPr>
        <w:t xml:space="preserve"> is made in property other than in cash, the value of such payment or distribution shall be the fair market value of such property,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For securities not subject to investment letters or other similar restrictions on free marketability, </w:t>
      </w:r>
    </w:p>
    <w:p>
      <w:pPr>
        <w:pStyle w:val="TextBody"/>
        <w:bidi w:val="0"/>
        <w:spacing w:before="240" w:after="0"/>
        <w:jc w:val="left"/>
        <w:rPr>
          <w:rFonts w:ascii="Times New Roman" w:hAnsi="Times New Roman"/>
          <w:sz w:val="20"/>
        </w:rPr>
      </w:pPr>
      <w:r>
        <w:rPr>
          <w:rFonts w:ascii="Times New Roman" w:hAnsi="Times New Roman"/>
          <w:sz w:val="20"/>
        </w:rPr>
        <w:t xml:space="preserve">(i) if traded on a securities exchange, the value shall be deemed to be the average of the closing prices of the securities on such exchange or market over the 30-period ending three (3) days prior to the closing of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(ii) if actively traded over-the-counter, the value shall be deemed to be the average of the closing bid prices over the 30-day period ending three (3) days prior to the closing of such transaction; or </w:t>
      </w:r>
    </w:p>
    <w:p>
      <w:pPr>
        <w:pStyle w:val="TextBody"/>
        <w:bidi w:val="0"/>
        <w:spacing w:before="240" w:after="0"/>
        <w:jc w:val="left"/>
        <w:rPr>
          <w:rFonts w:ascii="Times New Roman" w:hAnsi="Times New Roman"/>
          <w:sz w:val="20"/>
        </w:rPr>
      </w:pPr>
      <w:r>
        <w:rPr>
          <w:rFonts w:ascii="Times New Roman" w:hAnsi="Times New Roman"/>
          <w:sz w:val="20"/>
        </w:rPr>
        <w:t xml:space="preserve">(iii) if there is no active public market, the value shall be the fair market value thereof, as determined in good faith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from the market value as determined pursuant to clause (a) above so as to reflect the approximate fair market value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any property not addressed by </w:t>
      </w:r>
      <w:r>
        <w:rPr>
          <w:rFonts w:ascii="Times New Roman" w:hAnsi="Times New Roman"/>
          <w:sz w:val="20"/>
          <w:u w:val="single"/>
        </w:rPr>
        <w:t>Subsection 2.3.3(a)</w:t>
      </w:r>
      <w:r>
        <w:rPr>
          <w:rFonts w:ascii="Times New Roman" w:hAnsi="Times New Roman"/>
          <w:sz w:val="20"/>
        </w:rPr>
        <w:t xml:space="preserve"> or </w:t>
      </w:r>
      <w:r>
        <w:rPr>
          <w:rFonts w:ascii="Times New Roman" w:hAnsi="Times New Roman"/>
          <w:sz w:val="20"/>
          <w:u w:val="single"/>
        </w:rPr>
        <w:t>Subsection 2.3.3(b)</w:t>
      </w:r>
      <w:r>
        <w:rPr>
          <w:rFonts w:ascii="Times New Roman" w:hAnsi="Times New Roman"/>
          <w:sz w:val="20"/>
        </w:rPr>
        <w:t xml:space="preserve">, the value of such property, shall be determined in good faith by the Board of Directors, including a majority of the Preferred Directors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2.3.4 </w:t>
      </w:r>
      <w:r>
        <w:rPr>
          <w:rFonts w:ascii="Times New Roman" w:hAnsi="Times New Roman"/>
          <w:sz w:val="20"/>
          <w:u w:val="single"/>
        </w:rPr>
        <w:t>Allocation of Escrow or Contingent Payments</w:t>
      </w:r>
      <w:r>
        <w:rPr>
          <w:rFonts w:ascii="Times New Roman" w:hAnsi="Times New Roman"/>
          <w:sz w:val="20"/>
        </w:rPr>
        <w:t xml:space="preserve">. In the event of a Deemed Liquidation Event pursuant to </w:t>
      </w:r>
      <w:r>
        <w:rPr>
          <w:rFonts w:ascii="Times New Roman" w:hAnsi="Times New Roman"/>
          <w:sz w:val="20"/>
          <w:u w:val="single"/>
        </w:rPr>
        <w:t>Subsection 2.3.1(a)(i)</w:t>
      </w:r>
      <w:r>
        <w:rPr>
          <w:rFonts w:ascii="Times New Roman" w:hAnsi="Times New Roman"/>
          <w:sz w:val="20"/>
        </w:rPr>
        <w:t>, if any portion of the consideration payable to the stockholders of the Corporation is payable only upon satisfaction of contingencies (the </w:t>
      </w:r>
      <w:r>
        <w:rPr>
          <w:rFonts w:ascii="Times New Roman" w:hAnsi="Times New Roman"/>
          <w:b/>
          <w:sz w:val="20"/>
        </w:rPr>
        <w:t>Additional Consideration</w:t>
      </w:r>
      <w:r>
        <w:rPr>
          <w:rFonts w:ascii="Times New Roman" w:hAnsi="Times New Roman"/>
          <w:sz w:val="20"/>
        </w:rPr>
        <w:t>), the Merger Agreement shall provide that (a) the portion of such consideration that is not Additional Consideration (such portion, the </w:t>
      </w:r>
      <w:r>
        <w:rPr>
          <w:rFonts w:ascii="Times New Roman" w:hAnsi="Times New Roman"/>
          <w:b/>
          <w:sz w:val="20"/>
        </w:rPr>
        <w:t>Initial Consideration</w:t>
      </w:r>
      <w:r>
        <w:rPr>
          <w:rFonts w:ascii="Times New Roman" w:hAnsi="Times New Roman"/>
          <w:sz w:val="20"/>
        </w:rPr>
        <w:t xml:space="preserve">) shall be allocated among the holders of capital stock of the Corporation in accordance with </w:t>
      </w:r>
      <w:r>
        <w:rPr>
          <w:rFonts w:ascii="Times New Roman" w:hAnsi="Times New Roman"/>
          <w:sz w:val="20"/>
          <w:u w:val="single"/>
        </w:rPr>
        <w:t>Subsections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hAnsi="Times New Roman"/>
          <w:sz w:val="20"/>
          <w:u w:val="single"/>
        </w:rPr>
        <w:t>Subsections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after taking into account the previous payment of the Initial Consideration as part of the same transaction. For the purposes of this </w:t>
      </w:r>
      <w:r>
        <w:rPr>
          <w:rFonts w:ascii="Times New Roman" w:hAnsi="Times New Roman"/>
          <w:sz w:val="20"/>
          <w:u w:val="single"/>
        </w:rPr>
        <w:t>Subsection 2.3.4</w:t>
      </w:r>
      <w:r>
        <w:rPr>
          <w:rFonts w:ascii="Times New Roman" w:hAnsi="Times New Roman"/>
          <w:sz w:val="20"/>
        </w:rPr>
        <w:t xml:space="preserve">, consideration placed into escrow or retained as holdback to be available for satisfaction of indemnification or similar obligations or otherwise subject to contingencies in connection with such Deemed Liquidation Event shall be deemed to be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General</w:t>
      </w:r>
      <w:r>
        <w:rPr>
          <w:rFonts w:ascii="Times New Roman" w:hAnsi="Times New Roman"/>
          <w:sz w:val="20"/>
        </w:rPr>
        <w:t xml:space="preserve">.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 and on an as-converted to Common Stock basis.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Election of Directors</w:t>
      </w:r>
      <w:r>
        <w:rPr>
          <w:rFonts w:ascii="Times New Roman" w:hAnsi="Times New Roman"/>
          <w:sz w:val="20"/>
        </w:rPr>
        <w:t>. The holders of record of the shares of Series A Preferred Stock, exclusively and as a separate class, shall be entitled to elect up to three (3) directors of the Corporation (each, a </w:t>
      </w:r>
      <w:r>
        <w:rPr>
          <w:rFonts w:ascii="Times New Roman" w:hAnsi="Times New Roman"/>
          <w:b/>
          <w:sz w:val="20"/>
        </w:rPr>
        <w:t>Series A Director</w:t>
      </w:r>
      <w:r>
        <w:rPr>
          <w:rFonts w:ascii="Times New Roman" w:hAnsi="Times New Roman"/>
          <w:sz w:val="20"/>
        </w:rPr>
        <w:t> and collectively, the </w:t>
      </w:r>
      <w:r>
        <w:rPr>
          <w:rFonts w:ascii="Times New Roman" w:hAnsi="Times New Roman"/>
          <w:b/>
          <w:sz w:val="20"/>
        </w:rPr>
        <w:t>Series A Directors</w:t>
      </w:r>
      <w:r>
        <w:rPr>
          <w:rFonts w:ascii="Times New Roman" w:hAnsi="Times New Roman"/>
          <w:sz w:val="20"/>
        </w:rPr>
        <w:t>). The holders of record of the shares of Series B Preferred Stock, exclusively and as a separate class, shall be entitled to elect up to two (2) directors of the Corporation (the </w:t>
      </w:r>
      <w:r>
        <w:rPr>
          <w:rFonts w:ascii="Times New Roman" w:hAnsi="Times New Roman"/>
          <w:b/>
          <w:sz w:val="20"/>
        </w:rPr>
        <w:t>Series B Directors</w:t>
      </w:r>
      <w:r>
        <w:rPr>
          <w:rFonts w:ascii="Times New Roman" w:hAnsi="Times New Roman"/>
          <w:sz w:val="20"/>
        </w:rPr>
        <w:t> and, together with the Series A Directors, the </w:t>
      </w:r>
      <w:r>
        <w:rPr>
          <w:rFonts w:ascii="Times New Roman" w:hAnsi="Times New Roman"/>
          <w:b/>
          <w:sz w:val="20"/>
        </w:rPr>
        <w:t>Preferred Directors</w:t>
      </w:r>
      <w:r>
        <w:rPr>
          <w:rFonts w:ascii="Times New Roman" w:hAnsi="Times New Roman"/>
          <w:sz w:val="20"/>
        </w:rPr>
        <w:t xml:space="preserve">). Any Preferred Directors elected as provided in the preceding sentences may be removed without cause by, and only by, the affirmative vote of the holders of the shares of the class or series of capital stock entitled to elect such director or directors, given either at a special meeting of such stockholders in lieu of a meeting duly called for that purpose or pursuant to a written consent of stockholders. If the holders of shares of Preferred Stock fail to elect a sufficient number of directors to fill all directorships for which they are entitled to elect directors, voting exclusively and as a separate class, then any directorship not so filled shall remain vacant until such time as the holders of the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hAnsi="Times New Roman"/>
          <w:sz w:val="20"/>
          <w:u w:val="single"/>
        </w:rPr>
        <w:t>Subsection 3.2</w:t>
      </w:r>
      <w:r>
        <w:rPr>
          <w:rFonts w:ascii="Times New Roman" w:hAnsi="Times New Roman"/>
          <w:sz w:val="20"/>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hAnsi="Times New Roman"/>
          <w:sz w:val="20"/>
          <w:u w:val="single"/>
        </w:rPr>
        <w:t>Subsection 3.2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Preferred Stock Protective Provisions</w:t>
      </w:r>
      <w:r>
        <w:rPr>
          <w:rFonts w:ascii="Times New Roman" w:hAnsi="Times New Roman"/>
          <w:sz w:val="20"/>
        </w:rPr>
        <w:t xml:space="preserve">. At any time when any shares of Preferred Stock are outstanding, the Corporation or any of its subsidiaries, shall not, either directly or indirectly by amendment, merger, consolidation, recapitalization, reclassification, statutory conversion or otherwise, do any of the following without (in addition to any other vote required by law or the Certificate of Incorporation) the written consent or affirmative vote of the holders representing the Required Vote, given in writing or by vote at a meeting,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3.3.1 liquidate, dissolve or wind-up the business and affairs of the Corporation, effect any merger, acquisition or consolidation or any other Deemed Liquidation Event, or consent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3.3.2 amend, alter, waive or repeal any provision of the Certificate of Incorporation or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3.3.3 create or authorize the creation of or issue or obligate itself to issue shares of any other security convertible into or exercisable for any equity security or increase the authorized number of shares of Preferred Stock or of any additional class or series of capital stock unless it ranks junior to the Preferred Stock with respect to its rights, preferences and privileges; </w:t>
      </w:r>
    </w:p>
    <w:p>
      <w:pPr>
        <w:pStyle w:val="TextBody"/>
        <w:bidi w:val="0"/>
        <w:spacing w:before="240" w:after="0"/>
        <w:jc w:val="left"/>
        <w:rPr>
          <w:rFonts w:ascii="Times New Roman" w:hAnsi="Times New Roman"/>
          <w:sz w:val="20"/>
        </w:rPr>
      </w:pPr>
      <w:r>
        <w:rPr>
          <w:rFonts w:ascii="Times New Roman" w:hAnsi="Times New Roman"/>
          <w:sz w:val="20"/>
        </w:rPr>
        <w:t xml:space="preserve">3.3.4 (i) reclassify, alter or amend any existing security of the Corporation that is </w:t>
      </w:r>
      <w:r>
        <w:rPr>
          <w:rFonts w:ascii="Times New Roman" w:hAnsi="Times New Roman"/>
          <w:i/>
          <w:sz w:val="20"/>
        </w:rPr>
        <w:t>pari passu</w:t>
      </w:r>
      <w:r>
        <w:rPr>
          <w:rFonts w:ascii="Times New Roman" w:hAnsi="Times New Roman"/>
          <w:sz w:val="20"/>
        </w:rPr>
        <w:t xml:space="preserve">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A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Times New Roman" w:hAnsi="Times New Roman"/>
          <w:i/>
          <w:sz w:val="20"/>
        </w:rPr>
        <w:t>pari passu</w:t>
      </w:r>
      <w:r>
        <w:rPr>
          <w:rFonts w:ascii="Times New Roman" w:hAnsi="Times New Roman"/>
          <w:sz w:val="20"/>
        </w:rPr>
        <w:t xml:space="preserve"> with the Preferred Stock in respect of any such right, preference or privilege; </w:t>
      </w:r>
    </w:p>
    <w:p>
      <w:pPr>
        <w:pStyle w:val="TextBody"/>
        <w:bidi w:val="0"/>
        <w:spacing w:before="240" w:after="0"/>
        <w:jc w:val="left"/>
        <w:rPr>
          <w:rFonts w:ascii="Times New Roman" w:hAnsi="Times New Roman"/>
          <w:sz w:val="20"/>
        </w:rPr>
      </w:pPr>
      <w:r>
        <w:rPr>
          <w:rFonts w:ascii="Times New Roman" w:hAnsi="Times New Roman"/>
          <w:sz w:val="20"/>
        </w:rPr>
        <w:t xml:space="preserve">3.3.5 purchase or redeem or pay or declare any dividend, other than dividends on the Preferred Stock, or make any distribution on any shares of capital stock prior to the Preferred Stock, other than Common Stock or Options to acquire Common Stock repurchased from former employees or consultants in connection with the cessation of their employment/services, pursuant to the provisions of existing plans or agreements; </w:t>
      </w:r>
    </w:p>
    <w:p>
      <w:pPr>
        <w:pStyle w:val="TextBody"/>
        <w:bidi w:val="0"/>
        <w:spacing w:before="240" w:after="0"/>
        <w:jc w:val="left"/>
        <w:rPr>
          <w:rFonts w:ascii="Times New Roman" w:hAnsi="Times New Roman"/>
          <w:sz w:val="20"/>
        </w:rPr>
      </w:pPr>
      <w:r>
        <w:rPr>
          <w:rFonts w:ascii="Times New Roman" w:hAnsi="Times New Roman"/>
          <w:sz w:val="20"/>
        </w:rPr>
        <w:t xml:space="preserve">3.3.6 create, adopt, amend, terminate or repeal any equity (or equity-linked)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3.3.7 increase or decrease the authorized number of directors constituting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3.3.8 create or hold capital stock in any subsidiary that is not a wholly-owned subsidiary of the Corporation or dispose of any subsidiary stock or all or substantially all of any subsidiary assets; </w:t>
      </w:r>
    </w:p>
    <w:p>
      <w:pPr>
        <w:pStyle w:val="TextBody"/>
        <w:bidi w:val="0"/>
        <w:spacing w:before="240" w:after="0"/>
        <w:jc w:val="left"/>
        <w:rPr>
          <w:rFonts w:ascii="Times New Roman" w:hAnsi="Times New Roman"/>
          <w:sz w:val="20"/>
        </w:rPr>
      </w:pPr>
      <w:r>
        <w:rPr>
          <w:rFonts w:ascii="Times New Roman" w:hAnsi="Times New Roman"/>
          <w:sz w:val="20"/>
        </w:rPr>
        <w:t xml:space="preserve">3.3.9 sell, assign, license, pledge or encumber material technology or intellectual property, other than licenses granted in the ordinary course of business;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3.3.10 issue shares of Series B Preferred Stock other than pursuant to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holders of the Preferred Stock shall have conversion rights as follows (the </w:t>
      </w:r>
      <w:r>
        <w:rPr>
          <w:rFonts w:ascii="Times New Roman" w:hAnsi="Times New Roman"/>
          <w:b/>
          <w:sz w:val="20"/>
        </w:rPr>
        <w:t>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Conversion Ratio</w:t>
      </w:r>
      <w:r>
        <w:rPr>
          <w:rFonts w:ascii="Times New Roman" w:hAnsi="Times New Roman"/>
          <w:sz w:val="20"/>
        </w:rPr>
        <w:t xml:space="preserve">. Subject to the provisions of </w:t>
      </w:r>
      <w:r>
        <w:rPr>
          <w:rFonts w:ascii="Times New Roman" w:hAnsi="Times New Roman"/>
          <w:sz w:val="20"/>
          <w:u w:val="single"/>
        </w:rPr>
        <w:t>Section 4.1.3</w:t>
      </w:r>
      <w:r>
        <w:rPr>
          <w:rFonts w:ascii="Times New Roman" w:hAnsi="Times New Roman"/>
          <w:sz w:val="20"/>
        </w:rPr>
        <w:t xml:space="preserve"> below,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provided that such holder may waive such option to convert upon written notice to the Company. As of the Filing Date, the </w:t>
      </w:r>
      <w:r>
        <w:rPr>
          <w:rFonts w:ascii="Times New Roman" w:hAnsi="Times New Roman"/>
          <w:b/>
          <w:sz w:val="20"/>
        </w:rPr>
        <w:t>Series A Conversion Price</w:t>
      </w:r>
      <w:r>
        <w:rPr>
          <w:rFonts w:ascii="Times New Roman" w:hAnsi="Times New Roman"/>
          <w:sz w:val="20"/>
        </w:rPr>
        <w:t> is equal to $1.00. As of the Filing Date, the </w:t>
      </w:r>
      <w:r>
        <w:rPr>
          <w:rFonts w:ascii="Times New Roman" w:hAnsi="Times New Roman"/>
          <w:b/>
          <w:sz w:val="20"/>
        </w:rPr>
        <w:t>Series B Conversion Price</w:t>
      </w:r>
      <w:r>
        <w:rPr>
          <w:rFonts w:ascii="Times New Roman" w:hAnsi="Times New Roman"/>
          <w:sz w:val="20"/>
        </w:rPr>
        <w:t> is equal to $1.67727. The Series A Conversion Price, in the case of the Series A Preferred Stock, and the Series B Conversion Price in the case of the Series B Preferred Stock, are individually or collectively, as applicable, referred to herein as the </w:t>
      </w:r>
      <w:r>
        <w:rPr>
          <w:rFonts w:ascii="Times New Roman" w:hAnsi="Times New Roman"/>
          <w:b/>
          <w:sz w:val="20"/>
        </w:rPr>
        <w:t>Applicable</w:t>
      </w:r>
      <w:r>
        <w:rPr>
          <w:rFonts w:ascii="Times New Roman" w:hAnsi="Times New Roman"/>
          <w:sz w:val="20"/>
        </w:rPr>
        <w:t xml:space="preserve"> </w:t>
      </w:r>
      <w:r>
        <w:rPr>
          <w:rFonts w:ascii="Times New Roman" w:hAnsi="Times New Roman"/>
          <w:b/>
          <w:sz w:val="20"/>
        </w:rPr>
        <w:t>Conversion Price</w:t>
      </w:r>
      <w:r>
        <w:rPr>
          <w:rFonts w:ascii="Times New Roman" w:hAnsi="Times New Roman"/>
          <w:sz w:val="20"/>
        </w:rPr>
        <w:t xml:space="preserve">. Such Applicable Conversion Price, and the rate at which shares of Preferred Stock may be converted into shares of Common Stock, shall be subject to adjustment as provided below after the Filing Date.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Termination of Conversion Rights</w:t>
      </w:r>
      <w:r>
        <w:rPr>
          <w:rFonts w:ascii="Times New Roman" w:hAnsi="Times New Roman"/>
          <w:sz w:val="20"/>
        </w:rPr>
        <w:t xml:space="preserve">. In the event of a notice of redemption of any shares of Preferred Stock pursuant to </w:t>
      </w:r>
      <w:r>
        <w:rPr>
          <w:rFonts w:ascii="Times New Roman" w:hAnsi="Times New Roman"/>
          <w:sz w:val="20"/>
          <w:u w:val="single"/>
        </w:rPr>
        <w:t>Subsection 2.3.2(b)</w:t>
      </w:r>
      <w:r>
        <w:rPr>
          <w:rFonts w:ascii="Times New Roman" w:hAnsi="Times New Roman"/>
          <w:sz w:val="20"/>
        </w:rPr>
        <w:t xml:space="preserve">,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 w:hAnsi="Times New Roman"/>
          <w:sz w:val="20"/>
          <w:u w:val="single"/>
        </w:rPr>
        <w:t>provided</w:t>
      </w:r>
      <w:r>
        <w:rPr>
          <w:rFonts w:ascii="Times New Roman" w:hAnsi="Times New Roman"/>
          <w:sz w:val="20"/>
        </w:rPr>
        <w:t xml:space="preserve"> that the foregoing termination of Conversion Rights shall not affect the amount(s) otherwise paid or payable in accordance with </w:t>
      </w:r>
      <w:r>
        <w:rPr>
          <w:rFonts w:ascii="Times New Roman" w:hAnsi="Times New Roman"/>
          <w:sz w:val="20"/>
          <w:u w:val="single"/>
        </w:rPr>
        <w:t>Subsection 2.1</w:t>
      </w:r>
      <w:r>
        <w:rPr>
          <w:rFonts w:ascii="Times New Roman" w:hAnsi="Times New Roman"/>
          <w:sz w:val="20"/>
        </w:rPr>
        <w:t xml:space="preserve"> to holders of Preferred Stock pursuant to such liquidation, dissolution or winding up of the Corporation or a Deemed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Non-Conversion Period</w:t>
      </w:r>
      <w:r>
        <w:rPr>
          <w:rFonts w:ascii="Times New Roman" w:hAnsi="Times New Roman"/>
          <w:sz w:val="20"/>
        </w:rPr>
        <w:t xml:space="preserve">. Notwithstanding anything to the contrary contained in the Certificate of Incorporation, a holder of Series B Preferred Stock shall not be entitled pursuant to this </w:t>
      </w:r>
      <w:r>
        <w:rPr>
          <w:rFonts w:ascii="Times New Roman" w:hAnsi="Times New Roman"/>
          <w:sz w:val="20"/>
          <w:u w:val="single"/>
        </w:rPr>
        <w:t>Section 4.1</w:t>
      </w:r>
      <w:r>
        <w:rPr>
          <w:rFonts w:ascii="Times New Roman" w:hAnsi="Times New Roman"/>
          <w:sz w:val="20"/>
        </w:rPr>
        <w:t xml:space="preserve"> to elect to convert shares of Series B Preferred Stock into shares of Common Stock at any time during the period commencing on the date and time of the first issuance of the Series B Preferred Stock and ending on the Business Day immediately following the earliest to occur of (i) the Second Tranche Closing (if such holder is not a Defaulting Purchaser), (ii) the Outside Date, (iii) the date such holders obligation to purchase its Second Tranche Shares is fulfilled whether by such holder or its Affiliates, (iv) the termination of such holders obligations to complete the Second Tranche Closing pursuant to the Purchase Agreement and (v) such date as agreed to by the Corporation and the holders of a majority of the then outstanding shares of Series B Preferred Stock, voting as a separate, exclusive class. Capitalized terms used in this </w:t>
      </w:r>
      <w:r>
        <w:rPr>
          <w:rFonts w:ascii="Times New Roman" w:hAnsi="Times New Roman"/>
          <w:sz w:val="20"/>
          <w:u w:val="single"/>
        </w:rPr>
        <w:t>Section 4.1.3</w:t>
      </w:r>
      <w:r>
        <w:rPr>
          <w:rFonts w:ascii="Times New Roman" w:hAnsi="Times New Roman"/>
          <w:sz w:val="20"/>
        </w:rPr>
        <w:t xml:space="preserve"> and not defined in this </w:t>
      </w:r>
      <w:r>
        <w:rPr>
          <w:rFonts w:ascii="Times New Roman" w:hAnsi="Times New Roman"/>
          <w:sz w:val="20"/>
          <w:u w:val="single"/>
        </w:rPr>
        <w:t>Section 4.1.3</w:t>
      </w:r>
      <w:r>
        <w:rPr>
          <w:rFonts w:ascii="Times New Roman" w:hAnsi="Times New Roman"/>
          <w:sz w:val="20"/>
        </w:rPr>
        <w:t xml:space="preserve"> shall have the meanings ascribed to such terms in the Purchase Agreement. For the avoidance of doubt, nothing in this </w:t>
      </w:r>
      <w:r>
        <w:rPr>
          <w:rFonts w:ascii="Times New Roman" w:hAnsi="Times New Roman"/>
          <w:sz w:val="20"/>
          <w:u w:val="single"/>
        </w:rPr>
        <w:t>Section 4.1.3</w:t>
      </w:r>
      <w:r>
        <w:rPr>
          <w:rFonts w:ascii="Times New Roman" w:hAnsi="Times New Roman"/>
          <w:sz w:val="20"/>
        </w:rPr>
        <w:t xml:space="preserve"> shall interfere with the treatment of the Series B Preferred Stock on an as-converted to Common Stock basis where the context so requires in the Certificate of Incorporation, including, without limitation, voting provisions and determination of the Series B Liquidation Amount.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Notice of Conversion</w:t>
      </w:r>
      <w:r>
        <w:rPr>
          <w:rFonts w:ascii="Times New Roman" w:hAnsi="Times New Roman"/>
          <w:sz w:val="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hAnsi="Times New Roman"/>
          <w:b/>
          <w:sz w:val="20"/>
        </w:rPr>
        <w:t>Conversion Time</w:t>
      </w:r>
      <w:r>
        <w:rPr>
          <w:rFonts w:ascii="Times New Roman" w:hAnsi="Times New Roman"/>
          <w:sz w:val="20"/>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hAnsi="Times New Roman"/>
          <w:sz w:val="20"/>
          <w:u w:val="single"/>
        </w:rPr>
        <w:t>Subsection 4.2</w:t>
      </w:r>
      <w:r>
        <w:rPr>
          <w:rFonts w:ascii="Times New Roman" w:hAnsi="Times New Roman"/>
          <w:sz w:val="20"/>
        </w:rPr>
        <w:t xml:space="preserve"> in lieu of any fraction of a share of Common Stock otherwise issuable upon such conversion and (iii) pay all declared but unpaid dividends on the shares of Preferred Stock converted.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Reservation of Shares</w:t>
      </w:r>
      <w:r>
        <w:rPr>
          <w:rFonts w:ascii="Times New Roman" w:hAnsi="Times New Roman"/>
          <w:sz w:val="20"/>
        </w:rPr>
        <w:t xml:space="preserve">.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4.3.3 </w:t>
      </w:r>
      <w:r>
        <w:rPr>
          <w:rFonts w:ascii="Times New Roman" w:hAnsi="Times New Roman"/>
          <w:sz w:val="20"/>
          <w:u w:val="single"/>
        </w:rPr>
        <w:t>Effect of Conversion</w:t>
      </w:r>
      <w:r>
        <w:rPr>
          <w:rFonts w:ascii="Times New Roman" w:hAnsi="Times New Roman"/>
          <w:sz w:val="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of any dividends declared but unpaid thereon and to receive payment in lieu of any fraction of a share otherwise issuable upon such conversion as provided in </w:t>
      </w:r>
      <w:r>
        <w:rPr>
          <w:rFonts w:ascii="Times New Roman" w:hAnsi="Times New Roman"/>
          <w:sz w:val="20"/>
          <w:u w:val="single"/>
        </w:rPr>
        <w:t>Subsection 4.2</w:t>
      </w:r>
      <w:r>
        <w:rPr>
          <w:rFonts w:ascii="Times New Roman" w:hAnsi="Times New Roman"/>
          <w:sz w:val="20"/>
        </w:rPr>
        <w:t xml:space="preserve">.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4.3.4 </w:t>
      </w:r>
      <w:r>
        <w:rPr>
          <w:rFonts w:ascii="Times New Roman" w:hAnsi="Times New Roman"/>
          <w:sz w:val="20"/>
          <w:u w:val="single"/>
        </w:rPr>
        <w:t>No Further Adjustment</w:t>
      </w:r>
      <w:r>
        <w:rPr>
          <w:rFonts w:ascii="Times New Roman" w:hAnsi="Times New Roman"/>
          <w:sz w:val="20"/>
        </w:rPr>
        <w:t xml:space="preserve">. Upon any such conversion, no adjustment to the Applicable Conversion Price shall be made for any dividends on the Preferred Stock surrendered for conversion or on the Common Stock delivered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4.3.5 </w:t>
      </w:r>
      <w:r>
        <w:rPr>
          <w:rFonts w:ascii="Times New Roman" w:hAnsi="Times New Roman"/>
          <w:sz w:val="20"/>
          <w:u w:val="single"/>
        </w:rPr>
        <w:t>Taxes</w:t>
      </w:r>
      <w:r>
        <w:rPr>
          <w:rFonts w:ascii="Times New Roman" w:hAnsi="Times New Roman"/>
          <w:sz w:val="20"/>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hAnsi="Times New Roman"/>
          <w:sz w:val="20"/>
          <w:u w:val="single"/>
        </w:rPr>
        <w:t>Section 4</w:t>
      </w:r>
      <w:r>
        <w:rPr>
          <w:rFonts w:ascii="Times New Roman" w:hAnsi="Times New Roman"/>
          <w:sz w:val="20"/>
        </w:rPr>
        <w:t xml:space="preserve">.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Adjustments to Conversion Price for Diluting Issues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4.4.1 </w:t>
      </w:r>
      <w:r>
        <w:rPr>
          <w:rFonts w:ascii="Times New Roman" w:hAnsi="Times New Roman"/>
          <w:sz w:val="20"/>
          <w:u w:val="single"/>
        </w:rPr>
        <w:t>Special Definitions</w:t>
      </w:r>
      <w:r>
        <w:rPr>
          <w:rFonts w:ascii="Times New Roman" w:hAnsi="Times New Roman"/>
          <w:sz w:val="20"/>
        </w:rPr>
        <w:t xml:space="preserve">. For purposes of this Article Fourth,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Option</w:t>
      </w:r>
      <w:r>
        <w:rPr>
          <w:rFonts w:ascii="Times New Roman" w:hAnsi="Times New Roman"/>
          <w:sz w:val="20"/>
        </w:rPr>
        <w:t xml:space="preserve"> shall mean rights, options or warrants to subscribe for, purchase or otherwise acquire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Convertible Securities</w:t>
      </w:r>
      <w:r>
        <w:rPr>
          <w:rFonts w:ascii="Times New Roman" w:hAnsi="Times New Roman"/>
          <w:sz w:val="20"/>
        </w:rPr>
        <w:t xml:space="preserve"> shall mean any evidences of indebtedness, shares or other securities directly or indirectly convertible into or exchangeable for Common Stock, but excluding Options.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Additional Shares of Common Stock</w:t>
      </w:r>
      <w:r>
        <w:rPr>
          <w:rFonts w:ascii="Times New Roman" w:hAnsi="Times New Roman"/>
          <w:sz w:val="20"/>
        </w:rPr>
        <w:t xml:space="preserve"> shall mean all shares of Common Stock issued (or, pursuant to </w:t>
      </w:r>
      <w:r>
        <w:rPr>
          <w:rFonts w:ascii="Times New Roman" w:hAnsi="Times New Roman"/>
          <w:sz w:val="20"/>
          <w:u w:val="single"/>
        </w:rPr>
        <w:t>Subsection 4.4.3</w:t>
      </w:r>
      <w:r>
        <w:rPr>
          <w:rFonts w:ascii="Times New Roman" w:hAnsi="Times New Roman"/>
          <w:sz w:val="20"/>
        </w:rPr>
        <w:t xml:space="preserve"> below, deemed to be issued) by the Corporation after the Filing Date, other than (1) the following shares of Common Stock and (2) shares of Common Stock deemed issued pursuant to the following Options and Convertible Securities (clauses (1) and (2), collectively, </w:t>
      </w:r>
      <w:r>
        <w:rPr>
          <w:rFonts w:ascii="Times New Roman" w:hAnsi="Times New Roman"/>
          <w:b/>
          <w:sz w:val="20"/>
        </w:rPr>
        <w:t>Exempted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shares of Common Stock, Options or Convertible Securities issued as a dividend or distribution on, or upon the conversion of, Preferred Stock and shares of Common Stock actually issued upon the exercise of such Options, or upon the conversion or exchange of such Convertible Securities or, in the case of Convertible Securities and Options therefor, upon the conversion or exchange of such Convertible Securities, in each case provided such issuance is pursuant to the terms of such Option or Convertible Security;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shares of Common Stock, Options or Convertible Securities issued by reason of a dividend, stock split, split-up or other distribution on shares of Common Stock that is covered by </w:t>
      </w:r>
      <w:r>
        <w:rPr>
          <w:rFonts w:ascii="Times New Roman" w:hAnsi="Times New Roman"/>
          <w:sz w:val="20"/>
          <w:u w:val="single"/>
        </w:rPr>
        <w:t>Subsection 4.5</w:t>
      </w:r>
      <w:r>
        <w:rPr>
          <w:rFonts w:ascii="Times New Roman" w:hAnsi="Times New Roman"/>
          <w:sz w:val="20"/>
        </w:rPr>
        <w:t xml:space="preserve">, </w:t>
      </w:r>
      <w:r>
        <w:rPr>
          <w:rFonts w:ascii="Times New Roman" w:hAnsi="Times New Roman"/>
          <w:sz w:val="20"/>
          <w:u w:val="single"/>
        </w:rPr>
        <w:t>4.6</w:t>
      </w:r>
      <w:r>
        <w:rPr>
          <w:rFonts w:ascii="Times New Roman" w:hAnsi="Times New Roman"/>
          <w:sz w:val="20"/>
        </w:rPr>
        <w:t xml:space="preserve">, </w:t>
      </w:r>
      <w:r>
        <w:rPr>
          <w:rFonts w:ascii="Times New Roman" w:hAnsi="Times New Roman"/>
          <w:sz w:val="20"/>
          <w:u w:val="single"/>
        </w:rPr>
        <w:t>4.7</w:t>
      </w:r>
      <w:r>
        <w:rPr>
          <w:rFonts w:ascii="Times New Roman" w:hAnsi="Times New Roman"/>
          <w:sz w:val="20"/>
        </w:rPr>
        <w:t xml:space="preserve"> or </w:t>
      </w:r>
      <w:r>
        <w:rPr>
          <w:rFonts w:ascii="Times New Roman" w:hAnsi="Times New Roman"/>
          <w:sz w:val="20"/>
          <w:u w:val="single"/>
        </w:rPr>
        <w:t>4.8</w:t>
      </w:r>
      <w:r>
        <w:rPr>
          <w:rFonts w:ascii="Times New Roman" w:hAnsi="Times New Roman"/>
          <w:sz w:val="20"/>
        </w:rPr>
        <w:t xml:space="preserve"> below, and shares of Common Stock actually issued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 </w:t>
      </w:r>
    </w:p>
    <w:p>
      <w:pPr>
        <w:pStyle w:val="TextBody"/>
        <w:bidi w:val="0"/>
        <w:spacing w:before="240" w:after="0"/>
        <w:jc w:val="left"/>
        <w:rPr>
          <w:rFonts w:ascii="Times New Roman" w:hAnsi="Times New Roman"/>
          <w:sz w:val="20"/>
        </w:rPr>
      </w:pPr>
      <w:r>
        <w:rPr>
          <w:rFonts w:ascii="Times New Roman" w:hAnsi="Times New Roman"/>
          <w:sz w:val="20"/>
        </w:rPr>
        <w:t xml:space="preserve">(iii) shares of Common Stock issued in a QPO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(iv) shares of Common Stock or Options issued to employees or directors of, or consultants or advisors to, the Corporation or any of its subsidiaries pursuant to a plan, agreement or arrangement approved by the Board of Directors, including a majority of the Preferred Directors, and shares of Common Stock actually issued upon the exercise or conversion of such Options, in each case provided such issuance is pursuant to the terms of such Option; </w:t>
      </w:r>
    </w:p>
    <w:p>
      <w:pPr>
        <w:pStyle w:val="TextBody"/>
        <w:bidi w:val="0"/>
        <w:spacing w:before="240" w:after="0"/>
        <w:jc w:val="left"/>
        <w:rPr>
          <w:rFonts w:ascii="Times New Roman" w:hAnsi="Times New Roman"/>
          <w:sz w:val="20"/>
        </w:rPr>
      </w:pPr>
      <w:r>
        <w:rPr>
          <w:rFonts w:ascii="Times New Roman" w:hAnsi="Times New Roman"/>
          <w:sz w:val="20"/>
        </w:rPr>
        <w:t xml:space="preserve">(v) shares of Common Stock, Options or Convertible Securities issued to banks, equipment lessors or other financial institutions, or to real property lessors, pursuant to a debt financing, equipment leasing or real property leasing transaction approved by the Board of Directors, including a majority of the Preferred Directors, and shares of Common Stock actually issued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 </w:t>
      </w:r>
    </w:p>
    <w:p>
      <w:pPr>
        <w:pStyle w:val="TextBody"/>
        <w:bidi w:val="0"/>
        <w:spacing w:before="240" w:after="0"/>
        <w:jc w:val="left"/>
        <w:rPr>
          <w:rFonts w:ascii="Times New Roman" w:hAnsi="Times New Roman"/>
          <w:sz w:val="20"/>
        </w:rPr>
      </w:pPr>
      <w:r>
        <w:rPr>
          <w:rFonts w:ascii="Times New Roman" w:hAnsi="Times New Roman"/>
          <w:sz w:val="20"/>
        </w:rPr>
        <w:t xml:space="preserve">(vi) shares of Common Stock, Options or Convertible Securities issued in connection with sponsored research, collaboration, technology license, development, OEM, marketing or other similar agreements or strategic partnerships approved by the Board of Directors, including a majority of the Preferred Directors, and shares of Common Stock issuable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 and </w:t>
      </w:r>
    </w:p>
    <w:p>
      <w:pPr>
        <w:pStyle w:val="TextBody"/>
        <w:bidi w:val="0"/>
        <w:spacing w:before="240" w:after="0"/>
        <w:jc w:val="left"/>
        <w:rPr>
          <w:rFonts w:ascii="Times New Roman" w:hAnsi="Times New Roman"/>
          <w:sz w:val="20"/>
        </w:rPr>
      </w:pPr>
      <w:r>
        <w:rPr>
          <w:rFonts w:ascii="Times New Roman" w:hAnsi="Times New Roman"/>
          <w:sz w:val="20"/>
        </w:rPr>
        <w:t xml:space="preserve">(vii) shares of Common Stock, Options or Convertible Securities issued as acquisition consideration pursuant to the acquisition of another corporation by the Corporation by merger, purchase of substantially all of the assets or other reorganization or to a joint venture agreement, provided that such issuances are approved by the Board of Directors, including a majority of the Preferred Directors, and shares of Common Stock issuable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 </w:t>
      </w:r>
    </w:p>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sz w:val="20"/>
          <w:u w:val="single"/>
        </w:rPr>
        <w:t>No Adjustment of Applicable Conversion Price</w:t>
      </w:r>
      <w:r>
        <w:rPr>
          <w:rFonts w:ascii="Times New Roman" w:hAnsi="Times New Roman"/>
          <w:sz w:val="20"/>
        </w:rPr>
        <w:t xml:space="preserve">. No adjustment in the Applicable Conversion Price of a series of Preferred Stock shall be made as the result of the issuance or deemed issuance of Additional Shares of Common Stock if the Corporation receives written notice from the holders representing the Required Vote agreeing that no such adjustment shall be made as the result of the issuance or deemed issuance of such Additional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4.4.3 </w:t>
      </w:r>
      <w:r>
        <w:rPr>
          <w:rFonts w:ascii="Times New Roman" w:hAnsi="Times New Roman"/>
          <w:sz w:val="20"/>
          <w:u w:val="single"/>
        </w:rPr>
        <w:t>Deemed Issue of Additional Shares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Corporation at any time or from time to time after the Filing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(b) If the terms of any Option or Convertible Security, the issuance of which resulted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are revised as a result of an amendment to such terms or if any other adjustment is made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been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w:t>
      </w:r>
    </w:p>
    <w:p>
      <w:pPr>
        <w:pStyle w:val="TextBody"/>
        <w:bidi w:val="0"/>
        <w:spacing w:before="240" w:after="0"/>
        <w:jc w:val="left"/>
        <w:rPr>
          <w:rFonts w:ascii="Times New Roman" w:hAnsi="Times New Roman"/>
          <w:sz w:val="20"/>
        </w:rPr>
      </w:pPr>
      <w:r>
        <w:rPr>
          <w:rFonts w:ascii="Times New Roman" w:hAnsi="Times New Roman"/>
          <w:sz w:val="20"/>
        </w:rPr>
        <w:t xml:space="preserve">(c) 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(either because the consideration per share (determined pursuant to </w:t>
      </w:r>
      <w:r>
        <w:rPr>
          <w:rFonts w:ascii="Times New Roman" w:hAnsi="Times New Roman"/>
          <w:sz w:val="20"/>
          <w:u w:val="single"/>
        </w:rPr>
        <w:t>Subsection 4.4.5</w:t>
      </w:r>
      <w:r>
        <w:rPr>
          <w:rFonts w:ascii="Times New Roman" w:hAnsi="Times New Roman"/>
          <w:sz w:val="20"/>
        </w:rPr>
        <w:t xml:space="preserve">) of the Additional Shares of Common Stock subject thereto was equal to or greater than the Applicable Conversion Price then in effect, or because such Option or Convertible Security was issued before the Filing Date), are revised after the Filing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hAnsi="Times New Roman"/>
          <w:sz w:val="20"/>
          <w:u w:val="single"/>
        </w:rPr>
        <w:t>Subsection 4.4.3(a)</w:t>
      </w:r>
      <w:r>
        <w:rPr>
          <w:rFonts w:ascii="Times New Roman" w:hAnsi="Times New Roman"/>
          <w:sz w:val="20"/>
        </w:rPr>
        <w:t xml:space="preserve">) shall be deemed to have been issued effective upon such increase or decrease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(d) 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the Applicable Conversion Price shall be readjusted to such Applicable Conversion Price as would have been obtained had such Option or Convertible Security (or portion thereof) never been issued.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hAnsi="Times New Roman"/>
          <w:sz w:val="20"/>
          <w:u w:val="single"/>
        </w:rPr>
        <w:t>Subsection 4.4.3</w:t>
      </w:r>
      <w:r>
        <w:rPr>
          <w:rFonts w:ascii="Times New Roman" w:hAnsi="Times New Roman"/>
          <w:sz w:val="20"/>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hAnsi="Times New Roman"/>
          <w:sz w:val="20"/>
          <w:u w:val="single"/>
        </w:rPr>
        <w:t>Subsection 4.4.3</w:t>
      </w:r>
      <w:r>
        <w:rPr>
          <w:rFonts w:ascii="Times New Roman" w:hAnsi="Times New Roman"/>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hAnsi="Times New Roman"/>
          <w:sz w:val="20"/>
          <w:u w:val="single"/>
        </w:rPr>
        <w:t>Subsection 4.4.3</w:t>
      </w:r>
      <w:r>
        <w:rPr>
          <w:rFonts w:ascii="Times New Roman" w:hAnsi="Times New Roman"/>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 </w:t>
      </w:r>
    </w:p>
    <w:p>
      <w:pPr>
        <w:pStyle w:val="TextBody"/>
        <w:bidi w:val="0"/>
        <w:spacing w:before="240" w:after="0"/>
        <w:jc w:val="left"/>
        <w:rPr>
          <w:rFonts w:ascii="Times New Roman" w:hAnsi="Times New Roman"/>
          <w:sz w:val="20"/>
        </w:rPr>
      </w:pPr>
      <w:r>
        <w:rPr>
          <w:rFonts w:ascii="Times New Roman" w:hAnsi="Times New Roman"/>
          <w:sz w:val="20"/>
        </w:rPr>
        <w:t xml:space="preserve">4.4.4 </w:t>
      </w:r>
      <w:r>
        <w:rPr>
          <w:rFonts w:ascii="Times New Roman" w:hAnsi="Times New Roman"/>
          <w:sz w:val="20"/>
          <w:u w:val="single"/>
        </w:rPr>
        <w:t>Adjustment of Applicable Conversion Price Upon Issuance of Additional Shares of Common Stock</w:t>
      </w:r>
      <w:r>
        <w:rPr>
          <w:rFonts w:ascii="Times New Roman" w:hAnsi="Times New Roman"/>
          <w:sz w:val="20"/>
        </w:rPr>
        <w:t xml:space="preserve">. In the event the Corporation shall at any time or from time to time after the Filing Date issue Additional Shares of Common Stock (including Additional Shares of Common Stock deemed to be issued pursuant to </w:t>
      </w:r>
      <w:r>
        <w:rPr>
          <w:rFonts w:ascii="Times New Roman" w:hAnsi="Times New Roman"/>
          <w:sz w:val="20"/>
          <w:u w:val="single"/>
        </w:rPr>
        <w:t>Subsection 4.4.3</w:t>
      </w:r>
      <w:r>
        <w:rPr>
          <w:rFonts w:ascii="Times New Roman" w:hAnsi="Times New Roman"/>
          <w:sz w:val="20"/>
        </w:rPr>
        <w:t xml:space="preserve">), without consideration or for a consideration per share less than the Applicable Conversion Price as in effect immediately prior to such issuance or deemed issuance, then the Applicable Conversion Price shall be reduced, concurrently with such issuance or deemed issuance, to a price (calculated to the nearest one-hundredth of a cent) determined in accordance with the following formula: </w:t>
      </w:r>
    </w:p>
    <w:p>
      <w:pPr>
        <w:pStyle w:val="TextBody"/>
        <w:bidi w:val="0"/>
        <w:spacing w:before="120" w:after="0"/>
        <w:jc w:val="center"/>
        <w:rPr>
          <w:rFonts w:ascii="Times New Roman" w:hAnsi="Times New Roman"/>
          <w:sz w:val="20"/>
        </w:rPr>
      </w:pPr>
      <w:r>
        <w:rPr>
          <w:rFonts w:ascii="Times New Roman" w:hAnsi="Times New Roman"/>
          <w:sz w:val="20"/>
        </w:rPr>
        <w:t xml:space="preserve">CP2 = CP1* (A + B) ÷ (A + 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CP2 shall mean such Applicable Conversion Price in effect immediately after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CP1 shall mean such Applicable Conversion Price in effect immediately prior to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 </w:t>
      </w:r>
    </w:p>
    <w:p>
      <w:pPr>
        <w:pStyle w:val="TextBody"/>
        <w:bidi w:val="0"/>
        <w:spacing w:before="240" w:after="0"/>
        <w:jc w:val="left"/>
        <w:rPr>
          <w:rFonts w:ascii="Times New Roman" w:hAnsi="Times New Roman"/>
          <w:sz w:val="20"/>
        </w:rPr>
      </w:pPr>
      <w:r>
        <w:rPr>
          <w:rFonts w:ascii="Times New Roman" w:hAnsi="Times New Roman"/>
          <w:sz w:val="20"/>
        </w:rPr>
        <w:t xml:space="preserve">(d) B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 </w:t>
      </w:r>
    </w:p>
    <w:p>
      <w:pPr>
        <w:pStyle w:val="TextBody"/>
        <w:bidi w:val="0"/>
        <w:spacing w:before="240" w:after="0"/>
        <w:jc w:val="left"/>
        <w:rPr>
          <w:rFonts w:ascii="Times New Roman" w:hAnsi="Times New Roman"/>
          <w:sz w:val="20"/>
        </w:rPr>
      </w:pPr>
      <w:r>
        <w:rPr>
          <w:rFonts w:ascii="Times New Roman" w:hAnsi="Times New Roman"/>
          <w:sz w:val="20"/>
        </w:rPr>
        <w:t xml:space="preserve">(e) C shall mean the number of such Additional Shares of Common Stock issued or deemed issued in such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4.4.5 </w:t>
      </w:r>
      <w:r>
        <w:rPr>
          <w:rFonts w:ascii="Times New Roman" w:hAnsi="Times New Roman"/>
          <w:sz w:val="20"/>
          <w:u w:val="single"/>
        </w:rPr>
        <w:t>Determination of Consideration</w:t>
      </w:r>
      <w:r>
        <w:rPr>
          <w:rFonts w:ascii="Times New Roman" w:hAnsi="Times New Roman"/>
          <w:sz w:val="20"/>
        </w:rPr>
        <w:t xml:space="preserve">. For purposes of this </w:t>
      </w:r>
      <w:r>
        <w:rPr>
          <w:rFonts w:ascii="Times New Roman" w:hAnsi="Times New Roman"/>
          <w:sz w:val="20"/>
          <w:u w:val="single"/>
        </w:rPr>
        <w:t>Subsection 4.4</w:t>
      </w:r>
      <w:r>
        <w:rPr>
          <w:rFonts w:ascii="Times New Roman" w:hAnsi="Times New Roman"/>
          <w:sz w:val="20"/>
        </w:rPr>
        <w:t xml:space="preserve">, the consideration received by the Corporation for the issuance or deemed issuance of any Additional Shares of Common Stock shall be computed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Cash and Property</w:t>
      </w:r>
      <w:r>
        <w:rPr>
          <w:rFonts w:ascii="Times New Roman" w:hAnsi="Times New Roman"/>
          <w:sz w:val="20"/>
        </w:rPr>
        <w:t xml:space="preserve">: Such consideration shall: </w:t>
      </w:r>
    </w:p>
    <w:p>
      <w:pPr>
        <w:pStyle w:val="TextBody"/>
        <w:bidi w:val="0"/>
        <w:spacing w:before="120" w:after="0"/>
        <w:jc w:val="left"/>
        <w:rPr>
          <w:rFonts w:ascii="Times New Roman" w:hAnsi="Times New Roman"/>
          <w:sz w:val="20"/>
        </w:rPr>
      </w:pPr>
      <w:r>
        <w:rPr>
          <w:rFonts w:ascii="Times New Roman" w:hAnsi="Times New Roman"/>
          <w:sz w:val="20"/>
        </w:rPr>
        <w:t xml:space="preserve">(i) insofar as it consists of cash, be computed at the aggregate amount of cash received by the Corporation, excluding amounts paid or payable for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(ii) insofar as it consists of property other than cash, be computed at the fair market value thereof at the time of such issue, as determined in good faith by the Board of Directors; and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Additional Shares of Common Stock are issued together with other shares or securities or other assets of the Corporation for consideration which covers both, be the proportion of such consideration so received that is attributable to the Additional Shares of Common Stock, computed as provided in clauses (i) and (ii) above, as determined in good faith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Options and Convertible Securities</w:t>
      </w:r>
      <w:r>
        <w:rPr>
          <w:rFonts w:ascii="Times New Roman" w:hAnsi="Times New Roman"/>
          <w:sz w:val="20"/>
        </w:rPr>
        <w:t xml:space="preserve">. The consideration per share received by the Corporation for Additional Shares of Common Stock deemed to have been issued pursuant to </w:t>
      </w:r>
      <w:r>
        <w:rPr>
          <w:rFonts w:ascii="Times New Roman" w:hAnsi="Times New Roman"/>
          <w:sz w:val="20"/>
          <w:u w:val="single"/>
        </w:rPr>
        <w:t>Subsection 4.4.3</w:t>
      </w:r>
      <w:r>
        <w:rPr>
          <w:rFonts w:ascii="Times New Roman" w:hAnsi="Times New Roman"/>
          <w:sz w:val="20"/>
        </w:rPr>
        <w:t xml:space="preserve">, relating to Options and Convertible Securities, shall be determined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(i)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w:t>
      </w:r>
    </w:p>
    <w:p>
      <w:pPr>
        <w:pStyle w:val="TextBody"/>
        <w:bidi w:val="0"/>
        <w:spacing w:before="240" w:after="0"/>
        <w:jc w:val="left"/>
        <w:rPr>
          <w:rFonts w:ascii="Times New Roman" w:hAnsi="Times New Roman"/>
          <w:sz w:val="20"/>
        </w:rPr>
      </w:pPr>
      <w:r>
        <w:rPr>
          <w:rFonts w:ascii="Times New Roman" w:hAnsi="Times New Roman"/>
          <w:sz w:val="20"/>
        </w:rPr>
        <w:t xml:space="preserve">(ii)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 </w:t>
      </w:r>
    </w:p>
    <w:p>
      <w:pPr>
        <w:pStyle w:val="TextBody"/>
        <w:bidi w:val="0"/>
        <w:spacing w:before="240" w:after="0"/>
        <w:jc w:val="left"/>
        <w:rPr>
          <w:rFonts w:ascii="Times New Roman" w:hAnsi="Times New Roman"/>
          <w:sz w:val="20"/>
        </w:rPr>
      </w:pPr>
      <w:r>
        <w:rPr>
          <w:rFonts w:ascii="Times New Roman" w:hAnsi="Times New Roman"/>
          <w:sz w:val="20"/>
        </w:rPr>
        <w:t xml:space="preserve">4.4.6 </w:t>
      </w:r>
      <w:r>
        <w:rPr>
          <w:rFonts w:ascii="Times New Roman" w:hAnsi="Times New Roman"/>
          <w:sz w:val="20"/>
          <w:u w:val="single"/>
        </w:rPr>
        <w:t>Multiple Closing Dates</w:t>
      </w:r>
      <w:r>
        <w:rPr>
          <w:rFonts w:ascii="Times New Roman" w:hAnsi="Times New Roman"/>
          <w:sz w:val="20"/>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above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Adjustment for Stock Splits and Combinations</w:t>
      </w:r>
      <w:r>
        <w:rPr>
          <w:rFonts w:ascii="Times New Roman" w:hAnsi="Times New Roman"/>
          <w:sz w:val="20"/>
        </w:rPr>
        <w:t xml:space="preserve">. If the Corporation shall at any time or from time to time after the Filing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Filing Date combine the outstanding shares of Common Stock, the Applicable Conversion Price in effect immediately before such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hAnsi="Times New Roman"/>
          <w:sz w:val="20"/>
          <w:u w:val="single"/>
        </w:rPr>
        <w:t>Subsection 4.5</w:t>
      </w:r>
      <w:r>
        <w:rPr>
          <w:rFonts w:ascii="Times New Roman" w:hAnsi="Times New Roman"/>
          <w:sz w:val="20"/>
        </w:rPr>
        <w:t xml:space="preserve"> shall become effective at the close of business on the date the subdivision or combination becomes effective.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Adjustment for Certain Dividends and Distributions</w:t>
      </w:r>
      <w:r>
        <w:rPr>
          <w:rFonts w:ascii="Times New Roman" w:hAnsi="Times New Roman"/>
          <w:sz w:val="20"/>
        </w:rPr>
        <w:t xml:space="preserve">. In the event the Corporation at any time or from time to time after the Filing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 </w:t>
      </w:r>
    </w:p>
    <w:p>
      <w:pPr>
        <w:pStyle w:val="TextBody"/>
        <w:bidi w:val="0"/>
        <w:spacing w:before="120" w:after="0"/>
        <w:jc w:val="left"/>
        <w:rPr>
          <w:rFonts w:ascii="Times New Roman" w:hAnsi="Times New Roman"/>
          <w:sz w:val="20"/>
        </w:rPr>
      </w:pPr>
      <w:r>
        <w:rPr>
          <w:rFonts w:ascii="Times New Roman" w:hAnsi="Times New Roman"/>
          <w:sz w:val="20"/>
        </w:rPr>
        <w:t xml:space="preserve">(1) the numerator of which shall be the total number of shares of Common Stock issued and outstanding immediately prior to the time of such issuance or the close of business on such record date,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w:t>
      </w:r>
      <w:r>
        <w:rPr>
          <w:rFonts w:ascii="Times New Roman" w:hAnsi="Times New Roman"/>
          <w:sz w:val="20"/>
          <w:u w:val="single"/>
        </w:rPr>
        <w:t>Subsection 4.6</w:t>
      </w:r>
      <w:r>
        <w:rPr>
          <w:rFonts w:ascii="Times New Roman" w:hAnsi="Times New Roman"/>
          <w:sz w:val="20"/>
        </w:rPr>
        <w:t xml:space="preserve"> as of the time of actual payment of such dividends or distributions; and (b) no such adjustment shall be made with respect to the Applicable Conversion Price if the holders of the applicable series of Preferred Stock simultaneously receive a dividend or other distribution of shares of Common Stock in a number equal to the number of shares of Common Stock as they would have received if all outstanding shares of the applicable series of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Adjustments for Other Dividends and Distributions</w:t>
      </w:r>
      <w:r>
        <w:rPr>
          <w:rFonts w:ascii="Times New Roman" w:hAnsi="Times New Roman"/>
          <w:sz w:val="20"/>
        </w:rPr>
        <w:t xml:space="preserve">. In the event the Corporation at any time or from time to time after the Filing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Adjustment for Merger or Reorganization, etc</w:t>
      </w:r>
      <w:r>
        <w:rPr>
          <w:rFonts w:ascii="Times New Roman" w:hAnsi="Times New Roman"/>
          <w:sz w:val="20"/>
        </w:rPr>
        <w:t xml:space="preserve">. Subject to the provisions of </w:t>
      </w:r>
      <w:r>
        <w:rPr>
          <w:rFonts w:ascii="Times New Roman" w:hAnsi="Times New Roman"/>
          <w:sz w:val="20"/>
          <w:u w:val="single"/>
        </w:rPr>
        <w:t>Subsection 2.3</w:t>
      </w:r>
      <w:r>
        <w:rPr>
          <w:rFonts w:ascii="Times New Roman" w:hAnsi="Times New Roman"/>
          <w:sz w:val="20"/>
        </w:rPr>
        <w:t xml:space="preserve">, if there shall occur any reorganization, recapitalization, reclassification, consolidation, merger or statutory conversion involving the Corporation in which the Common Stock (but not the Preferred Stock) is converted into or exchanged for securities, cash or other property (other than a transaction covered by </w:t>
      </w:r>
      <w:r>
        <w:rPr>
          <w:rFonts w:ascii="Times New Roman" w:hAnsi="Times New Roman"/>
          <w:sz w:val="20"/>
          <w:u w:val="single"/>
        </w:rPr>
        <w:t>Subsections 4.5</w:t>
      </w:r>
      <w:r>
        <w:rPr>
          <w:rFonts w:ascii="Times New Roman" w:hAnsi="Times New Roman"/>
          <w:sz w:val="20"/>
        </w:rPr>
        <w:t xml:space="preserve">, </w:t>
      </w:r>
      <w:r>
        <w:rPr>
          <w:rFonts w:ascii="Times New Roman" w:hAnsi="Times New Roman"/>
          <w:sz w:val="20"/>
          <w:u w:val="single"/>
        </w:rPr>
        <w:t>4.6</w:t>
      </w:r>
      <w:r>
        <w:rPr>
          <w:rFonts w:ascii="Times New Roman" w:hAnsi="Times New Roman"/>
          <w:sz w:val="20"/>
        </w:rPr>
        <w:t xml:space="preserve"> or </w:t>
      </w:r>
      <w:r>
        <w:rPr>
          <w:rFonts w:ascii="Times New Roman" w:hAnsi="Times New Roman"/>
          <w:sz w:val="20"/>
          <w:u w:val="single"/>
        </w:rPr>
        <w:t>4.7</w:t>
      </w:r>
      <w:r>
        <w:rPr>
          <w:rFonts w:ascii="Times New Roman" w:hAnsi="Times New Roman"/>
          <w:sz w:val="20"/>
        </w:rPr>
        <w:t xml:space="preserve">), then, following any such reorganization, recapitalization, reclassification, consolidation, merger or statutory conversion,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the applicable series of Preferred Stock immediately prior to such reorganization, recapitalization, reclassification, consolidation, merger or statutory conversion would have been entitled to receive pursuant to such transaction; and, in such case, appropriate adjustment (as determined in good faith by the Board of Directors, including a majority of the Preferred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Preferred Stock,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applicable series of Preferred Stock. For the avoidance of doubt, nothing in this </w:t>
      </w:r>
      <w:r>
        <w:rPr>
          <w:rFonts w:ascii="Times New Roman" w:hAnsi="Times New Roman"/>
          <w:sz w:val="20"/>
          <w:u w:val="single"/>
        </w:rPr>
        <w:t>Section 4.8</w:t>
      </w:r>
      <w:r>
        <w:rPr>
          <w:rFonts w:ascii="Times New Roman" w:hAnsi="Times New Roman"/>
          <w:sz w:val="20"/>
        </w:rPr>
        <w:t xml:space="preserve"> shall be construed as preventing the holders of Preferred Stock from seeking any appraisal rights to which they are otherwise entitled under the General Corporation Law in connection with a merger or statutory conversion triggering an adjustment hereunder, nor shall this </w:t>
      </w:r>
      <w:r>
        <w:rPr>
          <w:rFonts w:ascii="Times New Roman" w:hAnsi="Times New Roman"/>
          <w:sz w:val="20"/>
          <w:u w:val="single"/>
        </w:rPr>
        <w:t>Subsection 4.8</w:t>
      </w:r>
      <w:r>
        <w:rPr>
          <w:rFonts w:ascii="Times New Roman" w:hAnsi="Times New Roman"/>
          <w:sz w:val="20"/>
        </w:rPr>
        <w:t xml:space="preserve"> be deemed conclusive evidence of the fair value of the shares of Preferred Stock in any such appraisal proceeding.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Applicable Conversion Price pursuant to this </w:t>
      </w:r>
      <w:r>
        <w:rPr>
          <w:rFonts w:ascii="Times New Roman" w:hAnsi="Times New Roman"/>
          <w:sz w:val="20"/>
          <w:u w:val="single"/>
        </w:rPr>
        <w:t>Section 4</w:t>
      </w:r>
      <w:r>
        <w:rPr>
          <w:rFonts w:ascii="Times New Roman" w:hAnsi="Times New Roman"/>
          <w:sz w:val="20"/>
        </w:rPr>
        <w:t xml:space="preserve">, the Corporation at its expense shall, as promptly as reasonably practicable but in any event not later than fifteen (15) days thereafter, compute such adjustment or readjustment in accordance with the terms hereof and furnish to each holder of the applicable series of Preferred Stock a certificate setting forth such adjustment or readjustment (including the kind and amount of securities, cash or other property into which the applicable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fifteen (15)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the applicable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(b) of any capital reorganization of the Corporation, any reclassification of the Common Stock, or any Deemed Liquidation Event; or </w:t>
      </w:r>
    </w:p>
    <w:p>
      <w:pPr>
        <w:pStyle w:val="TextBody"/>
        <w:bidi w:val="0"/>
        <w:spacing w:before="240" w:after="0"/>
        <w:jc w:val="left"/>
        <w:rPr>
          <w:rFonts w:ascii="Times New Roman" w:hAnsi="Times New Roman"/>
          <w:sz w:val="20"/>
        </w:rPr>
      </w:pPr>
      <w:r>
        <w:rPr>
          <w:rFonts w:ascii="Times New Roman" w:hAnsi="Times New Roman"/>
          <w:sz w:val="20"/>
        </w:rPr>
        <w:t xml:space="preserve">(c) of the voluntary or involuntary dissolution, liquidation or winding-up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winding-up or a Deemed Liquidation Event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winding-up or a Deemed Liquidation Event, and the amount per share and character of such exchange applicable to the Preferred Stock and the Common Stock. Such notice shall be sent at least ten (10) days prior to the record date or effective date for the event specified in such notice.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Trigger Events</w:t>
      </w:r>
      <w:r>
        <w:rPr>
          <w:rFonts w:ascii="Times New Roman" w:hAnsi="Times New Roman"/>
          <w:sz w:val="20"/>
        </w:rPr>
        <w:t xml:space="preserve">. Upon either (a) the date and time, or the occurrence of an event, specified by vote or written consent of holders representing the Required Vote or (b) the closing of the sale of shares of Common Stock to the public at a price per share of at least $1.71668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(the </w:t>
      </w:r>
      <w:r>
        <w:rPr>
          <w:rFonts w:ascii="Times New Roman" w:hAnsi="Times New Roman"/>
          <w:b/>
          <w:sz w:val="20"/>
        </w:rPr>
        <w:t>Securities Act</w:t>
      </w:r>
      <w:r>
        <w:rPr>
          <w:rFonts w:ascii="Times New Roman" w:hAnsi="Times New Roman"/>
          <w:sz w:val="20"/>
        </w:rPr>
        <w:t>), provided that such offering results in at least $50 million of gross proceeds, after deducting the underwriting discounts and commissions, to the Corporation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(such an event a </w:t>
      </w:r>
      <w:r>
        <w:rPr>
          <w:rFonts w:ascii="Times New Roman" w:hAnsi="Times New Roman"/>
          <w:b/>
          <w:sz w:val="20"/>
        </w:rPr>
        <w:t>QPO</w:t>
      </w:r>
      <w:r>
        <w:rPr>
          <w:rFonts w:ascii="Times New Roman" w:hAnsi="Times New Roman"/>
          <w:sz w:val="20"/>
        </w:rPr>
        <w:t>) (the date and time specified or the time of the event specified in such vote or written consent, or the time of such closing, respectively, is referred to herein as the </w:t>
      </w:r>
      <w:r>
        <w:rPr>
          <w:rFonts w:ascii="Times New Roman" w:hAnsi="Times New Roman"/>
          <w:b/>
          <w:sz w:val="20"/>
        </w:rPr>
        <w:t>Mandatory Conversion Time</w:t>
      </w:r>
      <w:r>
        <w:rPr>
          <w:rFonts w:ascii="Times New Roman" w:hAnsi="Times New Roman"/>
          <w:sz w:val="20"/>
        </w:rPr>
        <w:t xml:space="preserve">), (i) all outstanding shares of Preferred Stock shall automatically be converted into shares of Common Stock, at the then effective conversion rate thereof, and (ii) such shares of Preferred Stock may not be reissued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Procedural Requirements</w:t>
      </w:r>
      <w:r>
        <w:rPr>
          <w:rFonts w:ascii="Times New Roman" w:hAnsi="Times New Roman"/>
          <w:sz w:val="20"/>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hAnsi="Times New Roman"/>
          <w:sz w:val="20"/>
          <w:u w:val="single"/>
        </w:rPr>
        <w:t>Section 5</w:t>
      </w:r>
      <w:r>
        <w:rPr>
          <w:rFonts w:ascii="Times New Roman" w:hAnsi="Times New Roman"/>
          <w:sz w:val="20"/>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hAnsi="Times New Roman"/>
          <w:sz w:val="20"/>
          <w:u w:val="single"/>
        </w:rPr>
        <w:t>Subsection 5.1</w:t>
      </w:r>
      <w:r>
        <w:rPr>
          <w:rFonts w:ascii="Times New Roman" w:hAnsi="Times New Roman"/>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hAnsi="Times New Roman"/>
          <w:sz w:val="20"/>
          <w:u w:val="single"/>
        </w:rPr>
        <w:t>Subsection 5.2</w:t>
      </w:r>
      <w:r>
        <w:rPr>
          <w:rFonts w:ascii="Times New Roman" w:hAnsi="Times New Roman"/>
          <w:sz w:val="20"/>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hAnsi="Times New Roman"/>
          <w:sz w:val="20"/>
          <w:u w:val="single"/>
        </w:rPr>
        <w:t>Subsection 4.2</w:t>
      </w:r>
      <w:r>
        <w:rPr>
          <w:rFonts w:ascii="Times New Roman" w:hAnsi="Times New Roman"/>
          <w:sz w:val="20"/>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5A. </w:t>
      </w:r>
      <w:r>
        <w:rPr>
          <w:rFonts w:ascii="Times New Roman" w:hAnsi="Times New Roman"/>
          <w:sz w:val="20"/>
          <w:u w:val="single"/>
        </w:rPr>
        <w:t>Special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5A.1. </w:t>
      </w:r>
      <w:r>
        <w:rPr>
          <w:rFonts w:ascii="Times New Roman" w:hAnsi="Times New Roman"/>
          <w:sz w:val="20"/>
          <w:u w:val="single"/>
        </w:rPr>
        <w:t>Milestone Trigger Event</w:t>
      </w:r>
      <w:r>
        <w:rPr>
          <w:rFonts w:ascii="Times New Roman" w:hAnsi="Times New Roman"/>
          <w:sz w:val="20"/>
        </w:rPr>
        <w:t>. If a holder of Series B Preferred Stock becomes a Defaulting Purchaser (as defined in the Series B Preferred Stock Purchase Agreement, dated on or about the Filing Date, by and among the Corporation and the other parties listed therein as </w:t>
      </w:r>
      <w:r>
        <w:rPr>
          <w:rFonts w:ascii="Times New Roman" w:hAnsi="Times New Roman"/>
          <w:b/>
          <w:sz w:val="20"/>
        </w:rPr>
        <w:t>Purchasers</w:t>
      </w:r>
      <w:r>
        <w:rPr>
          <w:rFonts w:ascii="Times New Roman" w:hAnsi="Times New Roman"/>
          <w:sz w:val="20"/>
        </w:rPr>
        <w:t> (as such may be amended in accordance with the terms thereof, the </w:t>
      </w:r>
      <w:r>
        <w:rPr>
          <w:rFonts w:ascii="Times New Roman" w:hAnsi="Times New Roman"/>
          <w:b/>
          <w:sz w:val="20"/>
        </w:rPr>
        <w:t>Purchase Agreement</w:t>
      </w:r>
      <w:r>
        <w:rPr>
          <w:rFonts w:ascii="Times New Roman" w:hAnsi="Times New Roman"/>
          <w:sz w:val="20"/>
        </w:rPr>
        <w:t xml:space="preserve">)), then each share of Series B Preferred Stock held by such holder shall then be automatically, and without any further action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part of such holder, be converted into that number of shares of Common Stock equal to the product of (a) 0.10 multiplied by (b) the quotient of the Series B Original Issue Price divided by the Series B Conversion Price then in effect for such share of Series B Preferred Stock immediately prior to the consummation of the Second Tranche Closing, rounding down to the nearest whole share, effective concurrently with the Second Tranche Closing. Such conversion is referred to as a </w:t>
      </w:r>
      <w:r>
        <w:rPr>
          <w:rFonts w:ascii="Times New Roman" w:hAnsi="Times New Roman"/>
          <w:b/>
          <w:sz w:val="20"/>
        </w:rPr>
        <w:t>Special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5A.2. </w:t>
      </w:r>
      <w:r>
        <w:rPr>
          <w:rFonts w:ascii="Times New Roman" w:hAnsi="Times New Roman"/>
          <w:sz w:val="20"/>
          <w:u w:val="single"/>
        </w:rPr>
        <w:t>Procedural Requirements</w:t>
      </w:r>
      <w:r>
        <w:rPr>
          <w:rFonts w:ascii="Times New Roman" w:hAnsi="Times New Roman"/>
          <w:sz w:val="20"/>
        </w:rPr>
        <w:t xml:space="preserve">. Upon a Special Mandatory Conversion, each holder of shares of Series B Preferred Stock converted pursuant to </w:t>
      </w:r>
      <w:r>
        <w:rPr>
          <w:rFonts w:ascii="Times New Roman" w:hAnsi="Times New Roman"/>
          <w:sz w:val="20"/>
          <w:u w:val="single"/>
        </w:rPr>
        <w:t>Subsection 5A.1</w:t>
      </w:r>
      <w:r>
        <w:rPr>
          <w:rFonts w:ascii="Times New Roman" w:hAnsi="Times New Roman"/>
          <w:sz w:val="20"/>
        </w:rPr>
        <w:t xml:space="preserve"> shall be sent written notice of such Special Mandatory Conversion and the place designated for mandatory conversion of all such shares of Series B Preferred Stock pursuant to this </w:t>
      </w:r>
      <w:r>
        <w:rPr>
          <w:rFonts w:ascii="Times New Roman" w:hAnsi="Times New Roman"/>
          <w:sz w:val="20"/>
          <w:u w:val="single"/>
        </w:rPr>
        <w:t>Subsection 5A</w:t>
      </w:r>
      <w:r>
        <w:rPr>
          <w:rFonts w:ascii="Times New Roman" w:hAnsi="Times New Roman"/>
          <w:sz w:val="20"/>
        </w:rPr>
        <w:t xml:space="preserve">. Upon receipt of such notice, each holder of such shares of Series B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B Preferred Stock converted pursuant to </w:t>
      </w:r>
      <w:r>
        <w:rPr>
          <w:rFonts w:ascii="Times New Roman" w:hAnsi="Times New Roman"/>
          <w:sz w:val="20"/>
          <w:u w:val="single"/>
        </w:rPr>
        <w:t>Subsection 5A.1</w:t>
      </w:r>
      <w:r>
        <w:rPr>
          <w:rFonts w:ascii="Times New Roman" w:hAnsi="Times New Roman"/>
          <w:sz w:val="20"/>
        </w:rPr>
        <w:t xml:space="preserve">,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Times New Roman" w:hAnsi="Times New Roman"/>
          <w:sz w:val="20"/>
          <w:u w:val="single"/>
        </w:rPr>
        <w:t>Subsection 5A.2</w:t>
      </w:r>
      <w:r>
        <w:rPr>
          <w:rFonts w:ascii="Times New Roman" w:hAnsi="Times New Roman"/>
          <w:sz w:val="20"/>
        </w:rPr>
        <w:t xml:space="preserve">. As soon as practicable after the Special Mandatory Conversion and, if applicable, the surrender of any certificate or certificates (or lost certificate affidavit and agreement) for Series B Preferred Stock so converted,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hAnsi="Times New Roman"/>
          <w:sz w:val="20"/>
          <w:u w:val="single"/>
        </w:rPr>
        <w:t>Subsection 4.2</w:t>
      </w:r>
      <w:r>
        <w:rPr>
          <w:rFonts w:ascii="Times New Roman" w:hAnsi="Times New Roman"/>
          <w:sz w:val="20"/>
        </w:rPr>
        <w:t xml:space="preserve"> in lieu of any fraction of a share of Common Stock otherwise issuable upon such conversion and the payment of any declared but unpaid dividends on the shares of Series B Preferred Stock converted. </w:t>
      </w:r>
    </w:p>
    <w:p>
      <w:pPr>
        <w:pStyle w:val="TextBody"/>
        <w:bidi w:val="0"/>
        <w:spacing w:before="240" w:after="0"/>
        <w:jc w:val="left"/>
        <w:rPr>
          <w:rFonts w:ascii="Times New Roman" w:hAnsi="Times New Roman"/>
          <w:sz w:val="20"/>
        </w:rPr>
      </w:pPr>
      <w:r>
        <w:rPr>
          <w:rFonts w:ascii="Times New Roman" w:hAnsi="Times New Roman"/>
          <w:sz w:val="20"/>
        </w:rPr>
        <w:t xml:space="preserve">5A.3. </w:t>
      </w:r>
      <w:r>
        <w:rPr>
          <w:rFonts w:ascii="Times New Roman" w:hAnsi="Times New Roman"/>
          <w:sz w:val="20"/>
          <w:u w:val="single"/>
        </w:rPr>
        <w:t>Effect of Mandatory Conversion</w:t>
      </w:r>
      <w:r>
        <w:rPr>
          <w:rFonts w:ascii="Times New Roman" w:hAnsi="Times New Roman"/>
          <w:sz w:val="20"/>
        </w:rPr>
        <w:t xml:space="preserve">. Such converted Series B Preferred Stock shall be retired and cancelled and may not be reissued as shares of such series, and the Corporation may thereafter take such appropriate action (without the need for stockholder action) as may be necessary to reduce the authorized number of shares of Series B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Redeemed or Otherwise Acquired Shares</w:t>
      </w:r>
      <w:r>
        <w:rPr>
          <w:rFonts w:ascii="Times New Roman" w:hAnsi="Times New Roman"/>
          <w:sz w:val="20"/>
        </w:rPr>
        <w:t xml:space="preserve">.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Waiver</w:t>
      </w:r>
      <w:r>
        <w:rPr>
          <w:rFonts w:ascii="Times New Roman" w:hAnsi="Times New Roman"/>
          <w:sz w:val="20"/>
        </w:rPr>
        <w:t xml:space="preserve">. Any of the rights, powers, preferences and other terms of the Preferred Stock set forth herein may be waived on behalf of all holders of Preferred Stock by the affirmative written consent or vote of the holders representing the Required Vote.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Subject to any additional vote required by the Certificate of Incorporation, in furtherance and not in limitation of the powers conferred by statute, the Board of Directors is expressly authorized to make, repeal, alter, amend and rescind any or all of the Bylaws of the Corporation. </w:t>
      </w:r>
    </w:p>
    <w:p>
      <w:pPr>
        <w:pStyle w:val="TextBody"/>
        <w:bidi w:val="0"/>
        <w:spacing w:before="120" w:after="0"/>
        <w:jc w:val="left"/>
        <w:rPr>
          <w:rFonts w:ascii="Times New Roman" w:hAnsi="Times New Roman"/>
          <w:sz w:val="20"/>
        </w:rPr>
      </w:pPr>
      <w:r>
        <w:rPr>
          <w:rFonts w:ascii="Times New Roman" w:hAnsi="Times New Roman"/>
          <w:b/>
          <w:sz w:val="20"/>
        </w:rPr>
        <w:t>SIXTH:</w:t>
      </w:r>
      <w:r>
        <w:rPr>
          <w:rFonts w:ascii="Times New Roman" w:hAnsi="Times New Roman"/>
          <w:sz w:val="20"/>
        </w:rPr>
        <w:t xml:space="preserve"> Subject to any additional vote required by the Certificate of Incorporation, the number of directors of the Corporation shall be determined in the manner set forth in the Bylaws of the Corporation. Each director shall be entitled to one (1) vote on each matter presented to the Board of Directors;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the holders of Preferred Stock are entitled to elect a Preferred Director, the affirmative vote of a majority of the Preferred Directors shall be required for the authorization by the Board of Directors of any of the matters set forth in </w:t>
      </w:r>
      <w:r>
        <w:rPr>
          <w:rFonts w:ascii="Times New Roman" w:hAnsi="Times New Roman"/>
          <w:sz w:val="20"/>
          <w:u w:val="single"/>
        </w:rPr>
        <w:t>Section 5.4</w:t>
      </w:r>
      <w:r>
        <w:rPr>
          <w:rFonts w:ascii="Times New Roman" w:hAnsi="Times New Roman"/>
          <w:sz w:val="20"/>
        </w:rPr>
        <w:t xml:space="preserve"> of the Amended and Restated Investors Rights Agreement, dated on or about the Filing Date, by and among the Corporation and the other parties thereto, as such agreement may be amended from time to time. </w:t>
      </w:r>
    </w:p>
    <w:p>
      <w:pPr>
        <w:pStyle w:val="TextBody"/>
        <w:bidi w:val="0"/>
        <w:spacing w:before="120" w:after="0"/>
        <w:jc w:val="left"/>
        <w:rPr>
          <w:rFonts w:ascii="Times New Roman" w:hAnsi="Times New Roman"/>
          <w:sz w:val="20"/>
        </w:rPr>
      </w:pPr>
      <w:r>
        <w:rPr>
          <w:rFonts w:ascii="Times New Roman" w:hAnsi="Times New Roman"/>
          <w:b/>
          <w:sz w:val="20"/>
        </w:rPr>
        <w:t>SEVENTH:</w:t>
      </w:r>
      <w:r>
        <w:rPr>
          <w:rFonts w:ascii="Times New Roman" w:hAnsi="Times New Roman"/>
          <w:sz w:val="20"/>
        </w:rPr>
        <w:t xml:space="preserve"> Elections of directors need not be by written ballot unless the Bylaws of the Corporation shall so provide. </w:t>
      </w:r>
    </w:p>
    <w:p>
      <w:pPr>
        <w:pStyle w:val="TextBody"/>
        <w:bidi w:val="0"/>
        <w:spacing w:before="120" w:after="0"/>
        <w:jc w:val="left"/>
        <w:rPr>
          <w:rFonts w:ascii="Times New Roman" w:hAnsi="Times New Roman"/>
          <w:sz w:val="20"/>
        </w:rPr>
      </w:pPr>
      <w:r>
        <w:rPr>
          <w:rFonts w:ascii="Times New Roman" w:hAnsi="Times New Roman"/>
          <w:b/>
          <w:sz w:val="20"/>
        </w:rPr>
        <w:t>EIGHTH:</w:t>
      </w:r>
      <w:r>
        <w:rPr>
          <w:rFonts w:ascii="Times New Roman" w:hAnsi="Times New Roman"/>
          <w:sz w:val="20"/>
        </w:rPr>
        <w:t xml:space="preserve"> 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 </w:t>
      </w:r>
    </w:p>
    <w:p>
      <w:pPr>
        <w:pStyle w:val="TextBody"/>
        <w:bidi w:val="0"/>
        <w:spacing w:before="120" w:after="0"/>
        <w:jc w:val="left"/>
        <w:rPr>
          <w:rFonts w:ascii="Times New Roman" w:hAnsi="Times New Roman"/>
          <w:sz w:val="20"/>
        </w:rPr>
      </w:pPr>
      <w:r>
        <w:rPr>
          <w:rFonts w:ascii="Times New Roman" w:hAnsi="Times New Roman"/>
          <w:b/>
          <w:sz w:val="20"/>
        </w:rPr>
        <w:t>NINTH:</w:t>
      </w:r>
      <w:r>
        <w:rPr>
          <w:rFonts w:ascii="Times New Roman" w:hAnsi="Times New Roman"/>
          <w:sz w:val="20"/>
        </w:rPr>
        <w:t xml:space="preserve"> To the fullest extent permitted by law, a director or officer of the Corporation shall not be personally liable to the Corporation or its stockholders for monetary damages for breach of 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 Solely for purposes of this Article Ninth, officer shall have the meaning provided in Section 102(b)(7) of the General Corporation Law as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Any repeal or modification of the foregoing provisions of this Article Ninth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repeal or modification. </w:t>
      </w:r>
    </w:p>
    <w:p>
      <w:pPr>
        <w:pStyle w:val="TextBody"/>
        <w:bidi w:val="0"/>
        <w:spacing w:before="120" w:after="0"/>
        <w:jc w:val="left"/>
        <w:rPr>
          <w:rFonts w:ascii="Times New Roman" w:hAnsi="Times New Roman"/>
          <w:sz w:val="20"/>
        </w:rPr>
      </w:pPr>
      <w:r>
        <w:rPr>
          <w:rFonts w:ascii="Times New Roman" w:hAnsi="Times New Roman"/>
          <w:b/>
          <w:sz w:val="20"/>
        </w:rPr>
        <w:t>TENTH:</w:t>
      </w:r>
      <w:r>
        <w:rPr>
          <w:rFonts w:ascii="Times New Roman" w:hAnsi="Times New Roman"/>
          <w:sz w:val="20"/>
        </w:rPr>
        <w:t xml:space="preserve"> To the fullest extent permitted by applicable law, the Corporation is authorized to provide 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ELEVENTH: </w:t>
      </w:r>
      <w:r>
        <w:rPr>
          <w:rFonts w:ascii="Times New Roman" w:hAnsi="Times New Roman"/>
          <w:sz w:val="20"/>
        </w:rPr>
        <w:t>The Corporation renounces, to the fullest extent permitted by law, any interest or expectancy of the Corporation in, or in being offered an opportunity to participate in, any Excluded Opportunity. An </w:t>
      </w:r>
      <w:r>
        <w:rPr>
          <w:rFonts w:ascii="Times New Roman" w:hAnsi="Times New Roman"/>
          <w:b/>
          <w:sz w:val="20"/>
        </w:rPr>
        <w:t>Excluded Opportunity</w:t>
      </w:r>
      <w:r>
        <w:rPr>
          <w:rFonts w:ascii="Times New Roman" w:hAnsi="Times New Roman"/>
          <w:sz w:val="20"/>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clauses (i) and (ii) are </w:t>
      </w:r>
      <w:r>
        <w:rPr>
          <w:rFonts w:ascii="Times New Roman" w:hAnsi="Times New Roman"/>
          <w:b/>
          <w:sz w:val="20"/>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w:t>
      </w:r>
    </w:p>
    <w:p>
      <w:pPr>
        <w:pStyle w:val="TextBody"/>
        <w:bidi w:val="0"/>
        <w:spacing w:before="120" w:after="0"/>
        <w:jc w:val="left"/>
        <w:rPr>
          <w:rFonts w:ascii="Times New Roman" w:hAnsi="Times New Roman"/>
          <w:sz w:val="20"/>
        </w:rPr>
      </w:pPr>
      <w:r>
        <w:rPr>
          <w:rFonts w:ascii="Times New Roman" w:hAnsi="Times New Roman"/>
          <w:b/>
          <w:sz w:val="20"/>
        </w:rPr>
        <w:t>TWELFTH:</w:t>
      </w:r>
      <w:r>
        <w:rPr>
          <w:rFonts w:ascii="Times New Roman" w:hAnsi="Times New Roman"/>
          <w:sz w:val="20"/>
        </w:rPr>
        <w:t xml:space="preserve"> 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the foregoing amendment and restatement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this Second Amended and Restated Certificate of Incorporation, which restates and integrates and further amends the provisions of this Corporations Certificate of Incorporation, has been duly adopted in accordance with Sections 242 and 245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Second Amended and Restated Certificate of Incorporation has been executed by a duly authorized officer of this corporation on this 7th day of August,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Abraham N. Ceesay</w:t>
            </w:r>
          </w:p>
        </w:tc>
      </w:tr>
      <w:tr>
        <w:trPr/>
        <w:tc>
          <w:tcPr>
            <w:tcW w:w="4082" w:type="dxa"/>
            <w:gridSpan w:val="3"/>
            <w:tcBorders/>
          </w:tcPr>
          <w:p>
            <w:pPr>
              <w:pStyle w:val="TableContents"/>
              <w:bidi w:val="0"/>
              <w:spacing w:before="0" w:after="283"/>
              <w:jc w:val="left"/>
              <w:rPr/>
            </w:pPr>
            <w:r>
              <w:rPr/>
              <w:t>Name: Abraham N. Ceesay</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AMENDED AND RESTATED CERTIFICATE OF INCORPORATION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sz w:val="20"/>
        </w:rPr>
      </w:pPr>
      <w:r>
        <w:rPr>
          <w:rFonts w:ascii="Times New Roman" w:hAnsi="Times New Roman"/>
          <w:b/>
          <w:sz w:val="20"/>
        </w:rPr>
        <w:t>RAPPORT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Rapport Therapeutics, Inc. (the </w:t>
      </w:r>
      <w:r>
        <w:rPr>
          <w:rFonts w:ascii="Times New Roman" w:hAnsi="Times New Roman"/>
          <w:b/>
          <w:sz w:val="20"/>
        </w:rPr>
        <w:t>Corporation</w:t>
      </w:r>
      <w:r>
        <w:rPr>
          <w:rFonts w:ascii="Times New Roman" w:hAnsi="Times New Roman"/>
          <w:sz w:val="20"/>
        </w:rPr>
        <w:t>),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Rapport Therapeutics, Inc., and that this corporation was originally incorporated pursuant to the General Corporation Law on February 10, 2022.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That the Board of Directors of the corporation adopted resolutions setting forth the proposed amendment to the Certificate of Incorporation of the Corporation (the </w:t>
      </w:r>
      <w:r>
        <w:rPr>
          <w:rFonts w:ascii="Times New Roman" w:hAnsi="Times New Roman"/>
          <w:sz w:val="20"/>
          <w:u w:val="single"/>
        </w:rPr>
        <w:t>Certificate of Incorporation</w:t>
      </w:r>
      <w:r>
        <w:rPr>
          <w:rFonts w:ascii="Times New Roman" w:hAnsi="Times New Roman"/>
          <w:sz w:val="20"/>
        </w:rPr>
        <w:t xml:space="preserve">), declaring said amendment to be advisable and in the best interests of the Corporation and its stockholders and authorizing the appropriate officers of the Corporation to solicit the consent of the stockholders therefor, which resolutions setting forth the proposed amendment are substantially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Article FOURTH, Section B, Subsection 5.1, of the Certificate of Incorporation be amended and restated to read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1.1 5.1 </w:t>
      </w:r>
      <w:r>
        <w:rPr>
          <w:rFonts w:ascii="Times New Roman" w:hAnsi="Times New Roman"/>
          <w:sz w:val="20"/>
          <w:u w:val="single"/>
        </w:rPr>
        <w:t>Trigger Events</w:t>
      </w:r>
      <w:r>
        <w:rPr>
          <w:rFonts w:ascii="Times New Roman" w:hAnsi="Times New Roman"/>
          <w:sz w:val="20"/>
        </w:rPr>
        <w:t xml:space="preserve">. Upon either (a) the date and time, or the occurrence of an event, specified by vote or written consent of holders representing the Required Vote or (b) the closing of the sale of shares of Common Stock to the public at a price per share of at least $1.67727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(the </w:t>
      </w:r>
      <w:r>
        <w:rPr>
          <w:rFonts w:ascii="Times New Roman" w:hAnsi="Times New Roman"/>
          <w:b/>
          <w:sz w:val="20"/>
        </w:rPr>
        <w:t>Securities Act</w:t>
      </w:r>
      <w:r>
        <w:rPr>
          <w:rFonts w:ascii="Times New Roman" w:hAnsi="Times New Roman"/>
          <w:sz w:val="20"/>
        </w:rPr>
        <w:t>), provided that such offering results in at least $50 million of gross proceeds, after deducting the underwriting discounts and commissions, to the Corporation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(such an event a </w:t>
      </w:r>
      <w:r>
        <w:rPr>
          <w:rFonts w:ascii="Times New Roman" w:hAnsi="Times New Roman"/>
          <w:b/>
          <w:sz w:val="20"/>
        </w:rPr>
        <w:t>QPO</w:t>
      </w:r>
      <w:r>
        <w:rPr>
          <w:rFonts w:ascii="Times New Roman" w:hAnsi="Times New Roman"/>
          <w:sz w:val="20"/>
        </w:rPr>
        <w:t>) (the date and time specified or the time of the event specified in such vote or written consent, or the time of such closing, respectively, is referred to herein as the </w:t>
      </w:r>
      <w:r>
        <w:rPr>
          <w:rFonts w:ascii="Times New Roman" w:hAnsi="Times New Roman"/>
          <w:b/>
          <w:sz w:val="20"/>
        </w:rPr>
        <w:t>Mandatory Conversion Time</w:t>
      </w:r>
      <w:r>
        <w:rPr>
          <w:rFonts w:ascii="Times New Roman" w:hAnsi="Times New Roman"/>
          <w:sz w:val="20"/>
        </w:rPr>
        <w:t xml:space="preserve">), (i) all outstanding shares of Preferred Stock shall automatically be converted into shares of Common Stock, at the then effective conversion rate thereof, and (ii) such shares of Preferred Stock may not be reissued by the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That thereafter said amendment was duly adopted in accordance with the provisions of Section 242 of the General Corporation Law of the State of Delaware by written consent of the stockholders holding the requisite number of shares required by statute given in accordance with and pursuant to Section 228 of the General Corporation Law of the State of Delaware.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duly executed this Certificate of Amendment in the name and on behalf of the Corporation as of this 28th day of February,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Abraham Ceesay</w:t>
            </w:r>
          </w:p>
        </w:tc>
      </w:tr>
      <w:tr>
        <w:trPr/>
        <w:tc>
          <w:tcPr>
            <w:tcW w:w="4082" w:type="dxa"/>
            <w:gridSpan w:val="3"/>
            <w:tcBorders/>
          </w:tcPr>
          <w:p>
            <w:pPr>
              <w:pStyle w:val="TableContents"/>
              <w:bidi w:val="0"/>
              <w:spacing w:before="0" w:after="283"/>
              <w:jc w:val="left"/>
              <w:rPr/>
            </w:pPr>
            <w:r>
              <w:rPr/>
              <w:t>Name: Abraham Ceesay</w:t>
            </w:r>
          </w:p>
        </w:tc>
      </w:tr>
      <w:tr>
        <w:trPr/>
        <w:tc>
          <w:tcPr>
            <w:tcW w:w="4082" w:type="dxa"/>
            <w:gridSpan w:val="3"/>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Charter Amendment] </w:t>
      </w:r>
    </w:p>
    <w:p>
      <w:pPr>
        <w:pStyle w:val="TextBody"/>
        <w:bidi w:val="0"/>
        <w:spacing w:before="0" w:after="0"/>
        <w:jc w:val="right"/>
        <w:rPr>
          <w:rFonts w:ascii="Times New Roman" w:hAnsi="Times New Roman"/>
          <w:b/>
          <w:sz w:val="20"/>
        </w:rPr>
      </w:pPr>
      <w:bookmarkStart w:id="40" w:name="d803738dex33.htm"/>
      <w:bookmarkStart w:id="41" w:name="ksd803738dex33"/>
      <w:bookmarkEnd w:id="40"/>
      <w:bookmarkEnd w:id="41"/>
      <w:r>
        <w:rPr>
          <w:rFonts w:ascii="Times New Roman" w:hAnsi="Times New Roman"/>
          <w:b/>
          <w:sz w:val="20"/>
        </w:rPr>
        <w:t xml:space="preserve">Exhibit 3.3 </w:t>
      </w:r>
      <w:r>
        <w:br w:type="page"/>
      </w:r>
    </w:p>
    <w:p>
      <w:pPr>
        <w:pStyle w:val="TextBody"/>
        <w:bidi w:val="0"/>
        <w:spacing w:before="120" w:after="0"/>
        <w:jc w:val="center"/>
        <w:rPr>
          <w:rFonts w:ascii="Times New Roman" w:hAnsi="Times New Roman"/>
          <w:b/>
          <w:sz w:val="20"/>
        </w:rPr>
      </w:pPr>
      <w:r>
        <w:rPr>
          <w:rFonts w:ascii="Times New Roman" w:hAnsi="Times New Roman"/>
          <w:b/>
          <w:sz w:val="20"/>
        </w:rPr>
        <w:t xml:space="preserve">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PRECISION NEUROSCIENCE NEWCO, INC. </w:t>
      </w:r>
    </w:p>
    <w:p>
      <w:pPr>
        <w:pStyle w:val="TextBody"/>
        <w:bidi w:val="0"/>
        <w:spacing w:before="120" w:after="0"/>
        <w:jc w:val="center"/>
        <w:rPr>
          <w:rFonts w:ascii="Times New Roman" w:hAnsi="Times New Roman"/>
          <w:b/>
          <w:sz w:val="20"/>
        </w:rPr>
      </w:pPr>
      <w:r>
        <w:rPr>
          <w:rFonts w:ascii="Times New Roman" w:hAnsi="Times New Roman"/>
          <w:b/>
          <w:sz w:val="20"/>
        </w:rPr>
        <w:t xml:space="preserve">(the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1.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w:t>
      </w:r>
      <w:r>
        <w:rPr>
          <w:rFonts w:ascii="Times New Roman" w:hAnsi="Times New Roman"/>
          <w:sz w:val="20"/>
        </w:rPr>
        <w:t xml:space="preserve">.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w:t>
      </w:r>
      <w:r>
        <w:rPr>
          <w:rFonts w:ascii="Times New Roman" w:hAnsi="Times New Roman"/>
          <w:sz w:val="20"/>
        </w:rPr>
        <w:t xml:space="preserve">.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of Meetings</w:t>
      </w:r>
      <w:r>
        <w:rPr>
          <w:rFonts w:ascii="Times New Roman" w:hAnsi="Times New Roman"/>
          <w:sz w:val="20"/>
        </w:rPr>
        <w:t xml:space="preserve">. Whenever stockholders are required or permitted to take any action at a meeting, a notice stating the place, if any, date and hour of the meeting, the means of remote communications, if any, by which stockholders and proxy 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 </w:t>
      </w:r>
    </w:p>
    <w:p>
      <w:pPr>
        <w:pStyle w:val="TextBody"/>
        <w:bidi w:val="0"/>
        <w:spacing w:before="240" w:after="0"/>
        <w:jc w:val="left"/>
        <w:rPr>
          <w:rFonts w:ascii="Times New Roman" w:hAnsi="Times New Roman"/>
          <w:sz w:val="20"/>
        </w:rPr>
      </w:pPr>
      <w:r>
        <w:rPr>
          <w:rFonts w:ascii="Times New Roman" w:hAnsi="Times New Roman"/>
          <w:sz w:val="20"/>
        </w:rPr>
        <w:t xml:space="preserve">If a meeting is adjourned to another time or place, notice need not be given of the adjourned meeting if the time and place, if any, and the means of remote communications, if any, by which stockholders and proxy 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Quorum</w:t>
      </w:r>
      <w:r>
        <w:rPr>
          <w:rFonts w:ascii="Times New Roman" w:hAnsi="Times New Roman"/>
          <w:sz w:val="20"/>
        </w:rPr>
        <w:t xml:space="preserve">.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Voting and Proxies</w:t>
      </w:r>
      <w:r>
        <w:rPr>
          <w:rFonts w:ascii="Times New Roman" w:hAnsi="Times New Roman"/>
          <w:sz w:val="20"/>
        </w:rPr>
        <w:t xml:space="preserve">.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Action at Meeting</w:t>
      </w:r>
      <w:r>
        <w:rPr>
          <w:rFonts w:ascii="Times New Roman" w:hAnsi="Times New Roman"/>
          <w:sz w:val="20"/>
        </w:rPr>
        <w:t xml:space="preserve">.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Presiding Officer</w:t>
      </w:r>
      <w:r>
        <w:rPr>
          <w:rFonts w:ascii="Times New Roman" w:hAnsi="Times New Roman"/>
          <w:sz w:val="20"/>
        </w:rPr>
        <w:t xml:space="preserve">.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Conduct of Meetings</w:t>
      </w:r>
      <w:r>
        <w:rPr>
          <w:rFonts w:ascii="Times New Roman" w:hAnsi="Times New Roman"/>
          <w:sz w:val="20"/>
        </w:rPr>
        <w:t xml:space="preserve">.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Action without a Meeting</w:t>
      </w:r>
      <w:r>
        <w:rPr>
          <w:rFonts w:ascii="Times New Roman" w:hAnsi="Times New Roman"/>
          <w:sz w:val="20"/>
        </w:rPr>
        <w:t xml:space="preserve">.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Stockholder Lists</w:t>
      </w:r>
      <w:r>
        <w:rPr>
          <w:rFonts w:ascii="Times New Roman" w:hAnsi="Times New Roman"/>
          <w:sz w:val="20"/>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1(j)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2. Directors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Powers</w:t>
      </w:r>
      <w:r>
        <w:rPr>
          <w:rFonts w:ascii="Times New Roman" w:hAnsi="Times New Roman"/>
          <w:sz w:val="20"/>
        </w:rPr>
        <w:t xml:space="preserve">.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Number and Qualification</w:t>
      </w:r>
      <w:r>
        <w:rPr>
          <w:rFonts w:ascii="Times New Roman" w:hAnsi="Times New Roman"/>
          <w:sz w:val="20"/>
        </w:rPr>
        <w:t xml:space="preserve">. Unless otherwise provided in the Certificate of Incorporation or in these By-laws, the number of directors which shall constitute the whole board shall be determined from time to time by resolution of the Board of Directors. Directors need not be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Vacancies; Reduction of Board</w:t>
      </w:r>
      <w:r>
        <w:rPr>
          <w:rFonts w:ascii="Times New Roman" w:hAnsi="Times New Roman"/>
          <w:sz w:val="20"/>
        </w:rPr>
        <w:t xml:space="preserve">.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Tenure</w:t>
      </w:r>
      <w:r>
        <w:rPr>
          <w:rFonts w:ascii="Times New Roman" w:hAnsi="Times New Roman"/>
          <w:sz w:val="20"/>
        </w:rPr>
        <w:t xml:space="preserve">.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Removal</w:t>
      </w:r>
      <w:r>
        <w:rPr>
          <w:rFonts w:ascii="Times New Roman" w:hAnsi="Times New Roman"/>
          <w:sz w:val="20"/>
        </w:rPr>
        <w:t xml:space="preserve">. To the extent permitted by law, a director may be removed from office with or without cause by vote of the holders of a majority of the shares of stock entitled to vote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Meetings</w:t>
      </w:r>
      <w:r>
        <w:rPr>
          <w:rFonts w:ascii="Times New Roman" w:hAnsi="Times New Roman"/>
          <w:sz w:val="20"/>
        </w:rPr>
        <w:t xml:space="preserve">.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Meetings</w:t>
      </w:r>
      <w:r>
        <w:rPr>
          <w:rFonts w:ascii="Times New Roman" w:hAnsi="Times New Roman"/>
          <w:sz w:val="20"/>
        </w:rPr>
        <w:t xml:space="preserve">.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Quorum</w:t>
      </w:r>
      <w:r>
        <w:rPr>
          <w:rFonts w:ascii="Times New Roman" w:hAnsi="Times New Roman"/>
          <w:sz w:val="20"/>
        </w:rPr>
        <w:t xml:space="preserve">. At any meeting of the Board of Directors, the greater of (a) a majority of the directors then in office at the time quorum is to be determined and (b) one-third of the total number of directors fixed pursuant to Section 2(b) of these By-laws shall constitute a quorum for the transaction of business. Less than a quorum may adjourn any meeting from time to time and the meeting may be held as adjourned without further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Action at Meeting</w:t>
      </w:r>
      <w:r>
        <w:rPr>
          <w:rFonts w:ascii="Times New Roman" w:hAnsi="Times New Roman"/>
          <w:sz w:val="20"/>
        </w:rPr>
        <w:t xml:space="preserve">.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Action by Consent</w:t>
      </w:r>
      <w:r>
        <w:rPr>
          <w:rFonts w:ascii="Times New Roman" w:hAnsi="Times New Roman"/>
          <w:sz w:val="20"/>
        </w:rPr>
        <w:t xml:space="preserve">.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Committees</w:t>
      </w:r>
      <w:r>
        <w:rPr>
          <w:rFonts w:ascii="Times New Roman" w:hAnsi="Times New Roman"/>
          <w:sz w:val="20"/>
        </w:rPr>
        <w:t xml:space="preserve">.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w:t>
      </w:r>
    </w:p>
    <w:p>
      <w:pPr>
        <w:pStyle w:val="TextBody"/>
        <w:bidi w:val="0"/>
        <w:spacing w:before="240" w:after="0"/>
        <w:jc w:val="left"/>
        <w:rPr>
          <w:rFonts w:ascii="Times New Roman" w:hAnsi="Times New Roman"/>
          <w:sz w:val="20"/>
        </w:rPr>
      </w:pPr>
      <w:r>
        <w:rPr>
          <w:rFonts w:ascii="Times New Roman" w:hAnsi="Times New Roman"/>
          <w:sz w:val="20"/>
        </w:rPr>
        <w:t xml:space="preserve">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 </w:t>
      </w:r>
    </w:p>
    <w:p>
      <w:pPr>
        <w:pStyle w:val="TextBody"/>
        <w:bidi w:val="0"/>
        <w:spacing w:before="240" w:after="0"/>
        <w:jc w:val="left"/>
        <w:rPr>
          <w:rFonts w:ascii="Times New Roman" w:hAnsi="Times New Roman"/>
          <w:sz w:val="20"/>
        </w:rPr>
      </w:pPr>
      <w:r>
        <w:rPr>
          <w:rFonts w:ascii="Times New Roman" w:hAnsi="Times New Roman"/>
          <w:sz w:val="20"/>
        </w:rPr>
        <w:t xml:space="preserve">3. Officers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Enumeration</w:t>
      </w:r>
      <w:r>
        <w:rPr>
          <w:rFonts w:ascii="Times New Roman" w:hAnsi="Times New Roman"/>
          <w:sz w:val="20"/>
        </w:rPr>
        <w:t xml:space="preserve">.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w:t>
      </w:r>
      <w:r>
        <w:rPr>
          <w:rFonts w:ascii="Times New Roman" w:hAnsi="Times New Roman"/>
          <w:sz w:val="20"/>
        </w:rPr>
        <w:t xml:space="preserve">. The Presidents, Treasurer and Secretary shall be elected annually by the Board of Directors at their first meeting following the annual meeting of stockholders. Other officers may be chosen by the Board of Directors at such meeting or at any other meeting.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Qualification</w:t>
      </w:r>
      <w:r>
        <w:rPr>
          <w:rFonts w:ascii="Times New Roman" w:hAnsi="Times New Roman"/>
          <w:sz w:val="20"/>
        </w:rPr>
        <w:t xml:space="preserve">.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Tenure</w:t>
      </w:r>
      <w:r>
        <w:rPr>
          <w:rFonts w:ascii="Times New Roman" w:hAnsi="Times New Roman"/>
          <w:sz w:val="20"/>
        </w:rPr>
        <w:t xml:space="preserve">.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Removal</w:t>
      </w:r>
      <w:r>
        <w:rPr>
          <w:rFonts w:ascii="Times New Roman" w:hAnsi="Times New Roman"/>
          <w:sz w:val="20"/>
        </w:rPr>
        <w:t xml:space="preserve">. The Board of Directors may remove any officer with or without cause by a vote of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Vacancies</w:t>
      </w:r>
      <w:r>
        <w:rPr>
          <w:rFonts w:ascii="Times New Roman" w:hAnsi="Times New Roman"/>
          <w:sz w:val="20"/>
        </w:rPr>
        <w:t xml:space="preserve">.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Chairman of the Board and Vice Chairman</w:t>
      </w:r>
      <w:r>
        <w:rPr>
          <w:rFonts w:ascii="Times New Roman" w:hAnsi="Times New Roman"/>
          <w:sz w:val="20"/>
        </w:rPr>
        <w:t xml:space="preserve">.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Chief Executive Officer</w:t>
      </w:r>
      <w:r>
        <w:rPr>
          <w:rFonts w:ascii="Times New Roman" w:hAnsi="Times New Roman"/>
          <w:sz w:val="20"/>
        </w:rPr>
        <w:t xml:space="preserve">. The Chief Executive Officer,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Presidents</w:t>
      </w:r>
      <w:r>
        <w:rPr>
          <w:rFonts w:ascii="Times New Roman" w:hAnsi="Times New Roman"/>
          <w:sz w:val="20"/>
        </w:rPr>
        <w:t xml:space="preserve">.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Vice Presidents and Assistant Vice Presidents</w:t>
      </w:r>
      <w:r>
        <w:rPr>
          <w:rFonts w:ascii="Times New Roman" w:hAnsi="Times New Roman"/>
          <w:sz w:val="20"/>
        </w:rPr>
        <w:t xml:space="preserve">. Any Vice President (including any Executive Vice President or Senior Vice President) and any Assistant Vice President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Treasurer and Assistant Treasurers</w:t>
      </w:r>
      <w:r>
        <w:rPr>
          <w:rFonts w:ascii="Times New Roman" w:hAnsi="Times New Roman"/>
          <w:sz w:val="20"/>
        </w:rPr>
        <w:t xml:space="preserve">.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Any Assistant Treasurer shall have such powers and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Secretary and Assistant Secretaries</w:t>
      </w:r>
      <w:r>
        <w:rPr>
          <w:rFonts w:ascii="Times New Roman" w:hAnsi="Times New Roman"/>
          <w:sz w:val="20"/>
        </w:rPr>
        <w:t xml:space="preserve">.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Assistant Secretary shall have such powers and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Other Powers and Duties</w:t>
      </w:r>
      <w:r>
        <w:rPr>
          <w:rFonts w:ascii="Times New Roman" w:hAnsi="Times New Roman"/>
          <w:sz w:val="20"/>
        </w:rPr>
        <w:t xml:space="preserve">.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4.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Certificates of Stock</w:t>
      </w:r>
      <w:r>
        <w:rPr>
          <w:rFonts w:ascii="Times New Roman" w:hAnsi="Times New Roman"/>
          <w:sz w:val="20"/>
        </w:rPr>
        <w:t xml:space="preserve">. Each stockholder shall be entitled to a certificate of the capital stock of the Corporation in such form as may from time to time be prescribed by the Board of Directors. Such certificate shall be signed by, or in the name of, the Corporation by any two (2) authorized officers of the Corporation.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Transfers</w:t>
      </w:r>
      <w:r>
        <w:rPr>
          <w:rFonts w:ascii="Times New Roman" w:hAnsi="Times New Roman"/>
          <w:sz w:val="20"/>
        </w:rPr>
        <w:t xml:space="preserve">.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Record Holders</w:t>
      </w:r>
      <w:r>
        <w:rPr>
          <w:rFonts w:ascii="Times New Roman" w:hAnsi="Times New Roman"/>
          <w:sz w:val="20"/>
        </w:rPr>
        <w:t xml:space="preserve">.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It shall be the duty of each stockholder to notify the Corporation of such stockholders post office address.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Certificates</w:t>
      </w:r>
      <w:r>
        <w:rPr>
          <w:rFonts w:ascii="Times New Roman" w:hAnsi="Times New Roman"/>
          <w:sz w:val="20"/>
        </w:rPr>
        <w:t xml:space="preserve">.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Definitions</w:t>
      </w:r>
      <w:r>
        <w:rPr>
          <w:rFonts w:ascii="Times New Roman" w:hAnsi="Times New Roman"/>
          <w:sz w:val="20"/>
        </w:rPr>
        <w:t xml:space="preserve">. For purposes of this Section 5: </w:t>
      </w:r>
    </w:p>
    <w:p>
      <w:pPr>
        <w:pStyle w:val="TextBody"/>
        <w:bidi w:val="0"/>
        <w:spacing w:before="120" w:after="0"/>
        <w:jc w:val="left"/>
        <w:rPr>
          <w:rFonts w:ascii="Times New Roman" w:hAnsi="Times New Roman"/>
          <w:sz w:val="20"/>
        </w:rPr>
      </w:pPr>
      <w:r>
        <w:rPr>
          <w:rFonts w:ascii="Times New Roman" w:hAnsi="Times New Roman"/>
          <w:sz w:val="20"/>
        </w:rPr>
        <w:t xml:space="preserve">(i) Corporate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Section 5(a)(i),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Director means any person who serves or has served the Corporation as a director on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(iii) Disinterested Director means, with respect to each Proceeding in respect of which indemnification is sought hereunder, a Director of the Corporation who is not and was not a party to such Proceeding; </w:t>
      </w:r>
    </w:p>
    <w:p>
      <w:pPr>
        <w:pStyle w:val="TextBody"/>
        <w:bidi w:val="0"/>
        <w:spacing w:before="120" w:after="0"/>
        <w:jc w:val="left"/>
        <w:rPr>
          <w:rFonts w:ascii="Times New Roman" w:hAnsi="Times New Roman"/>
          <w:sz w:val="20"/>
        </w:rPr>
      </w:pPr>
      <w:r>
        <w:rPr>
          <w:rFonts w:ascii="Times New Roman" w:hAnsi="Times New Roman"/>
          <w:sz w:val="20"/>
        </w:rPr>
        <w:t xml:space="preserve">(iv) Expenses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120" w:after="0"/>
        <w:jc w:val="left"/>
        <w:rPr>
          <w:rFonts w:ascii="Times New Roman" w:hAnsi="Times New Roman"/>
          <w:sz w:val="20"/>
        </w:rPr>
      </w:pPr>
      <w:r>
        <w:rPr>
          <w:rFonts w:ascii="Times New Roman" w:hAnsi="Times New Roman"/>
          <w:sz w:val="20"/>
        </w:rPr>
        <w:t xml:space="preserve">(v) Liabilities means judgments, damages, liabilities, losses, penalties, excise taxes, fines and amounts paid in settlement; </w:t>
      </w:r>
    </w:p>
    <w:p>
      <w:pPr>
        <w:pStyle w:val="TextBody"/>
        <w:bidi w:val="0"/>
        <w:spacing w:before="120" w:after="0"/>
        <w:jc w:val="left"/>
        <w:rPr>
          <w:rFonts w:ascii="Times New Roman" w:hAnsi="Times New Roman"/>
          <w:sz w:val="20"/>
        </w:rPr>
      </w:pPr>
      <w:r>
        <w:rPr>
          <w:rFonts w:ascii="Times New Roman" w:hAnsi="Times New Roman"/>
          <w:sz w:val="20"/>
        </w:rPr>
        <w:t xml:space="preserve">(vi) Non-Officer Employee means any person who serves or has served as an employee or agent of the Corporation, but who is not or was not a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Officer means any person who serves or has served the Corporation as an officer of the Corporation appointed by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(viii) Proceeding means any threatened, pending or completed action, suit, arbitration, alternate dispute resolution mechanism, inquiry, investigation, administrative hearing or other proceeding, whether civil, criminal, administrative, arbitrative or investigative; and </w:t>
      </w:r>
    </w:p>
    <w:p>
      <w:pPr>
        <w:pStyle w:val="TextBody"/>
        <w:bidi w:val="0"/>
        <w:spacing w:before="120" w:after="0"/>
        <w:jc w:val="left"/>
        <w:rPr>
          <w:rFonts w:ascii="Times New Roman" w:hAnsi="Times New Roman"/>
          <w:sz w:val="20"/>
        </w:rPr>
      </w:pPr>
      <w:r>
        <w:rPr>
          <w:rFonts w:ascii="Times New Roman" w:hAnsi="Times New Roman"/>
          <w:sz w:val="20"/>
        </w:rPr>
        <w:t xml:space="preserve">(ix) Subsidiary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Directors and Officers</w:t>
      </w:r>
      <w:r>
        <w:rPr>
          <w:rFonts w:ascii="Times New Roman" w:hAnsi="Times New Roman"/>
          <w:sz w:val="20"/>
        </w:rPr>
        <w:t xml:space="preserve">. Subject to the operation of Section 5(d)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subsections (i) through (iv) of this Section 5(b).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Actions, Suits and Proceedings Other than By or In the Right of the Corporation</w:t>
      </w:r>
      <w:r>
        <w:rPr>
          <w:rFonts w:ascii="Times New Roman" w:hAnsi="Times New Roman"/>
          <w:sz w:val="20"/>
        </w:rPr>
        <w:t xml:space="preserve">.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Actions, Suits and Proceedings By or In the Right of the Corporation</w:t>
      </w:r>
      <w:r>
        <w:rPr>
          <w:rFonts w:ascii="Times New Roman" w:hAnsi="Times New Roman"/>
          <w:sz w:val="20"/>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Survival of Rights</w:t>
      </w:r>
      <w:r>
        <w:rPr>
          <w:rFonts w:ascii="Times New Roman" w:hAnsi="Times New Roman"/>
          <w:sz w:val="20"/>
        </w:rPr>
        <w:t xml:space="preserve">. The rights of indemnification provided by this Section 5(b) shall continue as to a Director or Officer after he or she has ceased to be a Director or Officer and shall inure to the benefit of his or her heirs, executors, administrators and personal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Actions by Directors or Officers</w:t>
      </w:r>
      <w:r>
        <w:rPr>
          <w:rFonts w:ascii="Times New Roman" w:hAnsi="Times New Roman"/>
          <w:sz w:val="20"/>
        </w:rPr>
        <w:t xml:space="preserve">.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of Non-Officer Employees</w:t>
      </w:r>
      <w:r>
        <w:rPr>
          <w:rFonts w:ascii="Times New Roman" w:hAnsi="Times New Roman"/>
          <w:sz w:val="20"/>
        </w:rPr>
        <w:t xml:space="preserve">. Subject to the operation of Section 5(d)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Determination</w:t>
      </w:r>
      <w:r>
        <w:rPr>
          <w:rFonts w:ascii="Times New Roman" w:hAnsi="Times New Roman"/>
          <w:sz w:val="20"/>
        </w:rPr>
        <w:t xml:space="preserve">.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Advancement of Expenses to Directors Prior to Final Disposition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 </w:t>
      </w:r>
    </w:p>
    <w:p>
      <w:pPr>
        <w:pStyle w:val="TextBody"/>
        <w:bidi w:val="0"/>
        <w:spacing w:before="120" w:after="0"/>
        <w:jc w:val="left"/>
        <w:rPr>
          <w:rFonts w:ascii="Times New Roman" w:hAnsi="Times New Roman"/>
          <w:sz w:val="20"/>
        </w:rPr>
      </w:pPr>
      <w:r>
        <w:rPr>
          <w:rFonts w:ascii="Times New Roman" w:hAnsi="Times New Roman"/>
          <w:sz w:val="20"/>
        </w:rPr>
        <w:t xml:space="preserve">(ii)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(iii)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Advancement of Expenses to Officers and Non-Officer Employees Prior to Final Disposition.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 </w:t>
      </w:r>
    </w:p>
    <w:p>
      <w:pPr>
        <w:pStyle w:val="TextBody"/>
        <w:bidi w:val="0"/>
        <w:spacing w:before="120" w:after="0"/>
        <w:jc w:val="left"/>
        <w:rPr>
          <w:rFonts w:ascii="Times New Roman" w:hAnsi="Times New Roman"/>
          <w:sz w:val="20"/>
        </w:rPr>
      </w:pPr>
      <w:r>
        <w:rPr>
          <w:rFonts w:ascii="Times New Roman" w:hAnsi="Times New Roman"/>
          <w:sz w:val="20"/>
        </w:rPr>
        <w:t xml:space="preserve">(ii)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Contractual Nature of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provisions of this Section 5 shall be deemed to be a contract between the Corporation and each Director and Officer entitled to the benefits hereof at any time while this Section 5 is in effect, in consideration of such persons past or current and any future performance of services for the Corporation. Neither amendment, repeal or modification of any provision of this Section 5 nor the adoption of any provision of the Certificate of Incorporation inconsistent with this Section 5 shall eliminate or reduce any right conferred by this Section 5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Section 5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(ii)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Section 5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Non-Exclusivity of Rights</w:t>
      </w:r>
      <w:r>
        <w:rPr>
          <w:rFonts w:ascii="Times New Roman" w:hAnsi="Times New Roman"/>
          <w:sz w:val="20"/>
        </w:rPr>
        <w:t xml:space="preserve">. The rights to indemnification and advancement of Expenses set forth in this Section 5 shall not be exclusive of any other right which any Director, Officer, or Non-Officer Employee may have or hereafter acquire under any statute, provision of the Certificate or these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Insurance</w:t>
      </w:r>
      <w:r>
        <w:rPr>
          <w:rFonts w:ascii="Times New Roman" w:hAnsi="Times New Roman"/>
          <w:sz w:val="20"/>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Section 5.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Other Indemnification</w:t>
      </w:r>
      <w:r>
        <w:rPr>
          <w:rFonts w:ascii="Times New Roman" w:hAnsi="Times New Roman"/>
          <w:sz w:val="20"/>
        </w:rPr>
        <w:t xml:space="preserve">. The Corporations obligation, if any, to indemnify or provide advancement of Expenses to any person under this Section 5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Section 5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6.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Fiscal Year</w:t>
      </w:r>
      <w:r>
        <w:rPr>
          <w:rFonts w:ascii="Times New Roman" w:hAnsi="Times New Roman"/>
          <w:sz w:val="20"/>
        </w:rPr>
        <w:t xml:space="preserve">. Except as otherwise determined by the Board of Directors, the fiscal year of the Corporation shall end on December 31 of each year.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Seal</w:t>
      </w:r>
      <w:r>
        <w:rPr>
          <w:rFonts w:ascii="Times New Roman" w:hAnsi="Times New Roman"/>
          <w:sz w:val="20"/>
        </w:rPr>
        <w:t xml:space="preserve">.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Execution of Instruments</w:t>
      </w:r>
      <w:r>
        <w:rPr>
          <w:rFonts w:ascii="Times New Roman" w:hAnsi="Times New Roman"/>
          <w:sz w:val="20"/>
        </w:rPr>
        <w:t xml:space="preserve">.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of Securities</w:t>
      </w:r>
      <w:r>
        <w:rPr>
          <w:rFonts w:ascii="Times New Roman" w:hAnsi="Times New Roman"/>
          <w:sz w:val="20"/>
        </w:rPr>
        <w:t xml:space="preserve">.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Resident Agent</w:t>
      </w:r>
      <w:r>
        <w:rPr>
          <w:rFonts w:ascii="Times New Roman" w:hAnsi="Times New Roman"/>
          <w:sz w:val="20"/>
        </w:rPr>
        <w:t xml:space="preserve">. The Board of Directors may appoint a resident agent upon whom legal process may be served in any action or proceeding against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Corporate Records</w:t>
      </w:r>
      <w:r>
        <w:rPr>
          <w:rFonts w:ascii="Times New Roman" w:hAnsi="Times New Roman"/>
          <w:sz w:val="20"/>
        </w:rPr>
        <w:t xml:space="preserve">.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Certificate of Incorporation</w:t>
      </w:r>
      <w:r>
        <w:rPr>
          <w:rFonts w:ascii="Times New Roman" w:hAnsi="Times New Roman"/>
          <w:sz w:val="20"/>
        </w:rPr>
        <w:t xml:space="preserve">. All references in these By-laws to the Certificate of Incorporation shall be deemed to refer to the Certificate of Incorporation of the Corporation, as amended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Amendments</w:t>
      </w:r>
      <w:r>
        <w:rPr>
          <w:rFonts w:ascii="Times New Roman" w:hAnsi="Times New Roman"/>
          <w:sz w:val="20"/>
        </w:rPr>
        <w:t xml:space="preserve">.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 of Notice</w:t>
      </w:r>
      <w:r>
        <w:rPr>
          <w:rFonts w:ascii="Times New Roman" w:hAnsi="Times New Roman"/>
          <w:sz w:val="20"/>
        </w:rPr>
        <w:t xml:space="preserve">.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Adopted February 10,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right"/>
        <w:rPr>
          <w:rFonts w:ascii="Times New Roman" w:hAnsi="Times New Roman"/>
          <w:b/>
          <w:sz w:val="20"/>
        </w:rPr>
      </w:pPr>
      <w:bookmarkStart w:id="42" w:name="d803738dex41.htm"/>
      <w:bookmarkStart w:id="43" w:name="ksd803738dex41"/>
      <w:bookmarkEnd w:id="42"/>
      <w:bookmarkEnd w:id="4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743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10500" cy="47434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553075" cy="9144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53075" cy="9144000"/>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44" w:name="d803738dex42.htm"/>
      <w:bookmarkStart w:id="45" w:name="ksd803738dex42"/>
      <w:bookmarkEnd w:id="44"/>
      <w:bookmarkEnd w:id="4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INVESTORS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7, 2023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8"/>
        <w:gridCol w:w="267"/>
        <w:gridCol w:w="90"/>
        <w:gridCol w:w="397"/>
        <w:gridCol w:w="63"/>
      </w:tblGrid>
      <w:tr>
        <w:trPr/>
        <w:tc>
          <w:tcPr>
            <w:tcW w:w="9388"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8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1.   </w:t>
            </w:r>
            <w:r>
              <w:rPr>
                <w:rFonts w:ascii="Times New Roman" w:hAnsi="Times New Roman"/>
                <w:sz w:val="20"/>
                <w:u w:val="single"/>
              </w:rPr>
              <w:t>Definitions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388" w:type="dxa"/>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2.   </w:t>
            </w:r>
            <w:r>
              <w:rPr>
                <w:rFonts w:ascii="Times New Roman" w:hAnsi="Times New Roman"/>
                <w:sz w:val="20"/>
                <w:u w:val="single"/>
              </w:rPr>
              <w:t>Registration Rights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Demand Registration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Company Registration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Underwriting Requirements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Obligations of the Company</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Furnish Information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Expenses of Registration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Delay of Registration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Indemnification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2.9  </w:t>
            </w:r>
            <w:r>
              <w:rPr>
                <w:rFonts w:ascii="Times New Roman" w:hAnsi="Times New Roman"/>
                <w:sz w:val="20"/>
                <w:u w:val="single"/>
              </w:rPr>
              <w:t>Reports Under Exchange Act</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2.10  </w:t>
            </w:r>
            <w:r>
              <w:rPr>
                <w:rFonts w:ascii="Times New Roman" w:hAnsi="Times New Roman"/>
                <w:sz w:val="20"/>
                <w:u w:val="single"/>
              </w:rPr>
              <w:t>Limitations on Subsequent Registration Rights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2.11  </w:t>
            </w:r>
            <w:r>
              <w:rPr>
                <w:rFonts w:ascii="Times New Roman" w:hAnsi="Times New Roman"/>
                <w:sz w:val="20"/>
                <w:u w:val="single"/>
              </w:rPr>
              <w:t>Market Stand-off Agreement</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2.12  </w:t>
            </w:r>
            <w:r>
              <w:rPr>
                <w:rFonts w:ascii="Times New Roman" w:hAnsi="Times New Roman"/>
                <w:sz w:val="20"/>
                <w:u w:val="single"/>
              </w:rPr>
              <w:t>Restrictions on Transfer</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2.13  </w:t>
            </w:r>
            <w:r>
              <w:rPr>
                <w:rFonts w:ascii="Times New Roman" w:hAnsi="Times New Roman"/>
                <w:sz w:val="20"/>
                <w:u w:val="single"/>
              </w:rPr>
              <w:t>Termination of Registration Rights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2.14  </w:t>
            </w:r>
            <w:r>
              <w:rPr>
                <w:rFonts w:ascii="Times New Roman" w:hAnsi="Times New Roman"/>
                <w:sz w:val="20"/>
                <w:u w:val="single"/>
              </w:rPr>
              <w:t>Termination of Certain Rights of Converted Preferred Holder</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240" w:hRule="atLeast"/>
        </w:trPr>
        <w:tc>
          <w:tcPr>
            <w:tcW w:w="9388" w:type="dxa"/>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3.   </w:t>
            </w:r>
            <w:r>
              <w:rPr>
                <w:rFonts w:ascii="Times New Roman" w:hAnsi="Times New Roman"/>
                <w:sz w:val="20"/>
                <w:u w:val="single"/>
              </w:rPr>
              <w:t>Information Rights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Delivery of Financial Statements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Inspection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Termination of Information and Inspection Rights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3.4  </w:t>
            </w:r>
            <w:r>
              <w:rPr>
                <w:rFonts w:ascii="Times New Roman" w:hAnsi="Times New Roman"/>
                <w:sz w:val="20"/>
                <w:u w:val="single"/>
              </w:rPr>
              <w:t>Confidentiality</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240" w:hRule="atLeast"/>
        </w:trPr>
        <w:tc>
          <w:tcPr>
            <w:tcW w:w="9388" w:type="dxa"/>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4.   </w:t>
            </w:r>
            <w:r>
              <w:rPr>
                <w:rFonts w:ascii="Times New Roman" w:hAnsi="Times New Roman"/>
                <w:sz w:val="20"/>
                <w:u w:val="single"/>
              </w:rPr>
              <w:t>Rights to Future Stock Issuances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Right of First Offer</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Termination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240" w:hRule="atLeast"/>
        </w:trPr>
        <w:tc>
          <w:tcPr>
            <w:tcW w:w="9388" w:type="dxa"/>
            <w:tcBorders/>
            <w:vAlign w:val="center"/>
          </w:tcPr>
          <w:p>
            <w:pPr>
              <w:pStyle w:val="TableContents"/>
              <w:bidi w:val="0"/>
              <w:spacing w:before="0" w:after="283"/>
              <w:jc w:val="left"/>
              <w:rPr>
                <w:sz w:val="4"/>
                <w:szCs w:val="4"/>
              </w:rPr>
            </w:pPr>
            <w:r>
              <w:rPr>
                <w:sz w:val="4"/>
                <w:szCs w:val="4"/>
              </w:rPr>
            </w:r>
          </w:p>
        </w:tc>
        <w:tc>
          <w:tcPr>
            <w:tcW w:w="817" w:type="dxa"/>
            <w:gridSpan w:val="4"/>
            <w:tcBorders/>
            <w:vAlign w:val="center"/>
          </w:tcPr>
          <w:p>
            <w:pPr>
              <w:pStyle w:val="TableContents"/>
              <w:bidi w:val="0"/>
              <w:spacing w:before="0" w:after="283"/>
              <w:jc w:val="left"/>
              <w:rPr>
                <w:sz w:val="4"/>
                <w:szCs w:val="4"/>
              </w:rPr>
            </w:pPr>
            <w:r>
              <w:rPr>
                <w:sz w:val="4"/>
                <w:szCs w:val="4"/>
              </w:rPr>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5.   </w:t>
            </w:r>
            <w:r>
              <w:rPr>
                <w:rFonts w:ascii="Times New Roman" w:hAnsi="Times New Roman"/>
                <w:sz w:val="20"/>
                <w:u w:val="single"/>
              </w:rPr>
              <w:t>Additional Covenants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Insurance</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Employee Agreements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Employee Stock</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Matters Requiring Preferred Directors Approval</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Board Matters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Successor Indemnification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Indemnification Matters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Right to Conduct Activities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Anti-Harassment Policy</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5.10  </w:t>
            </w:r>
            <w:r>
              <w:rPr>
                <w:rFonts w:ascii="Times New Roman" w:hAnsi="Times New Roman"/>
                <w:sz w:val="20"/>
                <w:u w:val="single"/>
              </w:rPr>
              <w:t>FCPA</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5.11  </w:t>
            </w:r>
            <w:r>
              <w:rPr>
                <w:rFonts w:ascii="Times New Roman" w:hAnsi="Times New Roman"/>
                <w:sz w:val="20"/>
                <w:u w:val="single"/>
              </w:rPr>
              <w:t>Cybersecurity</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5.12  </w:t>
            </w:r>
            <w:r>
              <w:rPr>
                <w:rFonts w:ascii="Times New Roman" w:hAnsi="Times New Roman"/>
                <w:sz w:val="20"/>
                <w:u w:val="single"/>
              </w:rPr>
              <w:t>Real Property Holding Corporation</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5.13  </w:t>
            </w:r>
            <w:r>
              <w:rPr>
                <w:rFonts w:ascii="Times New Roman" w:hAnsi="Times New Roman"/>
                <w:sz w:val="20"/>
                <w:u w:val="single"/>
              </w:rPr>
              <w:t>Equity Incentive Reserve</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5.14  </w:t>
            </w:r>
            <w:r>
              <w:rPr>
                <w:rFonts w:ascii="Times New Roman" w:hAnsi="Times New Roman"/>
                <w:sz w:val="20"/>
                <w:u w:val="single"/>
              </w:rPr>
              <w:t>Termination of Covenants</w:t>
            </w:r>
          </w:p>
        </w:tc>
        <w:tc>
          <w:tcPr>
            <w:tcW w:w="26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3"/>
        <w:gridCol w:w="172"/>
        <w:gridCol w:w="60"/>
        <w:gridCol w:w="267"/>
        <w:gridCol w:w="63"/>
      </w:tblGrid>
      <w:tr>
        <w:trPr/>
        <w:tc>
          <w:tcPr>
            <w:tcW w:w="9643"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6.   </w:t>
            </w:r>
            <w:r>
              <w:rPr>
                <w:rFonts w:ascii="Times New Roman" w:hAnsi="Times New Roman"/>
                <w:sz w:val="20"/>
                <w:u w:val="single"/>
              </w:rPr>
              <w:t>Miscellaneous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Successors and Assigns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Governing Law</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Counterparts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6.4  </w:t>
            </w:r>
            <w:r>
              <w:rPr>
                <w:rFonts w:ascii="Times New Roman" w:hAnsi="Times New Roman"/>
                <w:sz w:val="20"/>
                <w:u w:val="single"/>
              </w:rPr>
              <w:t>Titles and Subtitles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6.5  </w:t>
            </w:r>
            <w:r>
              <w:rPr>
                <w:rFonts w:ascii="Times New Roman" w:hAnsi="Times New Roman"/>
                <w:sz w:val="20"/>
                <w:u w:val="single"/>
              </w:rPr>
              <w:t>Notices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6.6  </w:t>
            </w:r>
            <w:r>
              <w:rPr>
                <w:rFonts w:ascii="Times New Roman" w:hAnsi="Times New Roman"/>
                <w:sz w:val="20"/>
                <w:u w:val="single"/>
              </w:rPr>
              <w:t>Amendments and Waivers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6.7  </w:t>
            </w:r>
            <w:r>
              <w:rPr>
                <w:rFonts w:ascii="Times New Roman" w:hAnsi="Times New Roman"/>
                <w:sz w:val="20"/>
                <w:u w:val="single"/>
              </w:rPr>
              <w:t>Severability</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6.8  </w:t>
            </w:r>
            <w:r>
              <w:rPr>
                <w:rFonts w:ascii="Times New Roman" w:hAnsi="Times New Roman"/>
                <w:sz w:val="20"/>
                <w:u w:val="single"/>
              </w:rPr>
              <w:t>Aggregation of Stock</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6.9  </w:t>
            </w:r>
            <w:r>
              <w:rPr>
                <w:rFonts w:ascii="Times New Roman" w:hAnsi="Times New Roman"/>
                <w:sz w:val="20"/>
                <w:u w:val="single"/>
              </w:rPr>
              <w:t>Additional Investors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6.10  </w:t>
            </w:r>
            <w:r>
              <w:rPr>
                <w:rFonts w:ascii="Times New Roman" w:hAnsi="Times New Roman"/>
                <w:sz w:val="20"/>
                <w:u w:val="single"/>
              </w:rPr>
              <w:t>Entire Agreement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6.11  </w:t>
            </w:r>
            <w:r>
              <w:rPr>
                <w:rFonts w:ascii="Times New Roman" w:hAnsi="Times New Roman"/>
                <w:sz w:val="20"/>
                <w:u w:val="single"/>
              </w:rPr>
              <w:t>Submission to Jurisdiction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6.12  </w:t>
            </w:r>
            <w:r>
              <w:rPr>
                <w:rFonts w:ascii="Times New Roman" w:hAnsi="Times New Roman"/>
                <w:sz w:val="20"/>
                <w:u w:val="single"/>
              </w:rPr>
              <w:t>Delays or Omissions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33"/>
        <w:gridCol w:w="316"/>
        <w:gridCol w:w="225"/>
        <w:gridCol w:w="124"/>
        <w:gridCol w:w="8407"/>
      </w:tblGrid>
      <w:tr>
        <w:trPr/>
        <w:tc>
          <w:tcPr>
            <w:tcW w:w="1133"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407" w:type="dxa"/>
            <w:tcBorders/>
            <w:vAlign w:val="center"/>
          </w:tcPr>
          <w:p>
            <w:pPr>
              <w:pStyle w:val="TableContents"/>
              <w:bidi w:val="0"/>
              <w:spacing w:before="0" w:after="283"/>
              <w:jc w:val="left"/>
              <w:rPr>
                <w:sz w:val="4"/>
                <w:szCs w:val="4"/>
              </w:rPr>
            </w:pPr>
            <w:r>
              <w:rPr>
                <w:sz w:val="4"/>
                <w:szCs w:val="4"/>
              </w:rPr>
            </w:r>
          </w:p>
        </w:tc>
      </w:tr>
      <w:tr>
        <w:trPr/>
        <w:tc>
          <w:tcPr>
            <w:tcW w:w="1133" w:type="dxa"/>
            <w:tcBorders/>
          </w:tcPr>
          <w:p>
            <w:pPr>
              <w:pStyle w:val="TableContents"/>
              <w:bidi w:val="0"/>
              <w:spacing w:before="0" w:after="283"/>
              <w:jc w:val="left"/>
              <w:rPr>
                <w:u w:val="single"/>
              </w:rPr>
            </w:pPr>
            <w:r>
              <w:rPr>
                <w:u w:val="single"/>
              </w:rPr>
              <w:t>Schedule A</w:t>
            </w:r>
          </w:p>
        </w:tc>
        <w:tc>
          <w:tcPr>
            <w:tcW w:w="31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center"/>
              <w:rPr/>
            </w:pPr>
            <w:r>
              <w:rPr/>
              <w:t>- </w:t>
            </w:r>
          </w:p>
        </w:tc>
        <w:tc>
          <w:tcPr>
            <w:tcW w:w="124" w:type="dxa"/>
            <w:tcBorders/>
            <w:vAlign w:val="bottom"/>
          </w:tcPr>
          <w:p>
            <w:pPr>
              <w:pStyle w:val="TableContents"/>
              <w:bidi w:val="0"/>
              <w:spacing w:before="0" w:after="283"/>
              <w:jc w:val="left"/>
              <w:rPr/>
            </w:pPr>
            <w:r>
              <w:rPr/>
              <w:t>  </w:t>
            </w:r>
          </w:p>
        </w:tc>
        <w:tc>
          <w:tcPr>
            <w:tcW w:w="8407" w:type="dxa"/>
            <w:tcBorders/>
          </w:tcPr>
          <w:p>
            <w:pPr>
              <w:pStyle w:val="TableContents"/>
              <w:bidi w:val="0"/>
              <w:spacing w:before="0" w:after="283"/>
              <w:jc w:val="left"/>
              <w:rPr/>
            </w:pPr>
            <w:r>
              <w:rPr/>
              <w:t>Schedule of Investors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INVESTORS RIGHTS AGREEMENT (this </w:t>
      </w:r>
      <w:r>
        <w:rPr>
          <w:rFonts w:ascii="Times New Roman" w:hAnsi="Times New Roman"/>
          <w:b/>
          <w:sz w:val="20"/>
        </w:rPr>
        <w:t>Agreement</w:t>
      </w:r>
      <w:r>
        <w:rPr>
          <w:rFonts w:ascii="Times New Roman" w:hAnsi="Times New Roman"/>
          <w:sz w:val="20"/>
        </w:rPr>
        <w:t>), is made as of the 7th day of August, 2023, by and among Rapport Therapeutics, Inc., a Delaware corporation (the </w:t>
      </w:r>
      <w:r>
        <w:rPr>
          <w:rFonts w:ascii="Times New Roman" w:hAnsi="Times New Roman"/>
          <w:b/>
          <w:sz w:val="20"/>
        </w:rPr>
        <w:t>Company</w:t>
      </w:r>
      <w:r>
        <w:rPr>
          <w:rFonts w:ascii="Times New Roman" w:hAnsi="Times New Roman"/>
          <w:sz w:val="20"/>
        </w:rPr>
        <w:t xml:space="preserve">) and each of the investors listed on </w:t>
      </w:r>
      <w:r>
        <w:rPr>
          <w:rFonts w:ascii="Times New Roman" w:hAnsi="Times New Roman"/>
          <w:sz w:val="20"/>
          <w:u w:val="single"/>
        </w:rPr>
        <w:t>Schedule A</w:t>
      </w:r>
      <w:r>
        <w:rPr>
          <w:rFonts w:ascii="Times New Roman" w:hAnsi="Times New Roman"/>
          <w:sz w:val="20"/>
        </w:rPr>
        <w:t xml:space="preserve"> hereto, each of which is referred to in this Agreement as an </w:t>
      </w:r>
      <w:r>
        <w:rPr>
          <w:rFonts w:ascii="Times New Roman" w:hAnsi="Times New Roman"/>
          <w:b/>
          <w:sz w:val="20"/>
        </w:rPr>
        <w:t>Investor</w:t>
      </w:r>
      <w:r>
        <w:rPr>
          <w:rFonts w:ascii="Times New Roman" w:hAnsi="Times New Roman"/>
          <w:sz w:val="20"/>
        </w:rPr>
        <w:t>, together with any subsequent investor, or transferees, who become parties hereto as Investors pursuant to Subsection 6.9, collectively, the </w:t>
      </w:r>
      <w:r>
        <w:rPr>
          <w:rFonts w:ascii="Times New Roman" w:hAnsi="Times New Roman"/>
          <w:b/>
          <w:sz w:val="20"/>
        </w:rPr>
        <w:t>Investors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of the Investors (the </w:t>
      </w:r>
      <w:r>
        <w:rPr>
          <w:rFonts w:ascii="Times New Roman" w:hAnsi="Times New Roman"/>
          <w:b/>
          <w:sz w:val="20"/>
        </w:rPr>
        <w:t>Existing Investors</w:t>
      </w:r>
      <w:r>
        <w:rPr>
          <w:rFonts w:ascii="Times New Roman" w:hAnsi="Times New Roman"/>
          <w:sz w:val="20"/>
        </w:rPr>
        <w:t>) hold shares of Series A Preferred Stock and possess registration rights, information rights, rights of first offer, and other rights pursuant to an Investors Rights Agreement, dated as of December 9, 2022 and amended on February 17, 2023, between the Company and such Existing Investors (the </w:t>
      </w:r>
      <w:r>
        <w:rPr>
          <w:rFonts w:ascii="Times New Roman" w:hAnsi="Times New Roman"/>
          <w:b/>
          <w:sz w:val="20"/>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Existing Investors are holders of a majority of Registrable Securities (as defined in Prior Agreement) and desire to amend and restate the Prior Agreement in its entirety and to accept the rights created pursuant to this Agreement in lieu of the rights granted to them under the Prior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of the Investors are parties to that certain Series B Preferred Stock Purchase Agreement of even date herewith by and among the Company and such Investors (as the same may be amended or restated from time to time, the </w:t>
      </w:r>
      <w:r>
        <w:rPr>
          <w:rFonts w:ascii="Times New Roman" w:hAnsi="Times New Roman"/>
          <w:b/>
          <w:sz w:val="20"/>
        </w:rPr>
        <w:t>Purchase Agreement</w:t>
      </w:r>
      <w:r>
        <w:rPr>
          <w:rFonts w:ascii="Times New Roman" w:hAnsi="Times New Roman"/>
          <w:sz w:val="20"/>
        </w:rPr>
        <w:t xml:space="preserve">), under which certain of the Companys and such Investors obligations are conditioned upon the execution and delivery of this Agreement by the Investors, Existing Investors holding a majority of the Registrable Securities and the Company.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Company and the Existing Investors hereby agree to amend and restate the Prior Agreement in its entirety as set forth herein, and all of the parties hereto further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sz w:val="20"/>
        </w:rPr>
        <w:t>Affiliate</w:t>
      </w:r>
      <w:r>
        <w:rPr>
          <w:rFonts w:ascii="Times New Roman" w:hAnsi="Times New Roman"/>
          <w:sz w:val="20"/>
        </w:rPr>
        <w:t> means, with respect to any specified Person, any other Person who or which, directly or indirectly, controls, is controlled by, or is under common control with such specified Person, including, without limitation, any partner, member, officer, director, trustee or employee of such specified Person and any venture capital fund or other investment fund now or hereafter existing that is controlled by or under common control with one or more general partners, managing members or investment advisers of, or shares the same management company or investment adviser with, such specified Person. Third Rock Ventures V, L.P. (</w:t>
      </w:r>
      <w:r>
        <w:rPr>
          <w:rFonts w:ascii="Times New Roman" w:hAnsi="Times New Roman"/>
          <w:b/>
          <w:sz w:val="20"/>
        </w:rPr>
        <w:t>TRV Fund V</w:t>
      </w:r>
      <w:r>
        <w:rPr>
          <w:rFonts w:ascii="Times New Roman" w:hAnsi="Times New Roman"/>
          <w:sz w:val="20"/>
        </w:rPr>
        <w:t>), Third Rock Ventures VI, L.P. (</w:t>
      </w:r>
      <w:r>
        <w:rPr>
          <w:rFonts w:ascii="Times New Roman" w:hAnsi="Times New Roman"/>
          <w:b/>
          <w:sz w:val="20"/>
        </w:rPr>
        <w:t>TRV Fund VI</w:t>
      </w:r>
      <w:r>
        <w:rPr>
          <w:rFonts w:ascii="Times New Roman" w:hAnsi="Times New Roman"/>
          <w:sz w:val="20"/>
        </w:rPr>
        <w:t> and, together with TRV Fund V, </w:t>
      </w:r>
      <w:r>
        <w:rPr>
          <w:rFonts w:ascii="Times New Roman" w:hAnsi="Times New Roman"/>
          <w:b/>
          <w:sz w:val="20"/>
        </w:rPr>
        <w:t>TRV</w:t>
      </w:r>
      <w:r>
        <w:rPr>
          <w:rFonts w:ascii="Times New Roman" w:hAnsi="Times New Roman"/>
          <w:sz w:val="20"/>
        </w:rPr>
        <w:t>), Johnson &amp; Johnson Innovation  JJDC, Inc. (</w:t>
      </w:r>
      <w:r>
        <w:rPr>
          <w:rFonts w:ascii="Times New Roman" w:hAnsi="Times New Roman"/>
          <w:b/>
          <w:sz w:val="20"/>
        </w:rPr>
        <w:t>JJDC</w:t>
      </w:r>
      <w:r>
        <w:rPr>
          <w:rFonts w:ascii="Times New Roman" w:hAnsi="Times New Roman"/>
          <w:sz w:val="20"/>
        </w:rPr>
        <w:t>), ARCH Venture Fund XII, L.P. (</w:t>
      </w:r>
      <w:r>
        <w:rPr>
          <w:rFonts w:ascii="Times New Roman" w:hAnsi="Times New Roman"/>
          <w:b/>
          <w:sz w:val="20"/>
        </w:rPr>
        <w:t>ARCH</w:t>
      </w:r>
      <w:r>
        <w:rPr>
          <w:rFonts w:ascii="Times New Roman" w:hAnsi="Times New Roman"/>
          <w:sz w:val="20"/>
        </w:rPr>
        <w:t>), Cormorant, Sofinnova, GS, the T. Rowe Price Investors, the Fidelity Investors, Surveyor, SMALLCAP World Fund, Inc. (the </w:t>
      </w:r>
      <w:r>
        <w:rPr>
          <w:rFonts w:ascii="Times New Roman" w:hAnsi="Times New Roman"/>
          <w:b/>
          <w:sz w:val="20"/>
        </w:rPr>
        <w:t>Capital Group Investor</w:t>
      </w:r>
      <w:r>
        <w:rPr>
          <w:rFonts w:ascii="Times New Roman" w:hAnsi="Times New Roman"/>
          <w:sz w:val="20"/>
        </w:rPr>
        <w:t>) and the Company shall not be deemed to be Affiliated for the purposes of this Agreement; provided that, for the avoidance of doubt, (i) the entities comprising Cormorant are Affiliates of each other, (ii) the entities comprising GS are Affiliates of each other, (iii) the T. Rowe Price Investors are Affiliates of each other and (iv) the Fidelity Investors are Affiliates of each other.</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 xml:space="preserve">Board of Directors </w:t>
      </w:r>
      <w:r>
        <w:rPr>
          <w:rFonts w:ascii="Times New Roman" w:hAnsi="Times New Roman"/>
          <w:sz w:val="20"/>
        </w:rPr>
        <w:t xml:space="preserve">means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rPr>
        <w:t>Business Day</w:t>
      </w:r>
      <w:r>
        <w:rPr>
          <w:rFonts w:ascii="Times New Roman" w:hAnsi="Times New Roman"/>
          <w:sz w:val="20"/>
        </w:rPr>
        <w:t xml:space="preserve"> means a day (i) other than Saturday or Sunday and (ii) on which commercial banks are open for business in the Commonwealth of Massachusetts.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1.4 </w:t>
      </w:r>
      <w:r>
        <w:rPr>
          <w:rFonts w:ascii="Times New Roman" w:hAnsi="Times New Roman"/>
          <w:b/>
          <w:sz w:val="20"/>
        </w:rPr>
        <w:t>Certificate of Incorporation</w:t>
      </w:r>
      <w:r>
        <w:rPr>
          <w:rFonts w:ascii="Times New Roman" w:hAnsi="Times New Roman"/>
          <w:sz w:val="20"/>
        </w:rPr>
        <w:t xml:space="preserve"> means the Companys Second Amended and Restated Certificate of Incorporation, as the same may be amended, restated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rPr>
        <w:t>Common Stock</w:t>
      </w:r>
      <w:r>
        <w:rPr>
          <w:rFonts w:ascii="Times New Roman" w:hAnsi="Times New Roman"/>
          <w:sz w:val="20"/>
        </w:rPr>
        <w:t xml:space="preserve"> means shares of the Companys common stock, par value $0.001 per share.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b/>
          <w:sz w:val="20"/>
        </w:rPr>
        <w:t>Competitor</w:t>
      </w:r>
      <w:r>
        <w:rPr>
          <w:rFonts w:ascii="Times New Roman" w:hAnsi="Times New Roman"/>
          <w:sz w:val="20"/>
        </w:rPr>
        <w:t xml:space="preserve"> means a Person engaged, directly or indirectly (including through any partnership, limited liability company, corporation, joint venture or similar arrangement (whether now existing or formed hereafter)), in activities or a line of business that are directly or indirectly competitive with Companys business as then conducted or as then proposed to be conducted,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Notwithstanding anything herein to the contrary, the Company acknowledges and agrees that none of TRV, JJDC, ARCH, Cormorant, Sofinnova, GS, the T. Rowe Price Investors, the Fidelity Investors, Surveyor, the Capital Group Investor, Perceptive nor any of their respective Affiliates, shall be deemed to be a Competitor for purposes of this Agreement.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b/>
          <w:sz w:val="20"/>
        </w:rPr>
        <w:t>Converted Preferred Holder</w:t>
      </w:r>
      <w:r>
        <w:rPr>
          <w:rFonts w:ascii="Times New Roman" w:hAnsi="Times New Roman"/>
          <w:sz w:val="20"/>
        </w:rPr>
        <w:t xml:space="preserve"> means any Investor that holds shares of Common Stock issued to such Investor upon conversion of Series B Preferred Stock pursuant to a Special Mandatory Conversion (as defined in the Certificate of Incorporation) or an Investor that becomes a Defaulting Purchaser (as defined in the Purchase Agreement).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b/>
          <w:sz w:val="20"/>
        </w:rPr>
        <w:t>Cormorant</w:t>
      </w:r>
      <w:r>
        <w:rPr>
          <w:rFonts w:ascii="Times New Roman" w:hAnsi="Times New Roman"/>
          <w:sz w:val="20"/>
        </w:rPr>
        <w:t xml:space="preserve"> means, collectively, Cormorant Global Healthcare Master Fund, LP, Cormorant Private Healthcare Fund III, LP, Cormorant Private Healthcare Fund IV, LP and Cormorant Private Healthcare Fund V, LP.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b/>
          <w:sz w:val="20"/>
        </w:rPr>
        <w:t>Damages</w:t>
      </w:r>
      <w:r>
        <w:rPr>
          <w:rFonts w:ascii="Times New Roman" w:hAnsi="Times New Roman"/>
          <w:sz w:val="20"/>
        </w:rPr>
        <w:t xml:space="preserve">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b/>
          <w:sz w:val="20"/>
        </w:rPr>
        <w:t>Deemed Liquidation Event</w:t>
      </w:r>
      <w:r>
        <w:rPr>
          <w:rFonts w:ascii="Times New Roman" w:hAnsi="Times New Roman"/>
          <w:sz w:val="20"/>
        </w:rPr>
        <w:t xml:space="preserve"> shall have the meaning given to such term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b/>
          <w:sz w:val="20"/>
        </w:rPr>
        <w:t>Derivative Securities</w:t>
      </w:r>
      <w:r>
        <w:rPr>
          <w:rFonts w:ascii="Times New Roman" w:hAnsi="Times New Roman"/>
          <w:sz w:val="20"/>
        </w:rPr>
        <w:t> means any securities or rights convertible into, or exercisable or exchangeable for (in each case, directly or indirectly)</w:t>
      </w:r>
      <w:r>
        <w:rPr>
          <w:rFonts w:ascii="Times New Roman" w:hAnsi="Times New Roman"/>
          <w:b/>
          <w:sz w:val="20"/>
        </w:rPr>
        <w:t>,</w:t>
      </w:r>
      <w:r>
        <w:rPr>
          <w:rFonts w:ascii="Times New Roman" w:hAnsi="Times New Roman"/>
          <w:sz w:val="20"/>
        </w:rPr>
        <w:t xml:space="preserve"> Common Stock, including options and warrants.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1.13 </w:t>
      </w:r>
      <w:r>
        <w:rPr>
          <w:rFonts w:ascii="Times New Roman" w:hAnsi="Times New Roman"/>
          <w:b/>
          <w:sz w:val="20"/>
        </w:rPr>
        <w:t>Excluded Registration</w:t>
      </w:r>
      <w:r>
        <w:rPr>
          <w:rFonts w:ascii="Times New Roman" w:hAnsi="Times New Roman"/>
          <w:sz w:val="20"/>
        </w:rPr>
        <w:t xml:space="preserve">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b/>
          <w:sz w:val="20"/>
        </w:rPr>
        <w:t>Fidelity</w:t>
      </w:r>
      <w:r>
        <w:rPr>
          <w:rFonts w:ascii="Times New Roman" w:hAnsi="Times New Roman"/>
          <w:sz w:val="20"/>
        </w:rPr>
        <w:t xml:space="preserve"> means Fidelity Management &amp; Research Company LLC or any successor or affiliated investment adviser to the Fidelity Investors.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b/>
          <w:sz w:val="20"/>
        </w:rPr>
        <w:t>Fidelity Investors</w:t>
      </w:r>
      <w:r>
        <w:rPr>
          <w:rFonts w:ascii="Times New Roman" w:hAnsi="Times New Roman"/>
          <w:sz w:val="20"/>
        </w:rPr>
        <w:t xml:space="preserve"> means the Investors advised or sub-advised by Fidelity.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b/>
          <w:sz w:val="20"/>
        </w:rPr>
        <w:t>Form S-1</w:t>
      </w:r>
      <w:r>
        <w:rPr>
          <w:rFonts w:ascii="Times New Roman" w:hAnsi="Times New Roman"/>
          <w:sz w:val="20"/>
        </w:rPr>
        <w:t xml:space="preserve"> means such form under the Securities Act as in effect on the date hereof or any successor registration form under the Securities Act subsequently adopted by the SEC.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b/>
          <w:sz w:val="20"/>
        </w:rPr>
        <w:t>Form S-3</w:t>
      </w:r>
      <w:r>
        <w:rPr>
          <w:rFonts w:ascii="Times New Roman" w:hAnsi="Times New Roman"/>
          <w:sz w:val="20"/>
        </w:rPr>
        <w:t xml:space="preserve"> means such form under the Securities Act as in effect on the date hereof, any successor registration form under the Securities Act subsequently adopted by the SEC or any other registration form under the Securities Act adopted by the SEC that permits incorporation of substantial information by reference to other documents filed by the Company with the SEC.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b/>
          <w:sz w:val="20"/>
        </w:rPr>
        <w:t>GS</w:t>
      </w:r>
      <w:r>
        <w:rPr>
          <w:rFonts w:ascii="Times New Roman" w:hAnsi="Times New Roman"/>
          <w:sz w:val="20"/>
        </w:rPr>
        <w:t xml:space="preserve"> means West Street Life Sciences I, LP, WSLS Offshore Investments, SLP, WSLS Emp Onshore Investments, L.P., WSLS Emp Offshore Investments, L.P. and Broad Street Principal Investments LLC, together with their respective Affiliates.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b/>
          <w:sz w:val="20"/>
        </w:rPr>
        <w:t>Holder</w:t>
      </w:r>
      <w:r>
        <w:rPr>
          <w:rFonts w:ascii="Times New Roman" w:hAnsi="Times New Roman"/>
          <w:sz w:val="20"/>
        </w:rPr>
        <w:t xml:space="preserve"> means any holder of Registrable Securities who is a party to this Agreement.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b/>
          <w:sz w:val="20"/>
        </w:rPr>
        <w:t>Immediate Family Member</w:t>
      </w:r>
      <w:r>
        <w:rPr>
          <w:rFonts w:ascii="Times New Roman" w:hAnsi="Times New Roman"/>
          <w:sz w:val="20"/>
        </w:rPr>
        <w:t> means a child</w:t>
      </w:r>
      <w:r>
        <w:rPr>
          <w:rFonts w:ascii="Times New Roman" w:hAnsi="Times New Roman"/>
          <w:b/>
          <w:sz w:val="20"/>
        </w:rPr>
        <w:t xml:space="preserve">, </w:t>
      </w:r>
      <w:r>
        <w:rPr>
          <w:rFonts w:ascii="Times New Roman" w:hAnsi="Times New Roman"/>
          <w:sz w:val="20"/>
        </w:rPr>
        <w:t xml:space="preserve">stepchild, grandchild, parent, stepparent, grandparent, spouse, life partner or similarly statutorily recognized domestic partner, sibling, mother-in-law, father-in-law, son-in-law, daughter-in-law, brother-in-law, or sister-in-law, including, adoptive relationships, of a natural person referred to herein.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b/>
          <w:sz w:val="20"/>
        </w:rPr>
        <w:t>Initiating Holders</w:t>
      </w:r>
      <w:r>
        <w:rPr>
          <w:rFonts w:ascii="Times New Roman" w:hAnsi="Times New Roman"/>
          <w:sz w:val="20"/>
        </w:rPr>
        <w:t xml:space="preserve"> means, collectively, Holders who properly initiate a registration request under this Agreement.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b/>
          <w:sz w:val="20"/>
        </w:rPr>
        <w:t>IPO</w:t>
      </w:r>
      <w:r>
        <w:rPr>
          <w:rFonts w:ascii="Times New Roman" w:hAnsi="Times New Roman"/>
          <w:sz w:val="20"/>
        </w:rPr>
        <w:t xml:space="preserve"> means the Companys first underwritten public offering of its Common Stock under the Securities Act. </w:t>
      </w:r>
    </w:p>
    <w:p>
      <w:pPr>
        <w:pStyle w:val="TextBody"/>
        <w:bidi w:val="0"/>
        <w:spacing w:before="240" w:after="0"/>
        <w:jc w:val="left"/>
        <w:rPr>
          <w:rFonts w:ascii="Times New Roman" w:hAnsi="Times New Roman"/>
          <w:sz w:val="20"/>
        </w:rPr>
      </w:pPr>
      <w:r>
        <w:rPr>
          <w:rFonts w:ascii="Times New Roman" w:hAnsi="Times New Roman"/>
          <w:sz w:val="20"/>
        </w:rPr>
        <w:t>1.24 </w:t>
      </w:r>
      <w:r>
        <w:rPr>
          <w:rFonts w:ascii="Times New Roman" w:hAnsi="Times New Roman"/>
          <w:b/>
          <w:sz w:val="20"/>
        </w:rPr>
        <w:t>Major Investor</w:t>
      </w:r>
      <w:r>
        <w:rPr>
          <w:rFonts w:ascii="Times New Roman" w:hAnsi="Times New Roman"/>
          <w:sz w:val="20"/>
        </w:rPr>
        <w:t xml:space="preserve"> means, except as otherwise agreed in writing by the Company with an Investor, any Investor that, individually or together with such Investors Affiliates, holds (a) at least 2,146,344 shares of Registrable Securities (as adjusted for any stock split, stock dividend, combination, or other recapitalization or reclassification effected after the date hereof) at or after the Initial Closing (as defined in the Purchase Agreement) but before the Second Tranche Closing (as defined in the Purchase Agreement) or (b) at least 5,365,861 shares of Registrable Securities (as adjusted for any stock split, stock dividend, combination, or other recapitalization or reclassification effected after the date hereof) at or after the Second Tranche Closing and, in any case, that is not a Converted Preferred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1.25 </w:t>
      </w:r>
      <w:r>
        <w:rPr>
          <w:rFonts w:ascii="Times New Roman" w:hAnsi="Times New Roman"/>
          <w:b/>
          <w:sz w:val="20"/>
        </w:rPr>
        <w:t>New Securities</w:t>
      </w:r>
      <w:r>
        <w:rPr>
          <w:rFonts w:ascii="Times New Roman" w:hAnsi="Times New Roman"/>
          <w:sz w:val="20"/>
        </w:rPr>
        <w:t xml:space="preserve">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excluding in all cases shares of Series B Preferred Stock issued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b/>
          <w:sz w:val="20"/>
        </w:rPr>
        <w:t>Perceptive</w:t>
      </w:r>
      <w:r>
        <w:rPr>
          <w:rFonts w:ascii="Times New Roman" w:hAnsi="Times New Roman"/>
          <w:sz w:val="20"/>
        </w:rPr>
        <w:t xml:space="preserve"> means Perceptive Life Sciences Master Fund, Ltd. </w:t>
      </w:r>
    </w:p>
    <w:p>
      <w:pPr>
        <w:pStyle w:val="TextBody"/>
        <w:bidi w:val="0"/>
        <w:spacing w:before="240" w:after="0"/>
        <w:jc w:val="left"/>
        <w:rPr>
          <w:rFonts w:ascii="Times New Roman" w:hAnsi="Times New Roman"/>
          <w:sz w:val="20"/>
        </w:rPr>
      </w:pPr>
      <w:r>
        <w:rPr>
          <w:rFonts w:ascii="Times New Roman" w:hAnsi="Times New Roman"/>
          <w:sz w:val="20"/>
        </w:rPr>
        <w:t>1.27 </w:t>
      </w:r>
      <w:r>
        <w:rPr>
          <w:rFonts w:ascii="Times New Roman" w:hAnsi="Times New Roman"/>
          <w:b/>
          <w:sz w:val="20"/>
        </w:rPr>
        <w:t>Person</w:t>
      </w:r>
      <w:r>
        <w:rPr>
          <w:rFonts w:ascii="Times New Roman" w:hAnsi="Times New Roman"/>
          <w:sz w:val="20"/>
        </w:rPr>
        <w:t xml:space="preserve"> means any individual, corporation, partnership, trust, limited liability company, association or other entity. </w:t>
      </w:r>
    </w:p>
    <w:p>
      <w:pPr>
        <w:pStyle w:val="TextBody"/>
        <w:bidi w:val="0"/>
        <w:spacing w:before="240" w:after="0"/>
        <w:jc w:val="left"/>
        <w:rPr>
          <w:rFonts w:ascii="Times New Roman" w:hAnsi="Times New Roman"/>
          <w:sz w:val="20"/>
        </w:rPr>
      </w:pPr>
      <w:r>
        <w:rPr>
          <w:rFonts w:ascii="Times New Roman" w:hAnsi="Times New Roman"/>
          <w:sz w:val="20"/>
        </w:rPr>
        <w:t>1.28 </w:t>
      </w:r>
      <w:r>
        <w:rPr>
          <w:rFonts w:ascii="Times New Roman" w:hAnsi="Times New Roman"/>
          <w:b/>
          <w:sz w:val="20"/>
        </w:rPr>
        <w:t>Preferred Directors</w:t>
      </w:r>
      <w:r>
        <w:rPr>
          <w:rFonts w:ascii="Times New Roman" w:hAnsi="Times New Roman"/>
          <w:sz w:val="20"/>
        </w:rPr>
        <w:t xml:space="preserve"> means, collectively, the Series A Directors and the Series B Directors. </w:t>
      </w:r>
    </w:p>
    <w:p>
      <w:pPr>
        <w:pStyle w:val="TextBody"/>
        <w:bidi w:val="0"/>
        <w:spacing w:before="240" w:after="0"/>
        <w:jc w:val="left"/>
        <w:rPr>
          <w:rFonts w:ascii="Times New Roman" w:hAnsi="Times New Roman"/>
          <w:sz w:val="20"/>
        </w:rPr>
      </w:pPr>
      <w:r>
        <w:rPr>
          <w:rFonts w:ascii="Times New Roman" w:hAnsi="Times New Roman"/>
          <w:sz w:val="20"/>
        </w:rPr>
        <w:t>1.29 </w:t>
      </w:r>
      <w:r>
        <w:rPr>
          <w:rFonts w:ascii="Times New Roman" w:hAnsi="Times New Roman"/>
          <w:b/>
          <w:sz w:val="20"/>
        </w:rPr>
        <w:t>Preferred Stock</w:t>
      </w:r>
      <w:r>
        <w:rPr>
          <w:rFonts w:ascii="Times New Roman" w:hAnsi="Times New Roman"/>
          <w:sz w:val="20"/>
        </w:rPr>
        <w:t xml:space="preserve"> means, collectively, all shares of Series A Preferred Stock and Series B Preferred Stock.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b/>
          <w:sz w:val="20"/>
        </w:rPr>
        <w:t>Registrable Securities</w:t>
      </w:r>
      <w:r>
        <w:rPr>
          <w:rFonts w:ascii="Times New Roman" w:hAnsi="Times New Roman"/>
          <w:sz w:val="20"/>
        </w:rPr>
        <w:t xml:space="preserve"> means (i) the Common Stock issuable or issued upon conversion of the Preferred Stock, excluding any Common Stock issued upon conversion of the Series B Preferred Stock pursuant to the Special Mandatory Conversion provisions of the Certificate of Incorporation; (ii) any Common Stock, or any Common Stock issued or issuable (directly or indirectly) upon conversion and/or exercise of any other securities of the Company, acquired by the Investors after the date hereof; (iii) the Common Stock held by TRV, JJDC, or any Affiliate thereof as of the date hereof and (iv) any Common Stock issued as (or issuable upon the conversion or exercise of any warrant, right, or other security that is issued as) a dividend or other distribution with respect to, or in exchange for or in replacement of, the shares referenced in clauses (i), (ii) and (iii) above; provided that, (A) in all cases, any Registrable Securities sold by a Person in a transaction in which the applicable rights under this Agreement are not assigned pursuant to Subsection 6.1 shall cease to be Registrable Securities, and (B) for purposes of Section 2 Registrable Securities for which registration rights have terminated pursuant to </w:t>
      </w:r>
      <w:r>
        <w:rPr>
          <w:rFonts w:ascii="Times New Roman" w:hAnsi="Times New Roman"/>
          <w:sz w:val="20"/>
          <w:u w:val="single"/>
        </w:rPr>
        <w:t>Subsection 2.13</w:t>
      </w:r>
      <w:r>
        <w:rPr>
          <w:rFonts w:ascii="Times New Roman" w:hAnsi="Times New Roman"/>
          <w:sz w:val="20"/>
        </w:rPr>
        <w:t xml:space="preserve"> of this Agreement shall cease to be Registrable Securities.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b/>
          <w:sz w:val="20"/>
        </w:rPr>
        <w:t>Registrable Securities then outstanding</w:t>
      </w:r>
      <w:r>
        <w:rPr>
          <w:rFonts w:ascii="Times New Roman" w:hAnsi="Times New Roman"/>
          <w:sz w:val="20"/>
        </w:rPr>
        <w:t xml:space="preserve"> means the number of shares at a point in time determined by adding the number of shares of outstanding Common Stock that are Registrable Securities at such time and the number of shares of Common Stock issuable (directly or indirectly) at such time pursuant to then exercisable and/or convertible securities that are Registrable Securities.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b/>
          <w:sz w:val="20"/>
        </w:rPr>
        <w:t>Restricted Securities</w:t>
      </w:r>
      <w:r>
        <w:rPr>
          <w:rFonts w:ascii="Times New Roman" w:hAnsi="Times New Roman"/>
          <w:sz w:val="20"/>
        </w:rPr>
        <w:t xml:space="preserve"> means the securities of the Company required to be notated with the legend set forth in </w:t>
      </w:r>
      <w:r>
        <w:rPr>
          <w:rFonts w:ascii="Times New Roman" w:hAnsi="Times New Roman"/>
          <w:sz w:val="20"/>
          <w:u w:val="single"/>
        </w:rPr>
        <w:t>Subsection 2.12(b)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b/>
          <w:sz w:val="20"/>
        </w:rPr>
        <w:t>SEC</w:t>
      </w:r>
      <w:r>
        <w:rPr>
          <w:rFonts w:ascii="Times New Roman" w:hAnsi="Times New Roman"/>
          <w:sz w:val="20"/>
        </w:rPr>
        <w:t xml:space="preserve"> means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b/>
          <w:sz w:val="20"/>
        </w:rPr>
        <w:t>SEC Rule 144</w:t>
      </w:r>
      <w:r>
        <w:rPr>
          <w:rFonts w:ascii="Times New Roman" w:hAnsi="Times New Roman"/>
          <w:sz w:val="20"/>
        </w:rPr>
        <w:t xml:space="preserve"> means Rule 144 promulgated by the SEC under the Securities Act, or any successor provisions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b/>
          <w:sz w:val="20"/>
        </w:rPr>
        <w:t>SEC Rule 145</w:t>
      </w:r>
      <w:r>
        <w:rPr>
          <w:rFonts w:ascii="Times New Roman" w:hAnsi="Times New Roman"/>
          <w:sz w:val="20"/>
        </w:rPr>
        <w:t xml:space="preserve"> means Rule 145 promulgated by the SEC under the Securities Act, or any successor provisions. </w:t>
      </w:r>
    </w:p>
    <w:p>
      <w:pPr>
        <w:pStyle w:val="TextBody"/>
        <w:bidi w:val="0"/>
        <w:spacing w:before="240" w:after="0"/>
        <w:jc w:val="left"/>
        <w:rPr>
          <w:rFonts w:ascii="Times New Roman" w:hAnsi="Times New Roman"/>
          <w:sz w:val="20"/>
        </w:rPr>
      </w:pPr>
      <w:r>
        <w:rPr>
          <w:rFonts w:ascii="Times New Roman" w:hAnsi="Times New Roman"/>
          <w:sz w:val="20"/>
        </w:rPr>
        <w:t>1.36 </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1.37 </w:t>
      </w:r>
      <w:r>
        <w:rPr>
          <w:rFonts w:ascii="Times New Roman" w:hAnsi="Times New Roman"/>
          <w:b/>
          <w:sz w:val="20"/>
        </w:rPr>
        <w:t>Selling Expenses</w:t>
      </w:r>
      <w:r>
        <w:rPr>
          <w:rFonts w:ascii="Times New Roman" w:hAnsi="Times New Roman"/>
          <w:sz w:val="20"/>
        </w:rPr>
        <w:t xml:space="preserve"> means all underwriting discounts, selling commissions, and stock transfer taxes applicable to the sale of Registrable Securities, and fees and disbursements of counsel for any Holder, except for the fees and disbursements of the Selling Holder Counsel (as defined below) or Holder IPO Counsel (as defined below) borne and paid by the Company as provided in </w:t>
      </w:r>
      <w:r>
        <w:rPr>
          <w:rFonts w:ascii="Times New Roman" w:hAnsi="Times New Roman"/>
          <w:sz w:val="20"/>
          <w:u w:val="single"/>
        </w:rPr>
        <w:t>Subsection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b/>
          <w:sz w:val="20"/>
        </w:rPr>
        <w:t>Series A Directors</w:t>
      </w:r>
      <w:r>
        <w:rPr>
          <w:rFonts w:ascii="Times New Roman" w:hAnsi="Times New Roman"/>
          <w:sz w:val="20"/>
        </w:rPr>
        <w:t xml:space="preserve"> means the directors of the Company that the holders of record of Series A Preferred Stock are entitled to elect pursuant to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b/>
          <w:sz w:val="20"/>
        </w:rPr>
        <w:t>Series A Preferred Stock</w:t>
      </w:r>
      <w:r>
        <w:rPr>
          <w:rFonts w:ascii="Times New Roman" w:hAnsi="Times New Roman"/>
          <w:sz w:val="20"/>
        </w:rPr>
        <w:t xml:space="preserve"> means shares of the Companys Series A Preferred Stock, par value $0.001 per share.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b/>
          <w:sz w:val="20"/>
        </w:rPr>
        <w:t>Series B Directors</w:t>
      </w:r>
      <w:r>
        <w:rPr>
          <w:rFonts w:ascii="Times New Roman" w:hAnsi="Times New Roman"/>
          <w:sz w:val="20"/>
        </w:rPr>
        <w:t xml:space="preserve"> means the directors of the Company that the holders of record of Series B Preferred Stock are entitled to elect pursuant to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b/>
          <w:sz w:val="20"/>
        </w:rPr>
        <w:t>Series B Preferred Stock</w:t>
      </w:r>
      <w:r>
        <w:rPr>
          <w:rFonts w:ascii="Times New Roman" w:hAnsi="Times New Roman"/>
          <w:sz w:val="20"/>
        </w:rPr>
        <w:t xml:space="preserve"> means shares of the Companys Series B Preferred Stock, par value $0.001 per share.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b/>
          <w:sz w:val="20"/>
        </w:rPr>
        <w:t>Sofinnova</w:t>
      </w:r>
      <w:r>
        <w:rPr>
          <w:rFonts w:ascii="Times New Roman" w:hAnsi="Times New Roman"/>
          <w:sz w:val="20"/>
        </w:rPr>
        <w:t xml:space="preserve"> means Sofinnova Venture Partners XI, L.P.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b/>
          <w:sz w:val="20"/>
        </w:rPr>
        <w:t>Stockholders Agreement</w:t>
      </w:r>
      <w:r>
        <w:rPr>
          <w:rFonts w:ascii="Times New Roman" w:hAnsi="Times New Roman"/>
          <w:sz w:val="20"/>
        </w:rPr>
        <w:t xml:space="preserve"> means the Amended and Restated Stockholders Agreement dated as of the date hereof, by and among the Company, the Investors, and Key Holders (as defined therein), as the same may be amended, restated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1.44 </w:t>
      </w:r>
      <w:r>
        <w:rPr>
          <w:rFonts w:ascii="Times New Roman" w:hAnsi="Times New Roman"/>
          <w:b/>
          <w:sz w:val="20"/>
        </w:rPr>
        <w:t>Surveyor</w:t>
      </w:r>
      <w:r>
        <w:rPr>
          <w:rFonts w:ascii="Times New Roman" w:hAnsi="Times New Roman"/>
          <w:sz w:val="20"/>
        </w:rPr>
        <w:t xml:space="preserve"> means Citadel Multi-Strategy Equities Master Fund Ltd. and its Affiliates. </w:t>
      </w:r>
    </w:p>
    <w:p>
      <w:pPr>
        <w:pStyle w:val="TextBody"/>
        <w:bidi w:val="0"/>
        <w:spacing w:before="240" w:after="0"/>
        <w:jc w:val="left"/>
        <w:rPr>
          <w:rFonts w:ascii="Times New Roman" w:hAnsi="Times New Roman"/>
          <w:sz w:val="20"/>
        </w:rPr>
      </w:pPr>
      <w:r>
        <w:rPr>
          <w:rFonts w:ascii="Times New Roman" w:hAnsi="Times New Roman"/>
          <w:sz w:val="20"/>
        </w:rPr>
        <w:t>1.45 </w:t>
      </w:r>
      <w:r>
        <w:rPr>
          <w:rFonts w:ascii="Times New Roman" w:hAnsi="Times New Roman"/>
          <w:b/>
          <w:sz w:val="20"/>
        </w:rPr>
        <w:t>T. Rowe Price</w:t>
      </w:r>
      <w:r>
        <w:rPr>
          <w:rFonts w:ascii="Times New Roman" w:hAnsi="Times New Roman"/>
          <w:sz w:val="20"/>
        </w:rPr>
        <w:t xml:space="preserve"> means T. Rowe Price Associates, Inc. or any successor or affiliated investment adviser to the T. Rowe Price Investors. </w:t>
      </w:r>
    </w:p>
    <w:p>
      <w:pPr>
        <w:pStyle w:val="TextBody"/>
        <w:bidi w:val="0"/>
        <w:spacing w:before="240" w:after="0"/>
        <w:jc w:val="left"/>
        <w:rPr>
          <w:rFonts w:ascii="Times New Roman" w:hAnsi="Times New Roman"/>
          <w:sz w:val="20"/>
        </w:rPr>
      </w:pPr>
      <w:r>
        <w:rPr>
          <w:rFonts w:ascii="Times New Roman" w:hAnsi="Times New Roman"/>
          <w:sz w:val="20"/>
        </w:rPr>
        <w:t>1.46 </w:t>
      </w:r>
      <w:r>
        <w:rPr>
          <w:rFonts w:ascii="Times New Roman" w:hAnsi="Times New Roman"/>
          <w:b/>
          <w:sz w:val="20"/>
        </w:rPr>
        <w:t>T. Rowe Price Investors</w:t>
      </w:r>
      <w:r>
        <w:rPr>
          <w:rFonts w:ascii="Times New Roman" w:hAnsi="Times New Roman"/>
          <w:sz w:val="20"/>
        </w:rPr>
        <w:t xml:space="preserve"> means the Investors advised or sub-advised by T. Rowe Price.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 Rights</w:t>
      </w:r>
      <w:r>
        <w:rPr>
          <w:rFonts w:ascii="Times New Roman" w:hAnsi="Times New Roman"/>
          <w:sz w:val="20"/>
        </w:rPr>
        <w:t xml:space="preserve">. The Company covenants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Form S-1 Demand. If at any time after the earlier of (i) five (5) years after the date of this Agreement or (ii) six (6) months after the effective date of the registration statement for the IPO, if the Company receives a request from Holders of at least twenty-five percent (25%) of the Registrable Securities then outstanding that the Company file a Form S-1 registration statement with respect to at least twenty-five percent (25%) of the Registrable Securities then outstanding, having the anticipated aggregate offering price, net of Selling Expenses, of at least $5.0 million, then the Company shall (x) within ten (10) days after the date such request is given, give notice thereof (the </w:t>
      </w:r>
      <w:r>
        <w:rPr>
          <w:rFonts w:ascii="Times New Roman" w:hAnsi="Times New Roman"/>
          <w:b/>
          <w:sz w:val="20"/>
        </w:rPr>
        <w:t>Demand Notice</w:t>
      </w:r>
      <w:r>
        <w:rPr>
          <w:rFonts w:ascii="Times New Roman" w:hAnsi="Times New Roman"/>
          <w:sz w:val="20"/>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hAnsi="Times New Roman"/>
          <w:sz w:val="20"/>
          <w:u w:val="single"/>
        </w:rPr>
        <w:t>Subsections 2.1(c)</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Form S-3 Demand</w:t>
      </w:r>
      <w:r>
        <w:rPr>
          <w:rFonts w:ascii="Times New Roman" w:hAnsi="Times New Roman"/>
          <w:sz w:val="20"/>
        </w:rPr>
        <w:t xml:space="preserve">. If at any time when it is eligible to use a Form S-3 registration statement, the Company receives a request from Holders of at least ten percent (10%) of the Registrable Securities then outstanding that the Company file a Form S-3 registration statement with respect to outstanding Registrable Securities of such Holders having an anticipated aggregate offering price, net of Selling Expenses,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hAnsi="Times New Roman"/>
          <w:sz w:val="20"/>
          <w:u w:val="single"/>
        </w:rPr>
        <w:t>Subsections 2.1(c</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obligations, if the Company furnishes to Holders requesting a registration pursuant to this </w:t>
      </w:r>
      <w:r>
        <w:rPr>
          <w:rFonts w:ascii="Times New Roman" w:hAnsi="Times New Roman"/>
          <w:sz w:val="20"/>
          <w:u w:val="single"/>
        </w:rPr>
        <w:t>Subsection 2.1</w:t>
      </w:r>
      <w:r>
        <w:rPr>
          <w:rFonts w:ascii="Times New Roman" w:hAnsi="Times New Roman"/>
          <w:sz w:val="20"/>
        </w:rPr>
        <w:t xml:space="preserve"> a certificate signed by the Companys chief executive officer or other most senior executive officer then in office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not invoke this right more than once in any twelve (12) month period, nor shall the Company invoke this right more than twice in all periods;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register any securities for its own account or that of any other stockholder during either one hundred twenty (120) day period other than an Excluded Registration.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obligated to effect, or to take any action to effect, any registration pursuant to </w:t>
      </w:r>
      <w:r>
        <w:rPr>
          <w:rFonts w:ascii="Times New Roman" w:hAnsi="Times New Roman"/>
          <w:sz w:val="20"/>
          <w:u w:val="single"/>
        </w:rPr>
        <w:t>Subsection 2.1(a) (i)</w:t>
      </w:r>
      <w:r>
        <w:rPr>
          <w:rFonts w:ascii="Times New Roman" w:hAnsi="Times New Roman"/>
          <w:sz w:val="20"/>
        </w:rPr>
        <w:t xml:space="preserve"> during the period that is sixty (60) days before the Companys good faith estimate of the date of filing of, and ending on a date that is one hundred eighty (180) days after the effective date of, a Company-initiated registration, </w:t>
      </w:r>
      <w:r>
        <w:rPr>
          <w:rFonts w:ascii="Times New Roman" w:hAnsi="Times New Roman"/>
          <w:sz w:val="20"/>
          <w:u w:val="single"/>
        </w:rPr>
        <w:t>provided</w:t>
      </w:r>
      <w:r>
        <w:rPr>
          <w:rFonts w:ascii="Times New Roman" w:hAnsi="Times New Roman"/>
          <w:sz w:val="20"/>
        </w:rPr>
        <w:t xml:space="preserve"> that the Company is actively employing in good faith commercially reasonable efforts to cause such registration statement to become effective; (ii) after the Company has effected two (2) registrations pursuant to </w:t>
      </w:r>
      <w:r>
        <w:rPr>
          <w:rFonts w:ascii="Times New Roman" w:hAnsi="Times New Roman"/>
          <w:sz w:val="20"/>
          <w:u w:val="single"/>
        </w:rPr>
        <w:t>Subsection 2.1(a)</w:t>
      </w:r>
      <w:r>
        <w:rPr>
          <w:rFonts w:ascii="Times New Roman" w:hAnsi="Times New Roman"/>
          <w:sz w:val="20"/>
        </w:rPr>
        <w:t xml:space="preserve">; or (iii) if the Initiating Holders propose to dispose of shares of Registrable Securities that may be immediately registered on Form S-3 pursuant to a request made pursuant to </w:t>
      </w:r>
      <w:r>
        <w:rPr>
          <w:rFonts w:ascii="Times New Roman" w:hAnsi="Times New Roman"/>
          <w:sz w:val="20"/>
          <w:u w:val="single"/>
        </w:rPr>
        <w:t>Subsection 2.1(b)</w:t>
      </w:r>
      <w:r>
        <w:rPr>
          <w:rFonts w:ascii="Times New Roman" w:hAnsi="Times New Roman"/>
          <w:sz w:val="20"/>
        </w:rPr>
        <w:t xml:space="preserve">. The Company shall not be obligated to effect, or to take any action to effect, any registration pursuant to </w:t>
      </w:r>
      <w:r>
        <w:rPr>
          <w:rFonts w:ascii="Times New Roman" w:hAnsi="Times New Roman"/>
          <w:sz w:val="20"/>
          <w:u w:val="single"/>
        </w:rPr>
        <w:t>Subsection 2.1(b)</w:t>
      </w:r>
      <w:r>
        <w:rPr>
          <w:rFonts w:ascii="Times New Roman" w:hAnsi="Times New Roman"/>
          <w:sz w:val="20"/>
        </w:rPr>
        <w:t xml:space="preserve">: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w:t>
      </w:r>
      <w:r>
        <w:rPr>
          <w:rFonts w:ascii="Times New Roman" w:hAnsi="Times New Roman"/>
          <w:sz w:val="20"/>
          <w:u w:val="single"/>
        </w:rPr>
        <w:t>Subsection 2.1(b)</w:t>
      </w:r>
      <w:r>
        <w:rPr>
          <w:rFonts w:ascii="Times New Roman" w:hAnsi="Times New Roman"/>
          <w:sz w:val="20"/>
        </w:rPr>
        <w:t xml:space="preserve"> within the twelve (12) month period immediately preceding the date of such request. A registration shall not be counted as effected for purposes of this </w:t>
      </w:r>
      <w:r>
        <w:rPr>
          <w:rFonts w:ascii="Times New Roman" w:hAnsi="Times New Roman"/>
          <w:sz w:val="20"/>
          <w:u w:val="single"/>
        </w:rPr>
        <w:t>Subsection 2.1(d)</w:t>
      </w:r>
      <w:r>
        <w:rPr>
          <w:rFonts w:ascii="Times New Roman" w:hAnsi="Times New Roman"/>
          <w:sz w:val="20"/>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hAnsi="Times New Roman"/>
          <w:sz w:val="20"/>
          <w:u w:val="single"/>
        </w:rPr>
        <w:t>Subsection 2.6</w:t>
      </w:r>
      <w:r>
        <w:rPr>
          <w:rFonts w:ascii="Times New Roman" w:hAnsi="Times New Roman"/>
          <w:sz w:val="20"/>
        </w:rPr>
        <w:t xml:space="preserve">, in which case such withdrawn registration statement shall be counted as effected for purposes of this </w:t>
      </w:r>
      <w:r>
        <w:rPr>
          <w:rFonts w:ascii="Times New Roman" w:hAnsi="Times New Roman"/>
          <w:sz w:val="20"/>
          <w:u w:val="single"/>
        </w:rPr>
        <w:t>Subsection 2.1(d)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withdrawal is during a period the Company has deferred taking action pursuant to </w:t>
      </w:r>
      <w:r>
        <w:rPr>
          <w:rFonts w:ascii="Times New Roman" w:hAnsi="Times New Roman"/>
          <w:sz w:val="20"/>
          <w:u w:val="single"/>
        </w:rPr>
        <w:t>Subsection 2.1(c)</w:t>
      </w:r>
      <w:r>
        <w:rPr>
          <w:rFonts w:ascii="Times New Roman" w:hAnsi="Times New Roman"/>
          <w:sz w:val="20"/>
        </w:rPr>
        <w:t xml:space="preserve">, then the Initiating Holders may withdraw their request for registration and such registration will not be counted as effected for purposes of this </w:t>
      </w:r>
      <w:r>
        <w:rPr>
          <w:rFonts w:ascii="Times New Roman" w:hAnsi="Times New Roman"/>
          <w:sz w:val="20"/>
          <w:u w:val="single"/>
        </w:rPr>
        <w:t>Subsection 2.1(d)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Company Registration</w:t>
      </w:r>
      <w:r>
        <w:rPr>
          <w:rFonts w:ascii="Times New Roman" w:hAnsi="Times New Roman"/>
          <w:sz w:val="20"/>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hAnsi="Times New Roman"/>
          <w:sz w:val="20"/>
          <w:u w:val="single"/>
        </w:rPr>
        <w:t>Subsection 2.3</w:t>
      </w:r>
      <w:r>
        <w:rPr>
          <w:rFonts w:ascii="Times New Roman" w:hAnsi="Times New Roman"/>
          <w:sz w:val="20"/>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hAnsi="Times New Roman"/>
          <w:sz w:val="20"/>
          <w:u w:val="single"/>
        </w:rPr>
        <w:t>Subsection 2.2</w:t>
      </w:r>
      <w:r>
        <w:rPr>
          <w:rFonts w:ascii="Times New Roman" w:hAnsi="Times New Roman"/>
          <w:sz w:val="20"/>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hAnsi="Times New Roman"/>
          <w:sz w:val="20"/>
          <w:u w:val="single"/>
        </w:rPr>
        <w:t>Subsection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Underwriting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pursuant to </w:t>
      </w:r>
      <w:r>
        <w:rPr>
          <w:rFonts w:ascii="Times New Roman" w:hAnsi="Times New Roman"/>
          <w:sz w:val="20"/>
          <w:u w:val="single"/>
        </w:rPr>
        <w:t>Subsection 2.1</w:t>
      </w:r>
      <w:r>
        <w:rPr>
          <w:rFonts w:ascii="Times New Roman" w:hAnsi="Times New Roman"/>
          <w:sz w:val="20"/>
        </w:rPr>
        <w:t xml:space="preserve">, the Initiating Holders intend to distribute the Registrable Securities covered by their request by means of an underwriting, they shall so advise the Company as a part of their request made pursuant to </w:t>
      </w:r>
      <w:r>
        <w:rPr>
          <w:rFonts w:ascii="Times New Roman" w:hAnsi="Times New Roman"/>
          <w:sz w:val="20"/>
          <w:u w:val="single"/>
        </w:rPr>
        <w:t>Subsection 2.1</w:t>
      </w:r>
      <w:r>
        <w:rPr>
          <w:rFonts w:ascii="Times New Roman" w:hAnsi="Times New Roman"/>
          <w:sz w:val="20"/>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hAnsi="Times New Roman"/>
          <w:sz w:val="20"/>
          <w:u w:val="single"/>
        </w:rPr>
        <w:t>Subsection 2.4(e)</w:t>
      </w:r>
      <w:r>
        <w:rPr>
          <w:rFonts w:ascii="Times New Roman" w:hAnsi="Times New Roman"/>
          <w:sz w:val="20"/>
        </w:rPr>
        <w:t xml:space="preserve">) enter into an underwriting agreement in customary form with the underwriter(s) selected for such underwriting;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 w:hAnsi="Times New Roman"/>
          <w:sz w:val="20"/>
          <w:u w:val="single"/>
        </w:rPr>
        <w:t>Subsection 2.3</w:t>
      </w:r>
      <w:r>
        <w:rPr>
          <w:rFonts w:ascii="Times New Roman" w:hAnsi="Times New Roman"/>
          <w:sz w:val="20"/>
        </w:rPr>
        <w:t xml:space="preserve">, if the managing underwriter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offering involving an underwriting of shares of the Companys capital stock pursuant to </w:t>
      </w:r>
      <w:r>
        <w:rPr>
          <w:rFonts w:ascii="Times New Roman" w:hAnsi="Times New Roman"/>
          <w:sz w:val="20"/>
          <w:u w:val="single"/>
        </w:rPr>
        <w:t>Subsection 2.2</w:t>
      </w:r>
      <w:r>
        <w:rPr>
          <w:rFonts w:ascii="Times New Roman" w:hAnsi="Times New Roman"/>
          <w:sz w:val="20"/>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hAnsi="Times New Roman"/>
          <w:sz w:val="20"/>
          <w:u w:val="single"/>
        </w:rPr>
        <w:t>Subsection 2.3(b)</w:t>
      </w:r>
      <w:r>
        <w:rPr>
          <w:rFonts w:ascii="Times New Roman" w:hAnsi="Times New Roman"/>
          <w:sz w:val="20"/>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w:t>
      </w:r>
      <w:r>
        <w:rPr>
          <w:rFonts w:ascii="Times New Roman" w:hAnsi="Times New Roman"/>
          <w:sz w:val="20"/>
          <w:u w:val="single"/>
        </w:rPr>
        <w:t>Subsection 2.1</w:t>
      </w:r>
      <w:r>
        <w:rPr>
          <w:rFonts w:ascii="Times New Roman" w:hAnsi="Times New Roman"/>
          <w:sz w:val="20"/>
        </w:rPr>
        <w:t xml:space="preserve">, a registration shall not be counted as effected if, as a result of an exercise of the underwriters cutback provisions in </w:t>
      </w:r>
      <w:r>
        <w:rPr>
          <w:rFonts w:ascii="Times New Roman" w:hAnsi="Times New Roman"/>
          <w:sz w:val="20"/>
          <w:u w:val="single"/>
        </w:rPr>
        <w:t>Subsection 2.3(a)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less than the total number of Registrable Securities that Holders have requested to be included in such registration statement are actually included.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Obligations of the Company</w:t>
      </w:r>
      <w:r>
        <w:rPr>
          <w:rFonts w:ascii="Times New Roman" w:hAnsi="Times New Roman"/>
          <w:sz w:val="20"/>
        </w:rPr>
        <w:t xml:space="preserve">. Whenever required under this </w:t>
      </w:r>
      <w:r>
        <w:rPr>
          <w:rFonts w:ascii="Times New Roman" w:hAnsi="Times New Roman"/>
          <w:sz w:val="20"/>
          <w:u w:val="single"/>
        </w:rPr>
        <w:t>Section 2</w:t>
      </w:r>
      <w:r>
        <w:rPr>
          <w:rFonts w:ascii="Times New Roman" w:hAnsi="Times New Roman"/>
          <w:sz w:val="20"/>
        </w:rPr>
        <w:t xml:space="preserve">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 far in advance as reasonably practicable before filing any registration statement or any supplement or amendment thereto (for purposes of this </w:t>
      </w:r>
      <w:r>
        <w:rPr>
          <w:rFonts w:ascii="Times New Roman" w:hAnsi="Times New Roman"/>
          <w:sz w:val="20"/>
          <w:u w:val="single"/>
        </w:rPr>
        <w:t>Subsection 2.4</w:t>
      </w:r>
      <w:r>
        <w:rPr>
          <w:rFonts w:ascii="Times New Roman" w:hAnsi="Times New Roman"/>
          <w:sz w:val="20"/>
        </w:rPr>
        <w:t xml:space="preserve">, supplements and amendments shall not be deemed to include any filing that the Company is required to make pursuant to the Exchange Act), the Company shall furnish to each selling Holder and its representatives copies of all documents proposed to be filed (including, without limitation, all exhibits and documents to be incorporated by reference therein, subject to confidentiality obligations binding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provide each selling Holder and their representatives the opportunity to object to any information pertaining to such selling Holder (or any of its Affiliates) and its plan of distribution that is contained therein, and the Company shall, subject to applicable law, make any corrections reasonably requested by such selling Holder prior to filing such registration statement or supplement or amendment thereto. </w:t>
      </w:r>
    </w:p>
    <w:p>
      <w:pPr>
        <w:pStyle w:val="TextBody"/>
        <w:bidi w:val="0"/>
        <w:spacing w:before="240" w:after="0"/>
        <w:jc w:val="left"/>
        <w:rPr>
          <w:rFonts w:ascii="Times New Roman" w:hAnsi="Times New Roman"/>
          <w:sz w:val="20"/>
        </w:rPr>
      </w:pPr>
      <w:r>
        <w:rPr>
          <w:rFonts w:ascii="Times New Roman" w:hAnsi="Times New Roman"/>
          <w:sz w:val="20"/>
        </w:rPr>
        <w:t xml:space="preserve">(c) furnish to the selling Holders such numbers of copies of a prospectus, including a preliminary prospectus, as required by the Securities Act, and such other documents as the Holders may reasonably request in order to facilitate their disposition of their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(d) 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hAnsi="Times New Roman"/>
          <w:sz w:val="20"/>
          <w:u w:val="single"/>
        </w:rPr>
        <w:t>provided</w:t>
      </w:r>
      <w:r>
        <w:rPr>
          <w:rFonts w:ascii="Times New Roman" w:hAnsi="Times New Roman"/>
          <w:sz w:val="20"/>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underwritten public offering, enter into and perform its obligations under an underwriting agreement, in usual and customary form, with the underwriter(s)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(f) 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(g) provide a transfer agent and registrar for all Registrable Securities registered pursuant to this Agreement and provide a CUSIP number for all such Registrable Securities, in each case not later than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(h) 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 notify each selling Holder, promptly after the Company receives notice thereof, of the time when such registration statement has been declared effective or a supplement to any prospectus forming a part of such registration statement has been filed; and </w:t>
      </w:r>
    </w:p>
    <w:p>
      <w:pPr>
        <w:pStyle w:val="TextBody"/>
        <w:bidi w:val="0"/>
        <w:spacing w:before="240" w:after="0"/>
        <w:jc w:val="left"/>
        <w:rPr>
          <w:rFonts w:ascii="Times New Roman" w:hAnsi="Times New Roman"/>
          <w:sz w:val="20"/>
        </w:rPr>
      </w:pPr>
      <w:r>
        <w:rPr>
          <w:rFonts w:ascii="Times New Roman" w:hAnsi="Times New Roman"/>
          <w:sz w:val="20"/>
        </w:rPr>
        <w:t xml:space="preserve">(j) after such registration statement becomes effective, notify each selling Holder of any request by the SEC that the Company amend or supplement such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Furnish Information</w:t>
      </w:r>
      <w:r>
        <w:rPr>
          <w:rFonts w:ascii="Times New Roman" w:hAnsi="Times New Roman"/>
          <w:sz w:val="20"/>
        </w:rPr>
        <w:t xml:space="preserve">. It shall be a condition precedent to the obligations of the Company to take any action pursuant to this </w:t>
      </w:r>
      <w:r>
        <w:rPr>
          <w:rFonts w:ascii="Times New Roman" w:hAnsi="Times New Roman"/>
          <w:sz w:val="20"/>
          <w:u w:val="single"/>
        </w:rPr>
        <w:t>Section 2</w:t>
      </w:r>
      <w:r>
        <w:rPr>
          <w:rFonts w:ascii="Times New Roman" w:hAnsi="Times New Roman"/>
          <w:sz w:val="20"/>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Expenses of Registration</w:t>
      </w:r>
      <w:r>
        <w:rPr>
          <w:rFonts w:ascii="Times New Roman" w:hAnsi="Times New Roman"/>
          <w:sz w:val="20"/>
        </w:rPr>
        <w:t xml:space="preserve">. All expenses (other than Selling Expenses) incurred in connection with registrations, filings, or qualifications pursuant to </w:t>
      </w:r>
      <w:r>
        <w:rPr>
          <w:rFonts w:ascii="Times New Roman" w:hAnsi="Times New Roman"/>
          <w:sz w:val="20"/>
          <w:u w:val="single"/>
        </w:rPr>
        <w:t>Section 2</w:t>
      </w:r>
      <w:r>
        <w:rPr>
          <w:rFonts w:ascii="Times New Roman" w:hAnsi="Times New Roman"/>
          <w:sz w:val="20"/>
        </w:rPr>
        <w:t xml:space="preserve">, or pursuant to an IPO, including all registration, filing, and qualification fees; printers and accounting fees; fees and disbursements of counsel for the Company; and the reasonable fees and disbursements, not to exceed $50,000, of one counsel for, if pursuant to </w:t>
      </w:r>
      <w:r>
        <w:rPr>
          <w:rFonts w:ascii="Times New Roman" w:hAnsi="Times New Roman"/>
          <w:sz w:val="20"/>
          <w:u w:val="single"/>
        </w:rPr>
        <w:t>Section 2</w:t>
      </w:r>
      <w:r>
        <w:rPr>
          <w:rFonts w:ascii="Times New Roman" w:hAnsi="Times New Roman"/>
          <w:sz w:val="20"/>
        </w:rPr>
        <w:t>, the selling Holders (</w:t>
      </w:r>
      <w:r>
        <w:rPr>
          <w:rFonts w:ascii="Times New Roman" w:hAnsi="Times New Roman"/>
          <w:b/>
          <w:sz w:val="20"/>
        </w:rPr>
        <w:t>Selling Holder Counsel</w:t>
      </w:r>
      <w:r>
        <w:rPr>
          <w:rFonts w:ascii="Times New Roman" w:hAnsi="Times New Roman"/>
          <w:sz w:val="20"/>
        </w:rPr>
        <w:t>) or, if otherwise pursuant to an IPO, the Holders (</w:t>
      </w:r>
      <w:r>
        <w:rPr>
          <w:rFonts w:ascii="Times New Roman" w:hAnsi="Times New Roman"/>
          <w:b/>
          <w:sz w:val="20"/>
        </w:rPr>
        <w:t>Holder IPO Counsel</w:t>
      </w:r>
      <w:r>
        <w:rPr>
          <w:rFonts w:ascii="Times New Roman" w:hAnsi="Times New Roman"/>
          <w:sz w:val="20"/>
        </w:rPr>
        <w:t xml:space="preserve">), in each case, selected by the Holders of a majority in interest of the Registrable Securities, shall be borne and paid by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pay for any expenses of any registration proceeding begun pursuant to </w:t>
      </w:r>
      <w:r>
        <w:rPr>
          <w:rFonts w:ascii="Times New Roman" w:hAnsi="Times New Roman"/>
          <w:sz w:val="20"/>
          <w:u w:val="single"/>
        </w:rPr>
        <w:t>Subsection 2.1</w:t>
      </w:r>
      <w:r>
        <w:rPr>
          <w:rFonts w:ascii="Times New Roman" w:hAnsi="Times New Roman"/>
          <w:sz w:val="20"/>
        </w:rPr>
        <w:t xml:space="preserve"> if the registration request is subsequently withdrawn at the request of the Holders of a majority in interest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hAnsi="Times New Roman"/>
          <w:sz w:val="20"/>
          <w:u w:val="single"/>
        </w:rPr>
        <w:t>Subsections 2.1(a)</w:t>
      </w:r>
      <w:r>
        <w:rPr>
          <w:rFonts w:ascii="Times New Roman" w:hAnsi="Times New Roman"/>
          <w:sz w:val="20"/>
        </w:rPr>
        <w:t xml:space="preserve"> or </w:t>
      </w:r>
      <w:r>
        <w:rPr>
          <w:rFonts w:ascii="Times New Roman" w:hAnsi="Times New Roman"/>
          <w:sz w:val="20"/>
          <w:u w:val="single"/>
        </w:rPr>
        <w:t>2.1(b)</w:t>
      </w:r>
      <w:r>
        <w:rPr>
          <w:rFonts w:ascii="Times New Roman" w:hAnsi="Times New Roman"/>
          <w:sz w:val="20"/>
        </w:rPr>
        <w:t xml:space="preserve">,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hAnsi="Times New Roman"/>
          <w:sz w:val="20"/>
          <w:u w:val="single"/>
        </w:rPr>
        <w:t>Subsections 2.1(a)</w:t>
      </w:r>
      <w:r>
        <w:rPr>
          <w:rFonts w:ascii="Times New Roman" w:hAnsi="Times New Roman"/>
          <w:sz w:val="20"/>
        </w:rPr>
        <w:t xml:space="preserve"> or </w:t>
      </w:r>
      <w:r>
        <w:rPr>
          <w:rFonts w:ascii="Times New Roman" w:hAnsi="Times New Roman"/>
          <w:sz w:val="20"/>
          <w:u w:val="single"/>
        </w:rPr>
        <w:t>2.1(b)</w:t>
      </w:r>
      <w:r>
        <w:rPr>
          <w:rFonts w:ascii="Times New Roman" w:hAnsi="Times New Roman"/>
          <w:sz w:val="20"/>
        </w:rPr>
        <w:t xml:space="preserve">. All Selling Expenses relating to Registrable Securities registered pursuant to this </w:t>
      </w:r>
      <w:r>
        <w:rPr>
          <w:rFonts w:ascii="Times New Roman" w:hAnsi="Times New Roman"/>
          <w:sz w:val="20"/>
          <w:u w:val="single"/>
        </w:rPr>
        <w:t>Section 2</w:t>
      </w:r>
      <w:r>
        <w:rPr>
          <w:rFonts w:ascii="Times New Roman" w:hAnsi="Times New Roman"/>
          <w:sz w:val="20"/>
        </w:rPr>
        <w:t xml:space="preserve"> shall be borne and paid by the Holders pro rata on the basis of the number of Registrable Securities registered on their behalf.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Delay of Registration</w:t>
      </w:r>
      <w:r>
        <w:rPr>
          <w:rFonts w:ascii="Times New Roman" w:hAnsi="Times New Roman"/>
          <w:sz w:val="20"/>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Indemnification</w:t>
      </w:r>
      <w:r>
        <w:rPr>
          <w:rFonts w:ascii="Times New Roman" w:hAnsi="Times New Roman"/>
          <w:sz w:val="20"/>
        </w:rPr>
        <w:t xml:space="preserve">. If any Registrable Securities are included in a registration statement under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permitted by law, the Company will indemnify and hold harmless each selling Holder, and the Affiliates, partners, members, officers, directors, and stockholders of each such Holder (and the partners, members, officers, directors, employees and stockholders of each Holders Affiliates); legal counsel, accountants and investment advisers for each such Holder (and any such Holders Affiliates);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indemnity agreement contained in this </w:t>
      </w:r>
      <w:r>
        <w:rPr>
          <w:rFonts w:ascii="Times New Roman" w:hAnsi="Times New Roman"/>
          <w:sz w:val="20"/>
          <w:u w:val="single"/>
        </w:rPr>
        <w:t>Subsection 2.8(a)</w:t>
      </w:r>
      <w:r>
        <w:rPr>
          <w:rFonts w:ascii="Times New Roman" w:hAnsi="Times New Roman"/>
          <w:sz w:val="20"/>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or concurrently with the sale of Registrable Securities to the Person asserting the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has not been corrected in a subsequent writing prior to or concurrently with the sale of Registrable Securities to the Person asserting the claim;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indemnity agreement contained in this </w:t>
      </w:r>
      <w:r>
        <w:rPr>
          <w:rFonts w:ascii="Times New Roman" w:hAnsi="Times New Roman"/>
          <w:sz w:val="20"/>
          <w:u w:val="single"/>
        </w:rPr>
        <w:t>Subsection 2.8(b)</w:t>
      </w:r>
      <w:r>
        <w:rPr>
          <w:rFonts w:ascii="Times New Roman" w:hAnsi="Times New Roman"/>
          <w:sz w:val="20"/>
        </w:rPr>
        <w:t xml:space="preserve"> shall not apply to amounts paid in settlement of any such claim or proceeding if such settlement is effected without the consent of the Holder, which consent shall not be unreasonably withheld;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aggregate amounts payable by any Holder by way of indemnity or contribution under </w:t>
      </w:r>
      <w:r>
        <w:rPr>
          <w:rFonts w:ascii="Times New Roman" w:hAnsi="Times New Roman"/>
          <w:sz w:val="20"/>
          <w:u w:val="single"/>
        </w:rPr>
        <w:t>Subsections 2.8(b)</w:t>
      </w:r>
      <w:r>
        <w:rPr>
          <w:rFonts w:ascii="Times New Roman" w:hAnsi="Times New Roman"/>
          <w:sz w:val="20"/>
        </w:rPr>
        <w:t xml:space="preserve"> and </w:t>
      </w:r>
      <w:r>
        <w:rPr>
          <w:rFonts w:ascii="Times New Roman" w:hAnsi="Times New Roman"/>
          <w:sz w:val="20"/>
          <w:u w:val="single"/>
        </w:rPr>
        <w:t>2.8(d)</w:t>
      </w:r>
      <w:r>
        <w:rPr>
          <w:rFonts w:ascii="Times New Roman" w:hAnsi="Times New Roman"/>
          <w:sz w:val="20"/>
        </w:rPr>
        <w:t xml:space="preserve"> exceed the proceeds from the offering received by such Holder (net of any Selling Expenses paid by such Holder), except in the case of fraud or willful misconduct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w:t>
      </w:r>
      <w:r>
        <w:rPr>
          <w:rFonts w:ascii="Times New Roman" w:hAnsi="Times New Roman"/>
          <w:sz w:val="20"/>
          <w:u w:val="single"/>
        </w:rPr>
        <w:t>Subsection 2.8</w:t>
      </w:r>
      <w:r>
        <w:rPr>
          <w:rFonts w:ascii="Times New Roman" w:hAnsi="Times New Roman"/>
          <w:sz w:val="20"/>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hAnsi="Times New Roman"/>
          <w:sz w:val="20"/>
          <w:u w:val="single"/>
        </w:rPr>
        <w:t>Subsection 2.8</w:t>
      </w:r>
      <w:r>
        <w:rPr>
          <w:rFonts w:ascii="Times New Roman" w:hAnsi="Times New Roman"/>
          <w:sz w:val="20"/>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hAnsi="Times New Roman"/>
          <w:sz w:val="20"/>
          <w:u w:val="single"/>
        </w:rPr>
        <w:t>Subsection 2.8</w:t>
      </w:r>
      <w:r>
        <w:rPr>
          <w:rFonts w:ascii="Times New Roman" w:hAnsi="Times New Roman"/>
          <w:sz w:val="20"/>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hAnsi="Times New Roman"/>
          <w:sz w:val="20"/>
          <w:u w:val="single"/>
        </w:rPr>
        <w:t>Subsection 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To provide for just and equitable contribution to joint liability under the Securities Act in any case in which either: (i) any party otherwise entitled to indemnification hereunder makes a claim for indemnification pursuant to this </w:t>
      </w:r>
      <w:r>
        <w:rPr>
          <w:rFonts w:ascii="Times New Roman" w:hAnsi="Times New Roman"/>
          <w:sz w:val="20"/>
          <w:u w:val="single"/>
        </w:rPr>
        <w:t>Subsection 2.8</w:t>
      </w:r>
      <w:r>
        <w:rPr>
          <w:rFonts w:ascii="Times New Roman" w:hAnsi="Times New Roman"/>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hAnsi="Times New Roman"/>
          <w:sz w:val="20"/>
          <w:u w:val="single"/>
        </w:rPr>
        <w:t>Subsection 2.8</w:t>
      </w:r>
      <w:r>
        <w:rPr>
          <w:rFonts w:ascii="Times New Roman" w:hAnsi="Times New Roman"/>
          <w:sz w:val="20"/>
        </w:rPr>
        <w:t xml:space="preserve"> provides for indemnification in such case, or (ii) contribution under the Securities Act may be required on the part of any party hereto for which indemnification is provided under this </w:t>
      </w:r>
      <w:r>
        <w:rPr>
          <w:rFonts w:ascii="Times New Roman" w:hAnsi="Times New Roman"/>
          <w:sz w:val="20"/>
          <w:u w:val="single"/>
        </w:rPr>
        <w:t>Subsection 2.8</w:t>
      </w:r>
      <w:r>
        <w:rPr>
          <w:rFonts w:ascii="Times New Roman" w:hAnsi="Times New Roman"/>
          <w:sz w:val="20"/>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a Holders liability pursuant to this </w:t>
      </w:r>
      <w:r>
        <w:rPr>
          <w:rFonts w:ascii="Times New Roman" w:hAnsi="Times New Roman"/>
          <w:sz w:val="20"/>
          <w:u w:val="single"/>
        </w:rPr>
        <w:t>Subsection 2.8(d)</w:t>
      </w:r>
      <w:r>
        <w:rPr>
          <w:rFonts w:ascii="Times New Roman" w:hAnsi="Times New Roman"/>
          <w:sz w:val="20"/>
        </w:rPr>
        <w:t xml:space="preserve">, when combined with the amounts paid or payable by such Holder pursuant to </w:t>
      </w:r>
      <w:r>
        <w:rPr>
          <w:rFonts w:ascii="Times New Roman" w:hAnsi="Times New Roman"/>
          <w:sz w:val="20"/>
          <w:u w:val="single"/>
        </w:rPr>
        <w:t>Subsection 2.8(b)</w:t>
      </w:r>
      <w:r>
        <w:rPr>
          <w:rFonts w:ascii="Times New Roman" w:hAnsi="Times New Roman"/>
          <w:sz w:val="20"/>
        </w:rPr>
        <w:t xml:space="preserve">, exceed the proceeds from the offering received by such Holder (net of any Selling Expenses paid by such Holder), except in the case of willful misconduct or fraud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superseded by an underwriting agreement entered into in connection with the underwritten public offering, the obligations of the Company and Holders under this </w:t>
      </w:r>
      <w:r>
        <w:rPr>
          <w:rFonts w:ascii="Times New Roman" w:hAnsi="Times New Roman"/>
          <w:sz w:val="20"/>
          <w:u w:val="single"/>
        </w:rPr>
        <w:t>Subsection 2.8</w:t>
      </w:r>
      <w:r>
        <w:rPr>
          <w:rFonts w:ascii="Times New Roman" w:hAnsi="Times New Roman"/>
          <w:sz w:val="20"/>
        </w:rPr>
        <w:t xml:space="preserve"> shall survive the completion of any offering of Registrable Securities in a registration under this </w:t>
      </w:r>
      <w:r>
        <w:rPr>
          <w:rFonts w:ascii="Times New Roman" w:hAnsi="Times New Roman"/>
          <w:sz w:val="20"/>
          <w:u w:val="single"/>
        </w:rPr>
        <w:t>Section 2</w:t>
      </w:r>
      <w:r>
        <w:rPr>
          <w:rFonts w:ascii="Times New Roman" w:hAnsi="Times New Roman"/>
          <w:sz w:val="20"/>
        </w:rPr>
        <w:t xml:space="preserve">, and otherwise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Reports Under Exchange Act</w:t>
      </w:r>
      <w:r>
        <w:rPr>
          <w:rFonts w:ascii="Times New Roman" w:hAnsi="Times New Roman"/>
          <w:sz w:val="20"/>
        </w:rPr>
        <w:t xml:space="preserve">.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available adequate current public information, as those terms are understood and defined in SEC Rule 144, at all times after the effective date of the registration statement filed by the Company for the IPO; </w:t>
      </w:r>
    </w:p>
    <w:p>
      <w:pPr>
        <w:pStyle w:val="TextBody"/>
        <w:bidi w:val="0"/>
        <w:spacing w:before="240" w:after="0"/>
        <w:jc w:val="left"/>
        <w:rPr>
          <w:rFonts w:ascii="Times New Roman" w:hAnsi="Times New Roman"/>
          <w:sz w:val="20"/>
        </w:rPr>
      </w:pPr>
      <w:r>
        <w:rPr>
          <w:rFonts w:ascii="Times New Roman" w:hAnsi="Times New Roman"/>
          <w:sz w:val="20"/>
        </w:rPr>
        <w:t xml:space="preserve">(b) use commercially reasonable efforts to file with the SEC in a timely manner all reports and other documents required of the Company under the Securities Act and the Exchange Act (at any time after the Company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(c) 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Holders of a majority in interest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demand for registration of any securities held by such holder or prospective holder; </w:t>
      </w:r>
      <w:r>
        <w:rPr>
          <w:rFonts w:ascii="Times New Roman" w:hAnsi="Times New Roman"/>
          <w:sz w:val="20"/>
          <w:u w:val="single"/>
        </w:rPr>
        <w:t>provided</w:t>
      </w:r>
      <w:r>
        <w:rPr>
          <w:rFonts w:ascii="Times New Roman" w:hAnsi="Times New Roman"/>
          <w:sz w:val="20"/>
        </w:rPr>
        <w:t xml:space="preserve"> that this limitation shall not apply to Registrable Securities acquired by any additional Investor who becomes a party to this Agreement in accordance with </w:t>
      </w:r>
      <w:r>
        <w:rPr>
          <w:rFonts w:ascii="Times New Roman" w:hAnsi="Times New Roman"/>
          <w:sz w:val="20"/>
          <w:u w:val="single"/>
        </w:rPr>
        <w:t>Subsection 6.9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Market Stand-off Agreement</w:t>
      </w:r>
      <w:r>
        <w:rPr>
          <w:rFonts w:ascii="Times New Roman" w:hAnsi="Times New Roman"/>
          <w:sz w:val="20"/>
        </w:rPr>
        <w:t xml:space="preserve">. Each Holder hereby agrees that, if required by the managing underwriter, it will not,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hAnsi="Times New Roman"/>
          <w:sz w:val="20"/>
          <w:u w:val="single"/>
        </w:rPr>
        <w:t>Subsection 2.11</w:t>
      </w:r>
      <w:r>
        <w:rPr>
          <w:rFonts w:ascii="Times New Roman" w:hAnsi="Times New Roman"/>
          <w:sz w:val="20"/>
        </w:rPr>
        <w:t xml:space="preserve"> shall apply only to the IPO, shall not apply to the sale of any shares to an underwriter pursuant to an underwriting agreement, shall not apply to distributions to current or former partners, members or stockholders of a Holder in the Company to its Affiliates or any of the Holders stockholders, members, partners or other equity holders; provided that the Affiliate, stockholder member, partner or other equity holder of the Holder agrees to be bound in writing by the restrictions set forth herein, shall not apply to any transactions (including, without limitation, any swap, hedge or similar agreement or arrangement) or announcements, in each case, relating to securities (including shares of Common Stock) purchased or acquired in the IPO or in open market or other transactions on or following the IPO or that otherwise do not involve or relate to securities of the Company owned by a Holder prior to the IPO, and shall be applicable to the Holders only if all officers, directors and stockholders individually (and together with their Affiliates) owning more than one percent (1%) of the Companys outstanding Common Stock (after giving effect to conversion into Common Stock of all outstanding Preferred Stock) are subject to the same restrictions. The underwriters in connection with such registration are intended third-party beneficiaries of this </w:t>
      </w:r>
      <w:r>
        <w:rPr>
          <w:rFonts w:ascii="Times New Roman" w:hAnsi="Times New Roman"/>
          <w:sz w:val="20"/>
          <w:u w:val="single"/>
        </w:rPr>
        <w:t>Subsection 2.11</w:t>
      </w:r>
      <w:r>
        <w:rPr>
          <w:rFonts w:ascii="Times New Roman" w:hAnsi="Times New Roman"/>
          <w:sz w:val="20"/>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hAnsi="Times New Roman"/>
          <w:sz w:val="20"/>
          <w:u w:val="single"/>
        </w:rPr>
        <w:t>Subsection 2.11</w:t>
      </w:r>
      <w:r>
        <w:rPr>
          <w:rFonts w:ascii="Times New Roman" w:hAnsi="Times New Roman"/>
          <w:sz w:val="20"/>
        </w:rPr>
        <w:t xml:space="preserve"> or that are necessary to give further effect thereto. The Company agrees to use its reasonable efforts to obtain the agreement of the managing underwriter to periodic early releases of portions of the securities subject to such lock-up agreements upon the request of a Holder to such early release, provided that in the event of any early release, all Holders will be released on a pro rata basis from such agreements. In the event that the Company or the managing underwriter waives or terminates any of the restrictions contained in this </w:t>
      </w:r>
      <w:r>
        <w:rPr>
          <w:rFonts w:ascii="Times New Roman" w:hAnsi="Times New Roman"/>
          <w:sz w:val="20"/>
          <w:u w:val="single"/>
        </w:rPr>
        <w:t>Subsection 2.11</w:t>
      </w:r>
      <w:r>
        <w:rPr>
          <w:rFonts w:ascii="Times New Roman" w:hAnsi="Times New Roman"/>
          <w:sz w:val="20"/>
        </w:rPr>
        <w:t xml:space="preserve"> or in a lock-up agreement with respect to the securities of any Holder, officer, director or greater than one percent stockholder of the Company (in any such case, the </w:t>
      </w:r>
      <w:r>
        <w:rPr>
          <w:rFonts w:ascii="Times New Roman" w:hAnsi="Times New Roman"/>
          <w:b/>
          <w:sz w:val="20"/>
        </w:rPr>
        <w:t>Released Securities</w:t>
      </w:r>
      <w:r>
        <w:rPr>
          <w:rFonts w:ascii="Times New Roman" w:hAnsi="Times New Roman"/>
          <w:sz w:val="20"/>
        </w:rPr>
        <w:t xml:space="preserve">), the restrictions contained in this </w:t>
      </w:r>
      <w:r>
        <w:rPr>
          <w:rFonts w:ascii="Times New Roman" w:hAnsi="Times New Roman"/>
          <w:sz w:val="20"/>
          <w:u w:val="single"/>
        </w:rPr>
        <w:t xml:space="preserve">Subsection 2.11 </w:t>
      </w:r>
      <w:r>
        <w:rPr>
          <w:rFonts w:ascii="Times New Roman" w:hAnsi="Times New Roman"/>
          <w:sz w:val="20"/>
        </w:rPr>
        <w:t xml:space="preserve">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 percent stockholder. Notwithstanding anything contained in this </w:t>
      </w:r>
      <w:r>
        <w:rPr>
          <w:rFonts w:ascii="Times New Roman" w:hAnsi="Times New Roman"/>
          <w:sz w:val="20"/>
          <w:u w:val="single"/>
        </w:rPr>
        <w:t>Subsection 2.11</w:t>
      </w:r>
      <w:r>
        <w:rPr>
          <w:rFonts w:ascii="Times New Roman" w:hAnsi="Times New Roman"/>
          <w:sz w:val="20"/>
        </w:rPr>
        <w:t xml:space="preserve"> to the contrary, the Company and each other party hereto acknowledge and agree that nothing in this Agreement or in any agreement that any Holder enters into pursuant to this </w:t>
      </w:r>
      <w:r>
        <w:rPr>
          <w:rFonts w:ascii="Times New Roman" w:hAnsi="Times New Roman"/>
          <w:sz w:val="20"/>
          <w:u w:val="single"/>
        </w:rPr>
        <w:t>Subsection 2.11</w:t>
      </w:r>
      <w:r>
        <w:rPr>
          <w:rFonts w:ascii="Times New Roman" w:hAnsi="Times New Roman"/>
          <w:sz w:val="20"/>
        </w:rPr>
        <w:t xml:space="preserve"> shall restrict any of such Holders (or any of such Holders Affiliates) brokerage, investment advisory, financial advisory, anti-raid advisory, principaling, merger advisory, financing, asset management, trading, market making, arbitrage, investment activity or any other similar activity conducted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or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pursuant to SEC Rule 144, in each case, to be bound by the terms of this Agreement. For the avoidance of doubt, a customary arrangement in connection with the deposit of Registrable Securities in a non-margin custodial account shall not be deemed a sale, transfer or pledge for purposes of this Agreement so long as such Registrable Securities are in certificated form (it being understood that the Company may require the exchange of any such certificated securities for book-entry shares upon the IPO).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hAnsi="Times New Roman"/>
          <w:sz w:val="20"/>
          <w:u w:val="single"/>
        </w:rPr>
        <w:t>Subsection 2.12(c)</w:t>
      </w:r>
      <w:r>
        <w:rPr>
          <w:rFonts w:ascii="Times New Roman" w:hAnsi="Times New Roman"/>
          <w:sz w:val="20"/>
        </w:rPr>
        <w:t xml:space="preserve">) be notated with a legend substantially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MAY BE TRANSFERRED ONLY IN ACCORDANCE WITH THE TERMS OF AN AGREEMENT BETWEEN THE COMPANY AND THE STOCKHOLDER, A COPY OF WHICH IS ON FILE WITH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hAnsi="Times New Roman"/>
          <w:sz w:val="20"/>
          <w:u w:val="single"/>
        </w:rPr>
        <w:t>Subsection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Holder of such Restricted Securities, by acceptance of ownership thereof, agrees to comply in all respects with the provisions of this </w:t>
      </w:r>
      <w:r>
        <w:rPr>
          <w:rFonts w:ascii="Times New Roman" w:hAnsi="Times New Roman"/>
          <w:sz w:val="20"/>
          <w:u w:val="single"/>
        </w:rPr>
        <w:t>Section 2</w:t>
      </w:r>
      <w:r>
        <w:rPr>
          <w:rFonts w:ascii="Times New Roman" w:hAnsi="Times New Roman"/>
          <w:sz w:val="20"/>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Times New Roman" w:hAnsi="Times New Roman"/>
          <w:sz w:val="20"/>
          <w:u w:val="single"/>
        </w:rPr>
        <w:t>provided</w:t>
      </w:r>
      <w:r>
        <w:rPr>
          <w:rFonts w:ascii="Times New Roman" w:hAnsi="Times New Roman"/>
          <w:sz w:val="20"/>
        </w:rPr>
        <w:t xml:space="preserve"> that, following the IPO, no such notice shall be required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(it being agreed that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internal counsel shall be deemed to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(y) in any transaction in which such Holder distributes Restricted Securities to an Affiliate of such Holder for no consideration; or (z) in any internal transaction in which such Holder transfers Restricted Securities to an Affiliate of such Holder that is an entity and that is ultimately controlled by the same parent company as the Holder (or is the ultimate parent company of the Holder); </w:t>
      </w:r>
      <w:r>
        <w:rPr>
          <w:rFonts w:ascii="Times New Roman" w:hAnsi="Times New Roman"/>
          <w:sz w:val="20"/>
          <w:u w:val="single"/>
        </w:rPr>
        <w:t>provided</w:t>
      </w:r>
      <w:r>
        <w:rPr>
          <w:rFonts w:ascii="Times New Roman" w:hAnsi="Times New Roman"/>
          <w:sz w:val="20"/>
        </w:rPr>
        <w:t xml:space="preserve"> that, other than in connection with a transaction in compliance with SEC Rule 144 following the IPO, and in the case of clauses (y) and (z), each transferee agrees in writing to be subject to the terms of this </w:t>
      </w:r>
      <w:r>
        <w:rPr>
          <w:rFonts w:ascii="Times New Roman" w:hAnsi="Times New Roman"/>
          <w:sz w:val="20"/>
          <w:u w:val="single"/>
        </w:rPr>
        <w:t>Subsection 2.12</w:t>
      </w:r>
      <w:r>
        <w:rPr>
          <w:rFonts w:ascii="Times New Roman" w:hAnsi="Times New Roman"/>
          <w:sz w:val="20"/>
        </w:rPr>
        <w:t xml:space="preserve">. Notwithstanding the foregoing, the Company shall be obligated to reissue promptly unlegended certificates or book entries at the request of any Holder thereof if the Company has completed its IPO and the Holder shall have obtained an opinion of counsel (which counsel may be counsel to the Company) to the effect that the securities proposed to be disposed of may lawfully be so disposed of without registration, qualification and legend, provided that the second legend listed above shall be removed only at such time as the Holder of such certificate is no longer subject to any restrictions hereunder.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Times New Roman" w:hAnsi="Times New Roman"/>
          <w:sz w:val="20"/>
          <w:u w:val="single"/>
        </w:rPr>
        <w:t>Subsection 2.12(b)</w:t>
      </w:r>
      <w:r>
        <w:rPr>
          <w:rFonts w:ascii="Times New Roman" w:hAnsi="Times New Roman"/>
          <w:sz w:val="20"/>
        </w:rPr>
        <w:t xml:space="preserve">, except that such certificate instrument, or book entry shall not be notated with such restrictive legend if, in the opinion of counsel for such Holder and the Company, such legend is not required in order to establish compliance with any provisions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Termination of Registration Rights</w:t>
      </w:r>
      <w:r>
        <w:rPr>
          <w:rFonts w:ascii="Times New Roman" w:hAnsi="Times New Roman"/>
          <w:sz w:val="20"/>
        </w:rPr>
        <w:t xml:space="preserve">. The right of any Holder to request registration or inclusion of Registrable Securities in any registration pursuant to </w:t>
      </w:r>
      <w:r>
        <w:rPr>
          <w:rFonts w:ascii="Times New Roman" w:hAnsi="Times New Roman"/>
          <w:sz w:val="20"/>
          <w:u w:val="single"/>
        </w:rPr>
        <w:t>Subsections 2.1</w:t>
      </w:r>
      <w:r>
        <w:rPr>
          <w:rFonts w:ascii="Times New Roman" w:hAnsi="Times New Roman"/>
          <w:sz w:val="20"/>
        </w:rPr>
        <w:t xml:space="preserve"> or </w:t>
      </w:r>
      <w:r>
        <w:rPr>
          <w:rFonts w:ascii="Times New Roman" w:hAnsi="Times New Roman"/>
          <w:sz w:val="20"/>
          <w:u w:val="single"/>
        </w:rPr>
        <w:t>2.2</w:t>
      </w:r>
      <w:r>
        <w:rPr>
          <w:rFonts w:ascii="Times New Roman" w:hAnsi="Times New Roman"/>
          <w:sz w:val="20"/>
        </w:rPr>
        <w:t xml:space="preserve"> shall terminate upon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(a) the closing of a Deemed Liquidation Event, as such term is defined in the Certificate of Incorporation, in which the consideration received by the Investors in such Deemed Liquidation Event is in the form of cash and/or publicly traded securities, or if the Investors receive registration rights from the acquiring company or other successor to the Company reasonably comparable to those set forth in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such time after consummation of the IPO and expiration of the applicable lock-up period associated with the IPO as SEC Rule 144 or another similar exemption under the Securities Act is available for the sale of all of such Holders shares without limitation during a three-month period without registration; </w:t>
      </w:r>
    </w:p>
    <w:p>
      <w:pPr>
        <w:pStyle w:val="TextBody"/>
        <w:bidi w:val="0"/>
        <w:spacing w:before="240" w:after="0"/>
        <w:jc w:val="left"/>
        <w:rPr>
          <w:rFonts w:ascii="Times New Roman" w:hAnsi="Times New Roman"/>
          <w:sz w:val="20"/>
        </w:rPr>
      </w:pPr>
      <w:r>
        <w:rPr>
          <w:rFonts w:ascii="Times New Roman" w:hAnsi="Times New Roman"/>
          <w:sz w:val="20"/>
        </w:rPr>
        <w:t xml:space="preserve">(c) the fifth (5th) anniversary of the IPO.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Termination of Certain Rights of Converted Preferred Holder</w:t>
      </w:r>
      <w:r>
        <w:rPr>
          <w:rFonts w:ascii="Times New Roman" w:hAnsi="Times New Roman"/>
          <w:sz w:val="20"/>
        </w:rPr>
        <w:t xml:space="preserve">. Notwithstanding anything contained in this </w:t>
      </w:r>
      <w:r>
        <w:rPr>
          <w:rFonts w:ascii="Times New Roman" w:hAnsi="Times New Roman"/>
          <w:sz w:val="20"/>
          <w:u w:val="single"/>
        </w:rPr>
        <w:t>Section 2</w:t>
      </w:r>
      <w:r>
        <w:rPr>
          <w:rFonts w:ascii="Times New Roman" w:hAnsi="Times New Roman"/>
          <w:sz w:val="20"/>
        </w:rPr>
        <w:t xml:space="preserve"> or any other provision of this Agreement to the contrary, no Converted Preferred Holder nor any of its transferees to whom shares of capital stock of the Company are transferred by such Converted Preferred Holder after it has become such shall have any registration rights pursuant to this </w:t>
      </w:r>
      <w:r>
        <w:rPr>
          <w:rFonts w:ascii="Times New Roman" w:hAnsi="Times New Roman"/>
          <w:sz w:val="20"/>
          <w:u w:val="single"/>
        </w:rPr>
        <w:t>Section 2</w:t>
      </w:r>
      <w:r>
        <w:rPr>
          <w:rFonts w:ascii="Times New Roman" w:hAnsi="Times New Roman"/>
          <w:sz w:val="20"/>
        </w:rPr>
        <w:t xml:space="preserve">; provided, however, such Converted Preferred Holder (and any such transferee) shall remain obligated under </w:t>
      </w:r>
      <w:r>
        <w:rPr>
          <w:rFonts w:ascii="Times New Roman" w:hAnsi="Times New Roman"/>
          <w:sz w:val="20"/>
          <w:u w:val="single"/>
        </w:rPr>
        <w:t>Subsections 2.11</w:t>
      </w:r>
      <w:r>
        <w:rPr>
          <w:rFonts w:ascii="Times New Roman" w:hAnsi="Times New Roman"/>
          <w:sz w:val="20"/>
        </w:rPr>
        <w:t xml:space="preserve"> and </w:t>
      </w:r>
      <w:r>
        <w:rPr>
          <w:rFonts w:ascii="Times New Roman" w:hAnsi="Times New Roman"/>
          <w:sz w:val="20"/>
          <w:u w:val="single"/>
        </w:rPr>
        <w:t>2.12</w:t>
      </w:r>
      <w:r>
        <w:rPr>
          <w:rFonts w:ascii="Times New Roman" w:hAnsi="Times New Roman"/>
          <w:sz w:val="20"/>
        </w:rPr>
        <w:t xml:space="preserve"> hereof as if a Holder for purposes of such subsections.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Information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Delivery of Financial Statements</w:t>
      </w:r>
      <w:r>
        <w:rPr>
          <w:rFonts w:ascii="Times New Roman" w:hAnsi="Times New Roman"/>
          <w:sz w:val="20"/>
        </w:rPr>
        <w:t xml:space="preserve">. The Company shall deliver to each Major Investor the required items listed below, provided that the Board of Directors has not reasonably determined that such Major Investor is a Competitor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 as soon as practicable, but in any event within ninety (90) days after the end of each fiscal year of the Company, unaudited statements of income and of cash flows for such fiscal year, and an unaudited balance sheet and a statement of stockholders equity as of the end of such fiscal year, all prepared in accordance with GAAP (except that such financial statements may (i) be subject to normal year-end audit adjustments and (ii)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(b) as soon as practicable, but in any event within one hundred eighty (180) days after the end of the fiscal year of the Company ending December 31, 2023, and within one hundred twenty (120) days after the end of each fiscal year of the Company beginning with the fiscal year ending December 31, 2024, (i) a balance sheet as of the end of such year, (ii) statements of income and of cash flows for such year, and (iii) a statement of stockholders equity as of the end of such year, all such financial statements audited and certified by independent public accountants of nationally or regionally recognized standing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as soon as practicable but in any event within forty-five (45) days after the end of each quarter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each Major Investor to calculate their respective percentage equity ownership in the Company, and certified by the chief financial officer or chief executive officer of the Company as being true, complete, and correct; </w:t>
      </w:r>
    </w:p>
    <w:p>
      <w:pPr>
        <w:pStyle w:val="TextBody"/>
        <w:bidi w:val="0"/>
        <w:spacing w:before="240" w:after="0"/>
        <w:jc w:val="left"/>
        <w:rPr>
          <w:rFonts w:ascii="Times New Roman" w:hAnsi="Times New Roman"/>
          <w:sz w:val="20"/>
        </w:rPr>
      </w:pPr>
      <w:r>
        <w:rPr>
          <w:rFonts w:ascii="Times New Roman" w:hAnsi="Times New Roman"/>
          <w:sz w:val="20"/>
        </w:rPr>
        <w:t>(e) as soon as practicable, but in any event within thirty (30) days before the end of each fiscal year, a budget and business plan for the next fiscal year (collectively, the </w:t>
      </w:r>
      <w:r>
        <w:rPr>
          <w:rFonts w:ascii="Times New Roman" w:hAnsi="Times New Roman"/>
          <w:b/>
          <w:sz w:val="20"/>
        </w:rPr>
        <w:t>Budget</w:t>
      </w:r>
      <w:r>
        <w:rPr>
          <w:rFonts w:ascii="Times New Roman" w:hAnsi="Times New Roman"/>
          <w:sz w:val="20"/>
        </w:rPr>
        <w:t xml:space="preserve">), approved by the Board of Directors, including a majority of the Preferred Directors, and prepared on a monthly basis, including balance sheets, income statements, and statements of cash flow for such months and, promptly after prepared, any other budgets or revised budgets prepared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(f) such other information relating to the financial condition, business, prospects, or corporate affairs of the Company as any Major Investor may from time to time reasonably request; </w:t>
      </w:r>
      <w:r>
        <w:rPr>
          <w:rFonts w:ascii="Times New Roman" w:hAnsi="Times New Roman"/>
          <w:sz w:val="20"/>
          <w:u w:val="single"/>
        </w:rPr>
        <w:t>provided, however</w:t>
      </w:r>
      <w:r>
        <w:rPr>
          <w:rFonts w:ascii="Times New Roman" w:hAnsi="Times New Roman"/>
          <w:sz w:val="20"/>
        </w:rPr>
        <w:t xml:space="preserve">, that the Company shall not be obligated under this </w:t>
      </w:r>
      <w:r>
        <w:rPr>
          <w:rFonts w:ascii="Times New Roman" w:hAnsi="Times New Roman"/>
          <w:sz w:val="20"/>
          <w:u w:val="single"/>
        </w:rPr>
        <w:t>Section 3.1</w:t>
      </w:r>
      <w:r>
        <w:rPr>
          <w:rFonts w:ascii="Times New Roman" w:hAnsi="Times New Roman"/>
          <w:sz w:val="20"/>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for any period, the Company has any subsidiary whose accounts are consolidated with those of the Company, then in respect of such period the financial statements delivered pursuant to the foregoing sections shall be the consolidating financial statements of the Company and all such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in this </w:t>
      </w:r>
      <w:r>
        <w:rPr>
          <w:rFonts w:ascii="Times New Roman" w:hAnsi="Times New Roman"/>
          <w:sz w:val="20"/>
          <w:u w:val="single"/>
        </w:rPr>
        <w:t>Section 3.1</w:t>
      </w:r>
      <w:r>
        <w:rPr>
          <w:rFonts w:ascii="Times New Roman" w:hAnsi="Times New Roman"/>
          <w:sz w:val="20"/>
        </w:rPr>
        <w:t xml:space="preserve"> to the contrary, the Company may cease providing the information set forth in this </w:t>
      </w:r>
      <w:r>
        <w:rPr>
          <w:rFonts w:ascii="Times New Roman" w:hAnsi="Times New Roman"/>
          <w:sz w:val="20"/>
          <w:u w:val="single"/>
        </w:rPr>
        <w:t>Section 3.1</w:t>
      </w:r>
      <w:r>
        <w:rPr>
          <w:rFonts w:ascii="Times New Roman" w:hAnsi="Times New Roman"/>
          <w:sz w:val="20"/>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Times New Roman" w:hAnsi="Times New Roman"/>
          <w:sz w:val="20"/>
          <w:u w:val="single"/>
        </w:rPr>
        <w:t>Section 3.1</w:t>
      </w:r>
      <w:r>
        <w:rPr>
          <w:rFonts w:ascii="Times New Roman" w:hAnsi="Times New Roman"/>
          <w:sz w:val="20"/>
        </w:rPr>
        <w:t xml:space="preserve"> shall be reinstated at such time as the Company is no longer actively employing its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Inspection</w:t>
      </w:r>
      <w:r>
        <w:rPr>
          <w:rFonts w:ascii="Times New Roman" w:hAnsi="Times New Roman"/>
          <w:sz w:val="20"/>
        </w:rPr>
        <w:t>. The Company shall permit each Major Investor (</w:t>
      </w:r>
      <w:r>
        <w:rPr>
          <w:rFonts w:ascii="Times New Roman" w:hAnsi="Times New Roman"/>
          <w:sz w:val="20"/>
          <w:u w:val="single"/>
        </w:rPr>
        <w:t>provided</w:t>
      </w:r>
      <w:r>
        <w:rPr>
          <w:rFonts w:ascii="Times New Roman" w:hAnsi="Times New Roman"/>
          <w:sz w:val="20"/>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pursuant to this </w:t>
      </w:r>
      <w:r>
        <w:rPr>
          <w:rFonts w:ascii="Times New Roman" w:hAnsi="Times New Roman"/>
          <w:sz w:val="20"/>
          <w:u w:val="single"/>
        </w:rPr>
        <w:t>Subsection 3.2</w:t>
      </w:r>
      <w:r>
        <w:rPr>
          <w:rFonts w:ascii="Times New Roman" w:hAnsi="Times New Roman"/>
          <w:sz w:val="20"/>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Termination of Information and Inspection Rights</w:t>
      </w:r>
      <w:r>
        <w:rPr>
          <w:rFonts w:ascii="Times New Roman" w:hAnsi="Times New Roman"/>
          <w:sz w:val="20"/>
        </w:rPr>
        <w:t xml:space="preserve">. The covenants set forth in </w:t>
      </w:r>
      <w:r>
        <w:rPr>
          <w:rFonts w:ascii="Times New Roman" w:hAnsi="Times New Roman"/>
          <w:sz w:val="20"/>
          <w:u w:val="single"/>
        </w:rPr>
        <w:t>Subsection 3.1</w:t>
      </w:r>
      <w:r>
        <w:rPr>
          <w:rFonts w:ascii="Times New Roman" w:hAnsi="Times New Roman"/>
          <w:sz w:val="20"/>
        </w:rPr>
        <w:t xml:space="preserve"> and </w:t>
      </w:r>
      <w:r>
        <w:rPr>
          <w:rFonts w:ascii="Times New Roman" w:hAnsi="Times New Roman"/>
          <w:sz w:val="20"/>
          <w:u w:val="single"/>
        </w:rPr>
        <w:t>Subsection 3.2</w:t>
      </w:r>
      <w:r>
        <w:rPr>
          <w:rFonts w:ascii="Times New Roman" w:hAnsi="Times New Roman"/>
          <w:sz w:val="20"/>
        </w:rPr>
        <w:t xml:space="preserve"> shall terminate and be of no further force or effect upon the earliest to occur of (i) immediately before, but subject to, the consummation of the IPO, (ii) when the Company first becomes subject to the periodic reporting requirements of Section 12(g) or 15(d) of the Exchange Act, (iii) upon a Deemed Liquidation Event, as such term is defined in the Certificate of Incorporation; </w:t>
      </w:r>
      <w:r>
        <w:rPr>
          <w:rFonts w:ascii="Times New Roman" w:hAnsi="Times New Roman"/>
          <w:sz w:val="20"/>
          <w:u w:val="single"/>
        </w:rPr>
        <w:t>provided</w:t>
      </w:r>
      <w:r>
        <w:rPr>
          <w:rFonts w:ascii="Times New Roman" w:hAnsi="Times New Roman"/>
          <w:sz w:val="20"/>
        </w:rPr>
        <w:t xml:space="preserve">, that, with respect to </w:t>
      </w:r>
      <w:r>
        <w:rPr>
          <w:rFonts w:ascii="Times New Roman" w:hAnsi="Times New Roman"/>
          <w:sz w:val="20"/>
          <w:u w:val="single"/>
        </w:rPr>
        <w:t>clause (iii)</w:t>
      </w:r>
      <w:r>
        <w:rPr>
          <w:rFonts w:ascii="Times New Roman" w:hAnsi="Times New Roman"/>
          <w:sz w:val="20"/>
        </w:rPr>
        <w:t xml:space="preserve">, the covenants set forth in </w:t>
      </w:r>
      <w:r>
        <w:rPr>
          <w:rFonts w:ascii="Times New Roman" w:hAnsi="Times New Roman"/>
          <w:sz w:val="20"/>
          <w:u w:val="single"/>
        </w:rPr>
        <w:t>Section 3.1</w:t>
      </w:r>
      <w:r>
        <w:rPr>
          <w:rFonts w:ascii="Times New Roman" w:hAnsi="Times New Roman"/>
          <w:sz w:val="20"/>
        </w:rPr>
        <w:t xml:space="preserve"> shall only terminate if the consideration received by the Investors in such Deemed Liquidation Event is in the form of cash and/or publicly traded securities or if the Investors receive financial information from the acquiring company or other successor to the Company comparable to those set forth in </w:t>
      </w:r>
      <w:r>
        <w:rPr>
          <w:rFonts w:ascii="Times New Roman" w:hAnsi="Times New Roman"/>
          <w:sz w:val="20"/>
          <w:u w:val="single"/>
        </w:rPr>
        <w:t>Section 3.1</w:t>
      </w:r>
      <w:r>
        <w:rPr>
          <w:rFonts w:ascii="Times New Roman" w:hAnsi="Times New Roman"/>
          <w:sz w:val="20"/>
        </w:rPr>
        <w:t xml:space="preserve"> or (iv) with respect to any Investor (and its Affiliates), upon such Investor becoming (if at all) a Converted Preferred Holder.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Confidentiality</w:t>
      </w:r>
      <w:r>
        <w:rPr>
          <w:rFonts w:ascii="Times New Roman" w:hAnsi="Times New Roman"/>
          <w:sz w:val="20"/>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hAnsi="Times New Roman"/>
          <w:sz w:val="20"/>
          <w:u w:val="single"/>
        </w:rPr>
        <w:t>Subsection 3.4</w:t>
      </w:r>
      <w:r>
        <w:rPr>
          <w:rFonts w:ascii="Times New Roman" w:hAnsi="Times New Roman"/>
          <w:sz w:val="20"/>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 Investor may disclose confidential information (i) to its attorneys, accountants, consultants, advisors and other professionals (collectively </w:t>
      </w:r>
      <w:r>
        <w:rPr>
          <w:rFonts w:ascii="Times New Roman" w:hAnsi="Times New Roman"/>
          <w:b/>
          <w:sz w:val="20"/>
        </w:rPr>
        <w:t>Representatives</w:t>
      </w:r>
      <w:r>
        <w:rPr>
          <w:rFonts w:ascii="Times New Roman" w:hAnsi="Times New Roman"/>
          <w:sz w:val="20"/>
        </w:rPr>
        <w:t xml:space="preserve">) to the extent reasonably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hAnsi="Times New Roman"/>
          <w:sz w:val="20"/>
          <w:u w:val="single"/>
        </w:rPr>
        <w:t>Subsection 3.4</w:t>
      </w:r>
      <w:r>
        <w:rPr>
          <w:rFonts w:ascii="Times New Roman" w:hAnsi="Times New Roman"/>
          <w:sz w:val="20"/>
        </w:rPr>
        <w:t xml:space="preserve">; (iii) in the ordinary course of business to any existing or prospective, direct or indirect, Affiliate, partner, member, stockholder, or wholly owned subsidiary of such Investor and any Representatives, employees or Affiliates of any of the foregoing, provided that such Investor informs such recipient that such information is confidential and directs such recipient to maintain the confidentiality of such information; (iv) as may otherwise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by law, regulation, rule, court order or subpoena, </w:t>
      </w:r>
      <w:r>
        <w:rPr>
          <w:rFonts w:ascii="Times New Roman" w:hAnsi="Times New Roman"/>
          <w:sz w:val="20"/>
          <w:u w:val="single"/>
        </w:rPr>
        <w:t>provided</w:t>
      </w:r>
      <w:r>
        <w:rPr>
          <w:rFonts w:ascii="Times New Roman" w:hAnsi="Times New Roman"/>
          <w:sz w:val="20"/>
        </w:rPr>
        <w:t xml:space="preserve"> that, with respect to this clause (iv), such Investor promptly notifies the Company of such disclosure and takes reasonable steps to minimize the extent of any such required disclosure; or (v) to the extent required in connection with any routine or periodic examination or similar process by any regulatory or self-regulatory body or authority not specifically directed at the Company or the confidential information obtained from the Company pursuant to the terms of the Agreement, including, without limitation, quarterly or annual reports.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Rights to Future Stock Issuances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Right of First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w:t>
      </w:r>
      <w:r>
        <w:rPr>
          <w:rFonts w:ascii="Times New Roman" w:hAnsi="Times New Roman"/>
          <w:sz w:val="20"/>
          <w:u w:val="single"/>
        </w:rPr>
        <w:t>Section 4.1</w:t>
      </w:r>
      <w:r>
        <w:rPr>
          <w:rFonts w:ascii="Times New Roman" w:hAnsi="Times New Roman"/>
          <w:sz w:val="20"/>
        </w:rPr>
        <w:t xml:space="preserve"> and applicable securities laws, if the Company proposes to offer or sell any New Securities, the Company shall first offer such New Securities to each Major Investor, provided that the Board of Directors has not reasonably determined that such Major Investor is a Competitor of the Company. A Major Investor shall be entitled to apportion the right of first offer hereby granted to it among itself and its Affiliates in such proportions as it deems appropriate, </w:t>
      </w:r>
      <w:r>
        <w:rPr>
          <w:rFonts w:ascii="Times New Roman" w:hAnsi="Times New Roman"/>
          <w:sz w:val="20"/>
          <w:u w:val="single"/>
        </w:rPr>
        <w:t>provided</w:t>
      </w:r>
      <w:r>
        <w:rPr>
          <w:rFonts w:ascii="Times New Roman" w:hAnsi="Times New Roman"/>
          <w:sz w:val="20"/>
        </w:rPr>
        <w:t xml:space="preserve"> that each such Affiliate (x) is not a Competitor of the Company as reasonably determined by the Board of Directors, and (y) agrees to enter into this Agreement and the Stockholders Agreement of even date herewith among the Company, the Investors and the other parties named therein, as an Investor under each such agreement (</w:t>
      </w:r>
      <w:r>
        <w:rPr>
          <w:rFonts w:ascii="Times New Roman" w:hAnsi="Times New Roman"/>
          <w:sz w:val="20"/>
          <w:u w:val="single"/>
        </w:rPr>
        <w:t>provided</w:t>
      </w:r>
      <w:r>
        <w:rPr>
          <w:rFonts w:ascii="Times New Roman" w:hAnsi="Times New Roman"/>
          <w:sz w:val="20"/>
        </w:rPr>
        <w:t xml:space="preserve"> that any Competitor shall not be entitled to any rights as a Major Investor under </w:t>
      </w:r>
      <w:r>
        <w:rPr>
          <w:rFonts w:ascii="Times New Roman" w:hAnsi="Times New Roman"/>
          <w:sz w:val="20"/>
          <w:u w:val="single"/>
        </w:rPr>
        <w:t>Subsections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and </w:t>
      </w:r>
      <w:r>
        <w:rPr>
          <w:rFonts w:ascii="Times New Roman" w:hAnsi="Times New Roman"/>
          <w:sz w:val="20"/>
          <w:u w:val="single"/>
        </w:rPr>
        <w:t>4.1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for so long as TRV is deemed a Major Investor, TRV shall have the right to apportion its right of first offer of New Securities pursuant to </w:t>
      </w:r>
      <w:r>
        <w:rPr>
          <w:rFonts w:ascii="Times New Roman" w:hAnsi="Times New Roman"/>
          <w:sz w:val="20"/>
          <w:u w:val="single"/>
        </w:rPr>
        <w:t>Section 4.1(a)</w:t>
      </w:r>
      <w:r>
        <w:rPr>
          <w:rFonts w:ascii="Times New Roman" w:hAnsi="Times New Roman"/>
          <w:sz w:val="20"/>
        </w:rPr>
        <w:t xml:space="preserve"> among itself, its Affiliates, and such unaffiliated third parties as TRV reasonably deems appropriate (each such Affiliate or unaffiliated third party, a </w:t>
      </w:r>
      <w:r>
        <w:rPr>
          <w:rFonts w:ascii="Times New Roman" w:hAnsi="Times New Roman"/>
          <w:b/>
          <w:sz w:val="20"/>
        </w:rPr>
        <w:t>Permitted TRV Transferee</w:t>
      </w:r>
      <w:r>
        <w:rPr>
          <w:rFonts w:ascii="Times New Roman" w:hAnsi="Times New Roman"/>
          <w:sz w:val="20"/>
        </w:rPr>
        <w:t xml:space="preserve">), provided that each such Permitted TRV Transferee (x) is not a Competitor of the Company as reasonably determined by the Board of Directors, and (y) agrees to enter into or join this Agreement and any other stockholder agreement with the Company that TRV is party to or would become a party to if it exercised its right of first offer, as an Investor under each such agreement. TRV shall provide the Company with advanced written notice of any such apportionment of rights to a Permitted TRV Transferee prior to the deadline set forth in </w:t>
      </w:r>
      <w:r>
        <w:rPr>
          <w:rFonts w:ascii="Times New Roman" w:hAnsi="Times New Roman"/>
          <w:sz w:val="20"/>
          <w:u w:val="single"/>
        </w:rPr>
        <w:t>Section 4.1(e)</w:t>
      </w:r>
      <w:r>
        <w:rPr>
          <w:rFonts w:ascii="Times New Roman" w:hAnsi="Times New Roman"/>
          <w:sz w:val="20"/>
        </w:rPr>
        <w:t xml:space="preserve"> by which TRV is required to notify the Company of TRVs or its Permitted TRV Transferees as applicable, intention to exercise its right of first offer with respect to a given issuance of New Securities, and TRV and the Permitted TRV Transferee shall provide the Company with such other information as the Company reasonably requests in connection with such apportionment of rights to such Permitted TRV Transferee.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for so long as JJDC is deemed a Major Investor, JJDC shall have the right to apportion its right of first offer of New Securities pursuant to </w:t>
      </w:r>
      <w:r>
        <w:rPr>
          <w:rFonts w:ascii="Times New Roman" w:hAnsi="Times New Roman"/>
          <w:sz w:val="20"/>
          <w:u w:val="single"/>
        </w:rPr>
        <w:t>Section 4.1(a)</w:t>
      </w:r>
      <w:r>
        <w:rPr>
          <w:rFonts w:ascii="Times New Roman" w:hAnsi="Times New Roman"/>
          <w:sz w:val="20"/>
        </w:rPr>
        <w:t xml:space="preserve">, and in the same proportion as TRV elects to apportion under </w:t>
      </w:r>
      <w:r>
        <w:rPr>
          <w:rFonts w:ascii="Times New Roman" w:hAnsi="Times New Roman"/>
          <w:sz w:val="20"/>
          <w:u w:val="single"/>
        </w:rPr>
        <w:t>Section 4.1(b)</w:t>
      </w:r>
      <w:r>
        <w:rPr>
          <w:rFonts w:ascii="Times New Roman" w:hAnsi="Times New Roman"/>
          <w:sz w:val="20"/>
        </w:rPr>
        <w:t xml:space="preserve"> above, among itself, its Affiliates, and such unaffiliated third parties as JJDC reasonably deems appropriate (each such Affiliate or unaffiliated third party, a </w:t>
      </w:r>
      <w:r>
        <w:rPr>
          <w:rFonts w:ascii="Times New Roman" w:hAnsi="Times New Roman"/>
          <w:b/>
          <w:sz w:val="20"/>
        </w:rPr>
        <w:t>Permitted JJDC Transferee</w:t>
      </w:r>
      <w:r>
        <w:rPr>
          <w:rFonts w:ascii="Times New Roman" w:hAnsi="Times New Roman"/>
          <w:sz w:val="20"/>
        </w:rPr>
        <w:t xml:space="preserve">), provided that each such Permitted JJDC Transferee (x) is not a Competitor of the Company as reasonably determined by the Board of Directors, and (y) agrees to enter into or join this Agreement and any other stockholder agreement with the Company that JJDC is party to or would become a party to if it exercised its right of first offer, as an Investor under each such agreement. JJDC shall provide the Company with advanced written notice of any such apportionment of rights to a Permitted JJDC Transferee prior to the deadline set forth in </w:t>
      </w:r>
      <w:r>
        <w:rPr>
          <w:rFonts w:ascii="Times New Roman" w:hAnsi="Times New Roman"/>
          <w:sz w:val="20"/>
          <w:u w:val="single"/>
        </w:rPr>
        <w:t>Section 4.1(e)</w:t>
      </w:r>
      <w:r>
        <w:rPr>
          <w:rFonts w:ascii="Times New Roman" w:hAnsi="Times New Roman"/>
          <w:sz w:val="20"/>
        </w:rPr>
        <w:t xml:space="preserve"> by which JJDC is required to notify the Company of JJDCs or its Permitted JJDC Transferees as applicable, intention to exercise its right of first offer with respect to a given issuance of New Securities, and JJDC and the Permitted JJDC Transferee shall provide the Company with such other information as the Company reasonably requests in connection with such apportionment of rights to such Permitted JJDC Transferee.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herein, for so long as ARCH is deemed a Major Investor, ARCH shall have the right to apportion its right of first offer of New Securities pursuant to </w:t>
      </w:r>
      <w:r>
        <w:rPr>
          <w:rFonts w:ascii="Times New Roman" w:hAnsi="Times New Roman"/>
          <w:sz w:val="20"/>
          <w:u w:val="single"/>
        </w:rPr>
        <w:t>Section 4.1(a)</w:t>
      </w:r>
      <w:r>
        <w:rPr>
          <w:rFonts w:ascii="Times New Roman" w:hAnsi="Times New Roman"/>
          <w:sz w:val="20"/>
        </w:rPr>
        <w:t xml:space="preserve">, and in the same proportion as TRV elects to apportion under </w:t>
      </w:r>
      <w:r>
        <w:rPr>
          <w:rFonts w:ascii="Times New Roman" w:hAnsi="Times New Roman"/>
          <w:sz w:val="20"/>
          <w:u w:val="single"/>
        </w:rPr>
        <w:t>Section 4.1(b)</w:t>
      </w:r>
      <w:r>
        <w:rPr>
          <w:rFonts w:ascii="Times New Roman" w:hAnsi="Times New Roman"/>
          <w:sz w:val="20"/>
        </w:rPr>
        <w:t xml:space="preserve"> above, among itself, its Affiliates, and such unaffiliated third parties as ARCH reasonably deems appropriate (each such Affiliate or unaffiliated third party, a </w:t>
      </w:r>
      <w:r>
        <w:rPr>
          <w:rFonts w:ascii="Times New Roman" w:hAnsi="Times New Roman"/>
          <w:b/>
          <w:sz w:val="20"/>
        </w:rPr>
        <w:t>Permitted ARCH Transferee</w:t>
      </w:r>
      <w:r>
        <w:rPr>
          <w:rFonts w:ascii="Times New Roman" w:hAnsi="Times New Roman"/>
          <w:sz w:val="20"/>
        </w:rPr>
        <w:t xml:space="preserve">), provided that each such Permitted ARCH Transferee (x) is not a Competitor of the Company as reasonably determined by the Board of Directors, and (y) agrees to enter into or join this Agreement and any other stockholder agreement with the Company that ARCH is party to or would become a party to if it exercised its right of first offer, as an Investor under each such agreement. ARCH shall provide the Company with advanced written notice of any such apportionment of rights to a Permitted ARCH Transferee prior to the deadline set forth in </w:t>
      </w:r>
      <w:r>
        <w:rPr>
          <w:rFonts w:ascii="Times New Roman" w:hAnsi="Times New Roman"/>
          <w:sz w:val="20"/>
          <w:u w:val="single"/>
        </w:rPr>
        <w:t>Section 4.1(e)</w:t>
      </w:r>
      <w:r>
        <w:rPr>
          <w:rFonts w:ascii="Times New Roman" w:hAnsi="Times New Roman"/>
          <w:sz w:val="20"/>
        </w:rPr>
        <w:t xml:space="preserve"> by which ARCH is required to notify the Company of ARCHs or its Permitted ARCH Transferees as applicable, intention to exercise its right of first offer with respect to a given issuance of New Securities, and ARCH and the Permitted ARCH Transferee shall provide the Company with such other information as the Company reasonably requests in connection with such apportionment of rights to such Permitted ARCH Transferee. </w:t>
      </w:r>
    </w:p>
    <w:p>
      <w:pPr>
        <w:pStyle w:val="TextBody"/>
        <w:bidi w:val="0"/>
        <w:spacing w:before="240" w:after="0"/>
        <w:jc w:val="left"/>
        <w:rPr>
          <w:rFonts w:ascii="Times New Roman" w:hAnsi="Times New Roman"/>
          <w:sz w:val="20"/>
        </w:rPr>
      </w:pPr>
      <w:r>
        <w:rPr>
          <w:rFonts w:ascii="Times New Roman" w:hAnsi="Times New Roman"/>
          <w:sz w:val="20"/>
        </w:rPr>
        <w:t>(e) The Company shall give notice (the </w:t>
      </w:r>
      <w:r>
        <w:rPr>
          <w:rFonts w:ascii="Times New Roman" w:hAnsi="Times New Roman"/>
          <w:b/>
          <w:sz w:val="20"/>
        </w:rPr>
        <w:t>Offer Notice</w:t>
      </w:r>
      <w:r>
        <w:rPr>
          <w:rFonts w:ascii="Times New Roman" w:hAnsi="Times New Roman"/>
          <w:sz w:val="20"/>
        </w:rPr>
        <w:t xml:space="preserve">) to each Major Investor, stating (i) its bona fide intention to offer such New Securities, (ii) the number of such New Securities to be offered, and (iii) the price and terms, if any, upon which it proposes to offer such New Securities. </w:t>
      </w:r>
    </w:p>
    <w:p>
      <w:pPr>
        <w:pStyle w:val="TextBody"/>
        <w:bidi w:val="0"/>
        <w:spacing w:before="240" w:after="0"/>
        <w:jc w:val="left"/>
        <w:rPr>
          <w:rFonts w:ascii="Times New Roman" w:hAnsi="Times New Roman"/>
          <w:sz w:val="20"/>
        </w:rPr>
      </w:pPr>
      <w:r>
        <w:rPr>
          <w:rFonts w:ascii="Times New Roman" w:hAnsi="Times New Roman"/>
          <w:sz w:val="20"/>
        </w:rPr>
        <w:t>(f) 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number of shares of Common Stock of the Company then outstanding (assuming full conversion and/or exercise, as applicable, of all Preferred Stock and other Derivative Securities then outstanding). At the expiration of such twenty (20) day period, the Company shall promptly notify each Major Investor that elects to purchase or acquire all the shares available to it (each, a </w:t>
      </w:r>
      <w:r>
        <w:rPr>
          <w:rFonts w:ascii="Times New Roman" w:hAnsi="Times New Roman"/>
          <w:b/>
          <w:sz w:val="20"/>
        </w:rPr>
        <w:t>Fully Exercising Investor</w:t>
      </w:r>
      <w:r>
        <w:rPr>
          <w:rFonts w:ascii="Times New Roman" w:hAnsi="Times New Roman"/>
          <w:sz w:val="20"/>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such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number of shares of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w:t>
      </w:r>
      <w:r>
        <w:rPr>
          <w:rFonts w:ascii="Times New Roman" w:hAnsi="Times New Roman"/>
          <w:sz w:val="20"/>
          <w:u w:val="single"/>
        </w:rPr>
        <w:t>Section 4.1(b)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shall occur within the later of one hundred twenty (120) days after the date that the Offer Notice is given and the date of initial sale of New Securities pursuant to </w:t>
      </w:r>
      <w:r>
        <w:rPr>
          <w:rFonts w:ascii="Times New Roman" w:hAnsi="Times New Roman"/>
          <w:sz w:val="20"/>
          <w:u w:val="single"/>
        </w:rPr>
        <w:t>Section 4.1(d)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If fewer than all New Securities referred to in the Offer Notice are elected to be purchased or acquired as provided in </w:t>
      </w:r>
      <w:r>
        <w:rPr>
          <w:rFonts w:ascii="Times New Roman" w:hAnsi="Times New Roman"/>
          <w:sz w:val="20"/>
          <w:u w:val="single"/>
        </w:rPr>
        <w:t>Section 4.1(e)</w:t>
      </w:r>
      <w:r>
        <w:rPr>
          <w:rFonts w:ascii="Times New Roman" w:hAnsi="Times New Roman"/>
          <w:sz w:val="20"/>
        </w:rPr>
        <w:t xml:space="preserve">, the Company may, during the ninety (90) day period following the expiration of the periods provided in </w:t>
      </w:r>
      <w:r>
        <w:rPr>
          <w:rFonts w:ascii="Times New Roman" w:hAnsi="Times New Roman"/>
          <w:sz w:val="20"/>
          <w:u w:val="single"/>
        </w:rPr>
        <w:t>Section 4.1(e)</w:t>
      </w:r>
      <w:r>
        <w:rPr>
          <w:rFonts w:ascii="Times New Roman" w:hAnsi="Times New Roman"/>
          <w:sz w:val="20"/>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right of first offer in this </w:t>
      </w:r>
      <w:r>
        <w:rPr>
          <w:rFonts w:ascii="Times New Roman" w:hAnsi="Times New Roman"/>
          <w:sz w:val="20"/>
          <w:u w:val="single"/>
        </w:rPr>
        <w:t>Section 4.1</w:t>
      </w:r>
      <w:r>
        <w:rPr>
          <w:rFonts w:ascii="Times New Roman" w:hAnsi="Times New Roman"/>
          <w:sz w:val="20"/>
        </w:rPr>
        <w:t xml:space="preserve"> shall not be applicable to (i) Exempted Securities (as defined in the Certificate of Incorporation), (ii) shares of Common Stock issued in the IPO and (iii) for the avoidance of doubt, the issuance of shares of Series B Preferred Stock to the Purchasers (as defined in the Purchase Agreement) pursuant to Section 1.2(b)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rights of the Major Investors to purchase New Securities under this </w:t>
      </w:r>
      <w:r>
        <w:rPr>
          <w:rFonts w:ascii="Times New Roman" w:hAnsi="Times New Roman"/>
          <w:sz w:val="20"/>
          <w:u w:val="single"/>
        </w:rPr>
        <w:t>Section 4.1</w:t>
      </w:r>
      <w:r>
        <w:rPr>
          <w:rFonts w:ascii="Times New Roman" w:hAnsi="Times New Roman"/>
          <w:sz w:val="20"/>
        </w:rPr>
        <w:t xml:space="preserve"> may be modified or waived in accordance with </w:t>
      </w:r>
      <w:r>
        <w:rPr>
          <w:rFonts w:ascii="Times New Roman" w:hAnsi="Times New Roman"/>
          <w:sz w:val="20"/>
          <w:u w:val="single"/>
        </w:rPr>
        <w:t>Section 6.6</w:t>
      </w:r>
      <w:r>
        <w:rPr>
          <w:rFonts w:ascii="Times New Roman" w:hAnsi="Times New Roman"/>
          <w:sz w:val="20"/>
        </w:rPr>
        <w:t xml:space="preserve">; provided, however, that in the event such rights to purchase New Securities under this </w:t>
      </w:r>
      <w:r>
        <w:rPr>
          <w:rFonts w:ascii="Times New Roman" w:hAnsi="Times New Roman"/>
          <w:sz w:val="20"/>
          <w:u w:val="single"/>
        </w:rPr>
        <w:t>Section 4.1</w:t>
      </w:r>
      <w:r>
        <w:rPr>
          <w:rFonts w:ascii="Times New Roman" w:hAnsi="Times New Roman"/>
          <w:sz w:val="20"/>
        </w:rPr>
        <w:t xml:space="preserve"> are waived and any Major Investor(s) purchase New Securities, the Company shall give notice to the other Major Investors within thirty (30) days after the initial issuance of New Securities. Such notice shall describe the type, price, and terms of the New Securities. Each such other Major Investor shall have twenty (20) days from the date such notice is given to elect to purchase on similar terms and conditions in a subsequent closing up to the number of New Securities that would, if purchased by such Major Investor, maintain such Major Investors percentage-ownership position, calculated as set forth in </w:t>
      </w:r>
      <w:r>
        <w:rPr>
          <w:rFonts w:ascii="Times New Roman" w:hAnsi="Times New Roman"/>
          <w:sz w:val="20"/>
          <w:u w:val="single"/>
        </w:rPr>
        <w:t>Section 4.1(e)</w:t>
      </w:r>
      <w:r>
        <w:rPr>
          <w:rFonts w:ascii="Times New Roman" w:hAnsi="Times New Roman"/>
          <w:sz w:val="20"/>
        </w:rPr>
        <w:t xml:space="preserve"> before giving effect to the issuance of such New Securities.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Termination</w:t>
      </w:r>
      <w:r>
        <w:rPr>
          <w:rFonts w:ascii="Times New Roman" w:hAnsi="Times New Roman"/>
          <w:sz w:val="20"/>
        </w:rPr>
        <w:t xml:space="preserve">. The covenants set forth in </w:t>
      </w:r>
      <w:r>
        <w:rPr>
          <w:rFonts w:ascii="Times New Roman" w:hAnsi="Times New Roman"/>
          <w:sz w:val="20"/>
          <w:u w:val="single"/>
        </w:rPr>
        <w:t>Section 4.1</w:t>
      </w:r>
      <w:r>
        <w:rPr>
          <w:rFonts w:ascii="Times New Roman" w:hAnsi="Times New Roman"/>
          <w:sz w:val="20"/>
        </w:rPr>
        <w:t xml:space="preserve"> shall terminate and be of no further force or effect upon the earliest to occur of (i) immediately before, but subject to, the consummation of the IPO, (ii) when the Company first becomes subject to the periodic reporting requirements of Section 12(g) or 15(d) of the Exchange Act, (iii) upon a Deemed Liquidation Event in which the consideration received by the Investors is in the form of cash and/or publicly traded securities, or if the Investors receive participation rights from the acquiring company or other successor to the Company reasonably comparable to those set forth in this </w:t>
      </w:r>
      <w:r>
        <w:rPr>
          <w:rFonts w:ascii="Times New Roman" w:hAnsi="Times New Roman"/>
          <w:sz w:val="20"/>
          <w:u w:val="single"/>
        </w:rPr>
        <w:t>Section 4</w:t>
      </w:r>
      <w:r>
        <w:rPr>
          <w:rFonts w:ascii="Times New Roman" w:hAnsi="Times New Roman"/>
          <w:sz w:val="20"/>
        </w:rPr>
        <w:t xml:space="preserve"> or (iv) with respect to any Major Investor, upon such Major Investor becoming (if at all) a Converted Preferred Holder.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Insurance</w:t>
      </w:r>
      <w:r>
        <w:rPr>
          <w:rFonts w:ascii="Times New Roman" w:hAnsi="Times New Roman"/>
          <w:sz w:val="20"/>
        </w:rPr>
        <w:t xml:space="preserve">. The Company shall maintain from financially sound and reputable insurers Directors and Officers liability insurance in an amount satisfactory to the Board of Directors and no less than $3,000,000 and will use commercially reasonable efforts to cause such insurance policy to be maintained until such time as the Board of Directors (including each Preferred Director) determines that such insurance should be discontinued.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Employee Agreements</w:t>
      </w:r>
      <w:r>
        <w:rPr>
          <w:rFonts w:ascii="Times New Roman" w:hAnsi="Times New Roman"/>
          <w:sz w:val="20"/>
        </w:rPr>
        <w:t xml:space="preserve">. The Company will cause each Person hereafter employed by it or by any subsidiary (or engaged by the Company or any subsidiary as a consultant/independent contractor) with access to confidential information and/or trade secrets to enter into a nondisclosure, proprietary rights assignment, non-solicitation and, to the extent permitted by applicable law, one (1) year noncompetition agreement, in a form reasonably acceptable to the Holders of a majority of the Preferred Stock. In addition, the Company shall not amend, modify, terminate, waive, or otherwise alter, in whole or in part, any of the above-referenced agreements or any restricted stock agreement between the Company and any employee, without the approval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Employee Stock</w:t>
      </w:r>
      <w:r>
        <w:rPr>
          <w:rFonts w:ascii="Times New Roman" w:hAnsi="Times New Roman"/>
          <w:sz w:val="20"/>
        </w:rPr>
        <w:t xml:space="preserve">. Unless otherwise approved by the Board of Directors, all employees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twelve (12) months of continued employment or service from the date of grant, and the remaining shares vesting in equal monthly installments over the following thirty-six (36) months, provided continued employment or service, and (ii) a market stand-off provision substantially similar to that in </w:t>
      </w:r>
      <w:r>
        <w:rPr>
          <w:rFonts w:ascii="Times New Roman" w:hAnsi="Times New Roman"/>
          <w:sz w:val="20"/>
          <w:u w:val="single"/>
        </w:rPr>
        <w:t>Subsection 2.11</w:t>
      </w:r>
      <w:r>
        <w:rPr>
          <w:rFonts w:ascii="Times New Roman" w:hAnsi="Times New Roman"/>
          <w:sz w:val="20"/>
        </w:rPr>
        <w:t xml:space="preserve">. In addition, unless otherwise approved by the Board of Directors, the Company (x) shall not offer or allow any acceleration of vesting, and (y) shall retain (and not waive) a right of first refusal on employee transfers of shares of Common Stock until the Companys IPO and shall have the right to repurchase unvested shares at cost upon termination of employment of a holder of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Matters Requiring Preferred Directors Approval</w:t>
      </w:r>
      <w:r>
        <w:rPr>
          <w:rFonts w:ascii="Times New Roman" w:hAnsi="Times New Roman"/>
          <w:sz w:val="20"/>
        </w:rPr>
        <w:t xml:space="preserve">. So long as any shares of Preferred Stock remain outstanding, the Company hereby covenants and agrees with each of the Investors that it shall not, without first obtaining the approval of the Board of Directors, including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(a) make, or permit any subsidiary to make, any loan or advance to, or own any stock or other securities of, any subsidiary or other corporation, partnership, or other entity unless it is wholly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create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 guarantee, directly or indirectly, or permit any subsidiary to guarantee, directly or indirectly, any indebtedness except for trade accounts of the Company or any subsidiary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create, adopt, amend, terminate or repeal any equity (or equity-linked) compensation plan or amend or waive any of the terms of any option or other grant pursuant to any such plan; </w:t>
      </w:r>
    </w:p>
    <w:p>
      <w:pPr>
        <w:pStyle w:val="TextBody"/>
        <w:bidi w:val="0"/>
        <w:spacing w:before="240" w:after="0"/>
        <w:jc w:val="left"/>
        <w:rPr>
          <w:rFonts w:ascii="Times New Roman" w:hAnsi="Times New Roman"/>
          <w:sz w:val="20"/>
        </w:rPr>
      </w:pPr>
      <w:r>
        <w:rPr>
          <w:rFonts w:ascii="Times New Roman" w:hAnsi="Times New Roman"/>
          <w:sz w:val="20"/>
        </w:rPr>
        <w:t xml:space="preserve">(f) make any investment inconsistent with any investment policy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(g) incur indebtedness in excess of $500,000 in the aggregate that is not covered by the Budget, other than trade credit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otherwise enter into or be a party to any transaction with any director, officer or employee of the Company or any associate (as defined in Rule 12b-2 promulgated under the Exchange Act)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(i) hire, terminate, or change the compensation of the executive officers, including approving any option grants or stock awards to executive officers; or </w:t>
      </w:r>
    </w:p>
    <w:p>
      <w:pPr>
        <w:pStyle w:val="TextBody"/>
        <w:bidi w:val="0"/>
        <w:spacing w:before="240" w:after="0"/>
        <w:jc w:val="left"/>
        <w:rPr>
          <w:rFonts w:ascii="Times New Roman" w:hAnsi="Times New Roman"/>
          <w:sz w:val="20"/>
        </w:rPr>
      </w:pPr>
      <w:r>
        <w:rPr>
          <w:rFonts w:ascii="Times New Roman" w:hAnsi="Times New Roman"/>
          <w:sz w:val="20"/>
        </w:rPr>
        <w:t xml:space="preserve">(j) change the principal business of the Company, or enter into a new line of business, or exit the existing line of business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Board Matters</w:t>
      </w:r>
      <w:r>
        <w:rPr>
          <w:rFonts w:ascii="Times New Roman" w:hAnsi="Times New Roman"/>
          <w:sz w:val="20"/>
        </w:rPr>
        <w:t xml:space="preserve">. Unless otherwise determined by the vote of a majority of the directors then in office, the Board of Directors shall meet at least four (4) times per year and at least once per quarter, in accordance with an agreed-upon schedule. The Company shall reimburse the non-employee directors for all reasonable out-of-pocket travel expenses incurred (consistent with the Companys policies) in connection with their role as a director. Each non-employee director shall be entitled in such Persons discretion to be a member of any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Successor Indemnification</w:t>
      </w:r>
      <w:r>
        <w:rPr>
          <w:rFonts w:ascii="Times New Roman" w:hAnsi="Times New Roman"/>
          <w:sz w:val="20"/>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Indemnification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Certificate of Incorporation and Bylaws (as such Bylaws of the Company may be amended from time to time) shall provide (i) for limitation of the liability of directors to the maximum extent permitted by law, and (ii) for indemnification of directors for acts on behalf of the Company to the maximum extent permitted by law. In the event any suit is filed or claim is asserted against a director or former director of the Company as a result of such directors or former directors service on the Board of Directors, the Company will provide such director or former director access to all records and files of the Company as he or she may reasonably request in defending against or preparing to defend against any such suit or claim. </w:t>
      </w:r>
    </w:p>
    <w:p>
      <w:pPr>
        <w:pStyle w:val="TextBody"/>
        <w:bidi w:val="0"/>
        <w:spacing w:before="240" w:after="0"/>
        <w:jc w:val="left"/>
        <w:rPr>
          <w:rFonts w:ascii="Times New Roman" w:hAnsi="Times New Roman"/>
          <w:sz w:val="20"/>
        </w:rPr>
      </w:pPr>
      <w:r>
        <w:rPr>
          <w:rFonts w:ascii="Times New Roman" w:hAnsi="Times New Roman"/>
          <w:sz w:val="20"/>
        </w:rPr>
        <w:t>(b) The Company hereby acknowledges that one or more of the directors nominated by Holders of Preferred Stock may have certain rights to indemnification, advancement of expenses and/or insurance provided by one or more of the Investors and certain of their Affiliates (collectively, the </w:t>
      </w:r>
      <w:r>
        <w:rPr>
          <w:rFonts w:ascii="Times New Roman" w:hAnsi="Times New Roman"/>
          <w:b/>
          <w:sz w:val="20"/>
        </w:rPr>
        <w:t>Fund Indemnitors</w:t>
      </w:r>
      <w:r>
        <w:rPr>
          <w:rFonts w:ascii="Times New Roman" w:hAnsi="Times New Roman"/>
          <w:sz w:val="20"/>
        </w:rPr>
        <w:t xml:space="preserve">) for alleged acts or omissions in their capacities as directors of the Company. The Company hereby agrees (i) that it is the indemnitor of first resort (i.e., its obligations to any such director are primary and any obligation of the Fund Indemnitors to advance expenses or to provide indemnification for the same expenses or liabilities incurred by such director are secondary), (ii) that it shall be required to advance the full amount of expenses incurred by such director and shall be liable for the full amount of all expenses, judgments, penalties, fines and amounts paid in settlement by or on behalf of any such director to the extent legally permitted and as required by the Certificate of Incorporation or Bylaws of the Company (or any agreement between the Company and such director), without regard to any rights such director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director with respect to any claim for which such director has sought indemnification from the Company shall affect the foregoing and the Fund Indemnitors shall have a right of contribution and/or be subrogated to the extent of such advancement or payment to all of the rights of recovery of such director against the Company. Such directors and the Fund Indemnitors are intended third-party beneficiaries of this </w:t>
      </w:r>
      <w:r>
        <w:rPr>
          <w:rFonts w:ascii="Times New Roman" w:hAnsi="Times New Roman"/>
          <w:sz w:val="20"/>
          <w:u w:val="single"/>
        </w:rPr>
        <w:t>Section 5.7</w:t>
      </w:r>
      <w:r>
        <w:rPr>
          <w:rFonts w:ascii="Times New Roman" w:hAnsi="Times New Roman"/>
          <w:sz w:val="20"/>
        </w:rPr>
        <w:t xml:space="preserve"> and shall have the right, power and authority to enforce the provisions of this </w:t>
      </w:r>
      <w:r>
        <w:rPr>
          <w:rFonts w:ascii="Times New Roman" w:hAnsi="Times New Roman"/>
          <w:sz w:val="20"/>
          <w:u w:val="single"/>
        </w:rPr>
        <w:t>Section 5.7</w:t>
      </w:r>
      <w:r>
        <w:rPr>
          <w:rFonts w:ascii="Times New Roman" w:hAnsi="Times New Roman"/>
          <w:sz w:val="20"/>
        </w:rPr>
        <w:t xml:space="preserve"> as though they were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Right to Conduct Activities</w:t>
      </w:r>
      <w:r>
        <w:rPr>
          <w:rFonts w:ascii="Times New Roman" w:hAnsi="Times New Roman"/>
          <w:sz w:val="20"/>
        </w:rPr>
        <w:t>. The Company hereby agrees and acknowledges that TRV (together with its Affiliates), JJDC (together with its Affiliates), ARCH (together with its Affiliates), Cormorant (together with its Affiliates), Sofinnova (together with its Affiliates), GS (together with its Affiliates), Surveyor (together with its Affiliates), each T. Rowe Price Investor (together with its Affiliates), each Fidelity Investor (together with its Affiliates) and the Capital Group Investor (together with its Affiliates) (each, an </w:t>
      </w:r>
      <w:r>
        <w:rPr>
          <w:rFonts w:ascii="Times New Roman" w:hAnsi="Times New Roman"/>
          <w:b/>
          <w:sz w:val="20"/>
        </w:rPr>
        <w:t>Investing Entity</w:t>
      </w:r>
      <w:r>
        <w:rPr>
          <w:rFonts w:ascii="Times New Roman" w:hAnsi="Times New Roman"/>
          <w:sz w:val="20"/>
        </w:rPr>
        <w:t xml:space="preserve">) invests in or may hereafter invest in one or more other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companies (</w:t>
      </w:r>
      <w:r>
        <w:rPr>
          <w:rFonts w:ascii="Times New Roman" w:hAnsi="Times New Roman"/>
          <w:b/>
          <w:sz w:val="20"/>
        </w:rPr>
        <w:t>PortCos</w:t>
      </w:r>
      <w:r>
        <w:rPr>
          <w:rFonts w:ascii="Times New Roman" w:hAnsi="Times New Roman"/>
          <w:sz w:val="20"/>
        </w:rPr>
        <w:t xml:space="preserve">), some of which may be deemed competitive with the Companys business (as currently conducted or as currently proposed to be conducted). Nothing in this Agreement (but subject to the last proviso of this Section 5.8) shall preclude or in any way restrict the Investors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(a) no Investing Entity shall be deemed to be a Competitor of the Company in respect of any investment such Investing Entity makes in any PortCo, and (b) to the extent permitted under applicable law, no Investing Entity shall be liable to the Company for any claim arising out of, or based upon, (i) the investment by such Investing Entity in any entity competitive with the Company, or (ii) actions taken by any partner, officer or other representative of such Investing Entity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Anti-Harassment Policy</w:t>
      </w:r>
      <w:r>
        <w:rPr>
          <w:rFonts w:ascii="Times New Roman" w:hAnsi="Times New Roman"/>
          <w:sz w:val="20"/>
        </w:rPr>
        <w:t xml:space="preserve">. The Company shall, within ninety (90) days following the Initial Closing (as defined in the Purchase Agreement), adopt and thereafter maintain in effect (i) a Code of Conduct governing appropriate workplace behavior and (ii) an Anti-Harassment and Discrimination Policy prohibiting discrimination and harassment at the Company. Such policy shall be reviewed and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FCPA</w:t>
      </w:r>
      <w:r>
        <w:rPr>
          <w:rFonts w:ascii="Times New Roman" w:hAnsi="Times New Roman"/>
          <w:sz w:val="20"/>
        </w:rPr>
        <w:t>. The Company covenants that it shall not (and shall not permit any of its subsidiaries or Affiliates or any of its or their respective directors, officers, managers, employees, independent contractors, representatives or agents to) promise, authorize or make any payment, or otherwise contribute any item of value, directly or indirectly, to any third party, including any Non-U.S. Official (as such term is defined in the U.S. Foreign Corrupt Practices Act of 1977, as amended (the </w:t>
      </w:r>
      <w:r>
        <w:rPr>
          <w:rFonts w:ascii="Times New Roman" w:hAnsi="Times New Roman"/>
          <w:b/>
          <w:sz w:val="20"/>
        </w:rPr>
        <w:t>FCPA</w:t>
      </w:r>
      <w:r>
        <w:rPr>
          <w:rFonts w:ascii="Times New Roman" w:hAnsi="Times New Roman"/>
          <w:sz w:val="20"/>
        </w:rPr>
        <w:t xml:space="preserve">)),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Cybersecurity</w:t>
      </w:r>
      <w:r>
        <w:rPr>
          <w:rFonts w:ascii="Times New Roman" w:hAnsi="Times New Roman"/>
          <w:sz w:val="20"/>
        </w:rPr>
        <w:t>. The Company shall, within one hundred eighty (180) days following the Initial Closing (as defined in the Purchase Agreement), use commercially reasonable efforts to (a) identify and restrict access (including through physical and/or technical controls) to the Companys confidential business information and trade secrets and any information about identified or identifiable natural persons maintained by or on behalf of the Company (collectively, </w:t>
      </w:r>
      <w:r>
        <w:rPr>
          <w:rFonts w:ascii="Times New Roman" w:hAnsi="Times New Roman"/>
          <w:b/>
          <w:sz w:val="20"/>
        </w:rPr>
        <w:t>Protected Data</w:t>
      </w:r>
      <w:r>
        <w:rPr>
          <w:rFonts w:ascii="Times New Roman" w:hAnsi="Times New Roman"/>
          <w:sz w:val="20"/>
        </w:rPr>
        <w:t xml:space="preserve">) to those individuals who have a need to access it and (b) implement reasonable physical, technical and administrative safeguards designed to protect the confidentiality, integrity and availability of its technology and systems (including servers,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laptops, desktops, cloud, containers, virtual environments and data centers) and all Protected Data. The Company shall evaluate on a periodic basis at least annually whether such safeguards should be updated to maintain a level of security appropriate to the risk posed to Company systems and Protected Data. The Company shall educate its employees about the proper use and storage of Protected Data, including periodic training as determined reasonably necessary by the Company or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Real Property Holding Corporation</w:t>
      </w:r>
      <w:r>
        <w:rPr>
          <w:rFonts w:ascii="Times New Roman" w:hAnsi="Times New Roman"/>
          <w:sz w:val="20"/>
        </w:rPr>
        <w:t xml:space="preserve">. Promptly following (and in any event within ten (10)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Equity Incentive Reserve</w:t>
      </w:r>
      <w:r>
        <w:rPr>
          <w:rFonts w:ascii="Times New Roman" w:hAnsi="Times New Roman"/>
          <w:sz w:val="20"/>
        </w:rPr>
        <w:t xml:space="preserve">. Immediately prior to the Second Tranche Closing (as defined in the Purchase Agreement), the Company shall increase the number of shares of Common Stock reserved for issuance under its 2022 Stock Option and Grant Plan such that the number of shares of Common Stock reserved under such 2022 Stock Option and Grant Plan, inclusive of certain restricted stock grants of the Company, equals eighteen percent (18%) of the Companys fully diluted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Termination of Covenants</w:t>
      </w:r>
      <w:r>
        <w:rPr>
          <w:rFonts w:ascii="Times New Roman" w:hAnsi="Times New Roman"/>
          <w:sz w:val="20"/>
        </w:rPr>
        <w:t xml:space="preserve">. The covenants set forth in this </w:t>
      </w:r>
      <w:r>
        <w:rPr>
          <w:rFonts w:ascii="Times New Roman" w:hAnsi="Times New Roman"/>
          <w:sz w:val="20"/>
          <w:u w:val="single"/>
        </w:rPr>
        <w:t>Section 5</w:t>
      </w:r>
      <w:r>
        <w:rPr>
          <w:rFonts w:ascii="Times New Roman" w:hAnsi="Times New Roman"/>
          <w:sz w:val="20"/>
        </w:rPr>
        <w:t xml:space="preserve">, except for </w:t>
      </w:r>
      <w:r>
        <w:rPr>
          <w:rFonts w:ascii="Times New Roman" w:hAnsi="Times New Roman"/>
          <w:sz w:val="20"/>
          <w:u w:val="single"/>
        </w:rPr>
        <w:t>Sections 5.6</w:t>
      </w:r>
      <w:r>
        <w:rPr>
          <w:rFonts w:ascii="Times New Roman" w:hAnsi="Times New Roman"/>
          <w:sz w:val="20"/>
        </w:rPr>
        <w:t xml:space="preserve"> and </w:t>
      </w:r>
      <w:r>
        <w:rPr>
          <w:rFonts w:ascii="Times New Roman" w:hAnsi="Times New Roman"/>
          <w:sz w:val="20"/>
          <w:u w:val="single"/>
        </w:rPr>
        <w:t>5.7</w:t>
      </w:r>
      <w:r>
        <w:rPr>
          <w:rFonts w:ascii="Times New Roman" w:hAnsi="Times New Roman"/>
          <w:sz w:val="20"/>
        </w:rPr>
        <w:t xml:space="preserve">, shall terminate and be of no further force or effect upon the earliest to occur of (i) immediately before but subject to the consummation of an IPO or (ii) when the Company first becomes subject to the periodic reporting requirements of Section 12(g) or 15(d) of the Exchange Act, or (iii) upon a Deemed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Successors and Assigns</w:t>
      </w:r>
      <w:r>
        <w:rPr>
          <w:rFonts w:ascii="Times New Roman" w:hAnsi="Times New Roman"/>
          <w:sz w:val="20"/>
        </w:rPr>
        <w:t xml:space="preserve">. The rights under this Agreement may be assigned (but only with all related obligations) by a Holder to a transferee of Registrable Securities that (i) is an Affiliate, partner, member, retired partner, retired member or stockholder of a Holder; (ii) is a Holders Immediate Family Member or trust for the benefit of an individual Holder or one or more of such Holders Immediate Family Members; or (iii) after such transfer, either (A) qualifies as a Major Investor or (B) holds 100% of such transferring Holders Registrable Securities;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hAnsi="Times New Roman"/>
          <w:sz w:val="20"/>
          <w:u w:val="single"/>
        </w:rPr>
        <w:t>Subsection 2.11</w:t>
      </w:r>
      <w:r>
        <w:rPr>
          <w:rFonts w:ascii="Times New Roman" w:hAnsi="Times New Roman"/>
          <w:sz w:val="20"/>
        </w:rPr>
        <w:t xml:space="preserve">. For the purposes of determining the number of shares of Registrable Securities held by a transferee, the holdings of a transferee (1) that is an Affiliate, limited partner, retired partner, member, retired member, or stockholder of a Holder; (2) who is a Holders Immediate Family Member; or (3) that is a trust for the benefit of an individual Holder or such Holders Immediate Family Member shall be aggregated together and with those of the transferring Holder and its Affiliates; provided further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including without limitation, the Investors Affiliates.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Governing Law</w:t>
      </w:r>
      <w:r>
        <w:rPr>
          <w:rFonts w:ascii="Times New Roman" w:hAnsi="Times New Roman"/>
          <w:sz w:val="20"/>
        </w:rPr>
        <w:t xml:space="preserve">. This Agreement shall be governed by the internal laws of the State of Delaware, without regard to conflict of law principles that would result in the application of any law other than the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Counterparts</w:t>
      </w:r>
      <w:r>
        <w:rPr>
          <w:rFonts w:ascii="Times New Roman" w:hAnsi="Times New Roman"/>
          <w:sz w:val="20"/>
        </w:rPr>
        <w:t xml:space="preserve">.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i/>
          <w:sz w:val="20"/>
        </w:rPr>
        <w:t>e.g.</w:t>
      </w:r>
      <w:r>
        <w:rPr>
          <w:rFonts w:ascii="Times New Roman" w:hAnsi="Times New Roman"/>
          <w:sz w:val="20"/>
        </w:rPr>
        <w:t xml:space="preserve">,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Titles and Subtitles</w:t>
      </w:r>
      <w:r>
        <w:rPr>
          <w:rFonts w:ascii="Times New Roman" w:hAnsi="Times New Roman"/>
          <w:sz w:val="20"/>
        </w:rPr>
        <w:t xml:space="preserve">. The titles and subtitles used in this Agreement are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notices and other communications given or made pursuant to this Agreement shall be in writing and shall be deemed effectively given: (a) upon personal delivery to the party to be notified; (b) when sent, if sent by confirmed electronic mail and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addresses as set forth on </w:t>
      </w:r>
      <w:r>
        <w:rPr>
          <w:rFonts w:ascii="Times New Roman" w:hAnsi="Times New Roman"/>
          <w:sz w:val="20"/>
          <w:u w:val="single"/>
        </w:rPr>
        <w:t>Schedule A</w:t>
      </w:r>
      <w:r>
        <w:rPr>
          <w:rFonts w:ascii="Times New Roman" w:hAnsi="Times New Roman"/>
          <w:sz w:val="20"/>
        </w:rPr>
        <w:t xml:space="preserve"> hereto, or to the principal office of the Company and to the attention of the Chief Executive Officer, in the case of the Company, or to such E-mail address or address as subsequently modified by written notice given in accordance with this </w:t>
      </w:r>
      <w:r>
        <w:rPr>
          <w:rFonts w:ascii="Times New Roman" w:hAnsi="Times New Roman"/>
          <w:sz w:val="20"/>
          <w:u w:val="single"/>
        </w:rPr>
        <w:t>Section 6.5</w:t>
      </w:r>
      <w:r>
        <w:rPr>
          <w:rFonts w:ascii="Times New Roman" w:hAnsi="Times New Roman"/>
          <w:sz w:val="20"/>
        </w:rPr>
        <w:t xml:space="preserve">. If notice is given to the Company, a copy, which shall not constitute notice, shall also be sent to Stephanie Richards at Goodwin Procter LLP, 100 Northern Avenue, Boston, MA 02210.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to Electronic Notice</w:t>
      </w:r>
      <w:r>
        <w:rPr>
          <w:rFonts w:ascii="Times New Roman" w:hAnsi="Times New Roman"/>
          <w:sz w:val="20"/>
        </w:rPr>
        <w:t>. Each Investor consents to the delivery of any stockholder notice pursuant to the Delaware General Corporation Law (the </w:t>
      </w:r>
      <w:r>
        <w:rPr>
          <w:rFonts w:ascii="Times New Roman" w:hAnsi="Times New Roman"/>
          <w:b/>
          <w:sz w:val="20"/>
        </w:rPr>
        <w:t>DGCL</w:t>
      </w:r>
      <w:r>
        <w:rPr>
          <w:rFonts w:ascii="Times New Roman" w:hAnsi="Times New Roman"/>
          <w:sz w:val="20"/>
        </w:rPr>
        <w:t xml:space="preserve">), as amended or superseded from time to time, by electronic transmission pursuant to Section 232 of the DGCL (or any successor thereto) at the electronic mail address set forth below such Investors name on the Schedules hereto, as updated from time to time by notice to the Company, or as on the books of the Company. Each Investor agrees to promptly notify the Company of any change in its electronic 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Amendments and Waivers</w:t>
      </w:r>
      <w:r>
        <w:rPr>
          <w:rFonts w:ascii="Times New Roman" w:hAnsi="Times New Roman"/>
          <w:sz w:val="20"/>
        </w:rPr>
        <w:t xml:space="preserve">. Any term of this Agreement may be amended, modified or terminated and the observance of any term of this Agreement may be waived (either generally or in a particular instance, and either retroactively or prospectively) only with the written consent of (i) the Company, (ii) the holders of a majority of the Registrable Securities then outstanding and (iii) the holders of a majority of the Registrable Securities underlying the Series B Preferred Stock; </w:t>
      </w:r>
      <w:r>
        <w:rPr>
          <w:rFonts w:ascii="Times New Roman" w:hAnsi="Times New Roman"/>
          <w:sz w:val="20"/>
          <w:u w:val="single"/>
        </w:rPr>
        <w:t>provided that</w:t>
      </w:r>
      <w:r>
        <w:rPr>
          <w:rFonts w:ascii="Times New Roman" w:hAnsi="Times New Roman"/>
          <w:sz w:val="20"/>
        </w:rPr>
        <w:t xml:space="preserve"> the Company may in its sole discretion waive compliance with </w:t>
      </w:r>
      <w:r>
        <w:rPr>
          <w:rFonts w:ascii="Times New Roman" w:hAnsi="Times New Roman"/>
          <w:sz w:val="20"/>
          <w:u w:val="single"/>
        </w:rPr>
        <w:t>Section 2.12(c)</w:t>
      </w:r>
      <w:r>
        <w:rPr>
          <w:rFonts w:ascii="Times New Roman" w:hAnsi="Times New Roman"/>
          <w:sz w:val="20"/>
        </w:rPr>
        <w:t xml:space="preserve"> (and the Companys failure to object promptly in writing after notification of a proposed assignment allegedly in violation of </w:t>
      </w:r>
      <w:r>
        <w:rPr>
          <w:rFonts w:ascii="Times New Roman" w:hAnsi="Times New Roman"/>
          <w:sz w:val="20"/>
          <w:u w:val="single"/>
        </w:rPr>
        <w:t>Section 2.12(c)</w:t>
      </w:r>
      <w:r>
        <w:rPr>
          <w:rFonts w:ascii="Times New Roman" w:hAnsi="Times New Roman"/>
          <w:sz w:val="20"/>
        </w:rPr>
        <w:t xml:space="preserve"> shall be deemed to be a waiver); and provided further that any provision hereof may be waived by any waiving party on such partys own behalf, without the consent of any other party. Notwithstanding the foregoing, (i) this Agreement may not be amended, modified or terminated and the observance of any term hereof may not be waived with respect to any Investor without the written consent of such Investor,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amendment, modification, termination, or waiver applies to all Investors in the same fashion; (ii) this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and </w:t>
      </w:r>
      <w:r>
        <w:rPr>
          <w:rFonts w:ascii="Times New Roman" w:hAnsi="Times New Roman"/>
          <w:sz w:val="20"/>
          <w:u w:val="single"/>
        </w:rPr>
        <w:t>4.1</w:t>
      </w:r>
      <w:r>
        <w:rPr>
          <w:rFonts w:ascii="Times New Roman" w:hAnsi="Times New Roman"/>
          <w:sz w:val="20"/>
        </w:rPr>
        <w:t xml:space="preserve"> and any other section of this Agreement applicable to the Major Investors may not be amended, modified, terminated or waived without the written consent of the Holders of at least the majority of the Registrable Securities then outstanding and held by the Major Investors, (iii) this </w:t>
      </w:r>
      <w:r>
        <w:rPr>
          <w:rFonts w:ascii="Times New Roman" w:hAnsi="Times New Roman"/>
          <w:sz w:val="20"/>
          <w:u w:val="single"/>
        </w:rPr>
        <w:t>clause (iii)</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1.28</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w:t>
      </w:r>
      <w:r>
        <w:rPr>
          <w:rFonts w:ascii="Times New Roman" w:hAnsi="Times New Roman"/>
          <w:sz w:val="20"/>
          <w:u w:val="single"/>
        </w:rPr>
        <w:t>5.8</w:t>
      </w:r>
      <w:r>
        <w:rPr>
          <w:rFonts w:ascii="Times New Roman" w:hAnsi="Times New Roman"/>
          <w:sz w:val="20"/>
        </w:rPr>
        <w:t xml:space="preserve"> and </w:t>
      </w:r>
      <w:r>
        <w:rPr>
          <w:rFonts w:ascii="Times New Roman" w:hAnsi="Times New Roman"/>
          <w:sz w:val="20"/>
          <w:u w:val="single"/>
        </w:rPr>
        <w:t>5.10</w:t>
      </w:r>
      <w:r>
        <w:rPr>
          <w:rFonts w:ascii="Times New Roman" w:hAnsi="Times New Roman"/>
          <w:sz w:val="20"/>
        </w:rPr>
        <w:t xml:space="preserve"> may not be amended, modified, terminated or waived with respect to TRV without the written consent of TRV, (iv) this </w:t>
      </w:r>
      <w:r>
        <w:rPr>
          <w:rFonts w:ascii="Times New Roman" w:hAnsi="Times New Roman"/>
          <w:sz w:val="20"/>
          <w:u w:val="single"/>
        </w:rPr>
        <w:t>clause (iv)</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1.28</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4.1(c)</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w:t>
      </w:r>
      <w:r>
        <w:rPr>
          <w:rFonts w:ascii="Times New Roman" w:hAnsi="Times New Roman"/>
          <w:sz w:val="20"/>
          <w:u w:val="single"/>
        </w:rPr>
        <w:t>5.8</w:t>
      </w:r>
      <w:r>
        <w:rPr>
          <w:rFonts w:ascii="Times New Roman" w:hAnsi="Times New Roman"/>
          <w:sz w:val="20"/>
        </w:rPr>
        <w:t xml:space="preserve">, </w:t>
      </w:r>
      <w:r>
        <w:rPr>
          <w:rFonts w:ascii="Times New Roman" w:hAnsi="Times New Roman"/>
          <w:sz w:val="20"/>
          <w:u w:val="single"/>
        </w:rPr>
        <w:t>5.10</w:t>
      </w:r>
      <w:r>
        <w:rPr>
          <w:rFonts w:ascii="Times New Roman" w:hAnsi="Times New Roman"/>
          <w:sz w:val="20"/>
        </w:rPr>
        <w:t xml:space="preserve">, and any provisions hereof, the amendment, modification, termination or waiver of which would adversely and disproportionately affect JJDCs rights or obligations hereunder, may not be amended, modified, terminated or waived with respect to JJDC without the written consent of JJDC, (v) this </w:t>
      </w:r>
      <w:r>
        <w:rPr>
          <w:rFonts w:ascii="Times New Roman" w:hAnsi="Times New Roman"/>
          <w:sz w:val="20"/>
          <w:u w:val="single"/>
        </w:rPr>
        <w:t>clause (v)</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4.1(d)</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ARCH without the written consent of ARCH, (vi) this </w:t>
      </w:r>
      <w:r>
        <w:rPr>
          <w:rFonts w:ascii="Times New Roman" w:hAnsi="Times New Roman"/>
          <w:sz w:val="20"/>
          <w:u w:val="single"/>
        </w:rPr>
        <w:t>clause (vi)</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Cormorant without the written consent of Cormorant; (vii) this </w:t>
      </w:r>
      <w:r>
        <w:rPr>
          <w:rFonts w:ascii="Times New Roman" w:hAnsi="Times New Roman"/>
          <w:sz w:val="20"/>
          <w:u w:val="single"/>
        </w:rPr>
        <w:t>clause (vii)</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1.42</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Sofinnova without the written consent of Sofinnova; (viii) this </w:t>
      </w:r>
      <w:r>
        <w:rPr>
          <w:rFonts w:ascii="Times New Roman" w:hAnsi="Times New Roman"/>
          <w:sz w:val="20"/>
          <w:u w:val="single"/>
        </w:rPr>
        <w:t>clause (viii)</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1.45</w:t>
      </w:r>
      <w:r>
        <w:rPr>
          <w:rFonts w:ascii="Times New Roman" w:hAnsi="Times New Roman"/>
          <w:sz w:val="20"/>
        </w:rPr>
        <w:t xml:space="preserve">, </w:t>
      </w:r>
      <w:r>
        <w:rPr>
          <w:rFonts w:ascii="Times New Roman" w:hAnsi="Times New Roman"/>
          <w:sz w:val="20"/>
          <w:u w:val="single"/>
        </w:rPr>
        <w:t>1.46</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the T. Rowe Price Investors without the written consent of the T. Rowe Price Investors holding a majority of the Registrable Securities held by the T. Rowe Price Investors; (ix) this </w:t>
      </w:r>
      <w:r>
        <w:rPr>
          <w:rFonts w:ascii="Times New Roman" w:hAnsi="Times New Roman"/>
          <w:sz w:val="20"/>
          <w:u w:val="single"/>
        </w:rPr>
        <w:t>clause (ix)</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1.19</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GS without the written consent of GS; and (x) this </w:t>
      </w:r>
      <w:r>
        <w:rPr>
          <w:rFonts w:ascii="Times New Roman" w:hAnsi="Times New Roman"/>
          <w:sz w:val="20"/>
          <w:u w:val="single"/>
        </w:rPr>
        <w:t>clause (x)</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1.44</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Surveyor without the written consent of Surveyor; (xi) this </w:t>
      </w:r>
      <w:r>
        <w:rPr>
          <w:rFonts w:ascii="Times New Roman" w:hAnsi="Times New Roman"/>
          <w:sz w:val="20"/>
          <w:u w:val="single"/>
        </w:rPr>
        <w:t>clause (xi)</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1.14</w:t>
      </w:r>
      <w:r>
        <w:rPr>
          <w:rFonts w:ascii="Times New Roman" w:hAnsi="Times New Roman"/>
          <w:sz w:val="20"/>
        </w:rPr>
        <w:t xml:space="preserve">, </w:t>
      </w:r>
      <w:r>
        <w:rPr>
          <w:rFonts w:ascii="Times New Roman" w:hAnsi="Times New Roman"/>
          <w:sz w:val="20"/>
          <w:u w:val="single"/>
        </w:rPr>
        <w:t>1.15</w:t>
      </w:r>
      <w:r>
        <w:rPr>
          <w:rFonts w:ascii="Times New Roman" w:hAnsi="Times New Roman"/>
          <w:sz w:val="20"/>
        </w:rPr>
        <w:t xml:space="preserve">, 3,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the Fidelity Investors without the written consent of the Fidelity Investors holding a majority of the Registrable Securities held by the Fidelity Investors; (xii) this </w:t>
      </w:r>
      <w:r>
        <w:rPr>
          <w:rFonts w:ascii="Times New Roman" w:hAnsi="Times New Roman"/>
          <w:sz w:val="20"/>
          <w:u w:val="single"/>
        </w:rPr>
        <w:t>clause (xii)</w:t>
      </w:r>
      <w:r>
        <w:rPr>
          <w:rFonts w:ascii="Times New Roman" w:hAnsi="Times New Roman"/>
          <w:sz w:val="20"/>
        </w:rPr>
        <w:t xml:space="preserve"> and </w:t>
      </w:r>
      <w:r>
        <w:rPr>
          <w:rFonts w:ascii="Times New Roman" w:hAnsi="Times New Roman"/>
          <w:sz w:val="20"/>
          <w:u w:val="single"/>
        </w:rPr>
        <w:t>Sections 1.1</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w:t>
      </w:r>
      <w:r>
        <w:rPr>
          <w:rFonts w:ascii="Times New Roman" w:hAnsi="Times New Roman"/>
          <w:sz w:val="20"/>
          <w:u w:val="single"/>
        </w:rPr>
        <w:t>4.1(i)</w:t>
      </w:r>
      <w:r>
        <w:rPr>
          <w:rFonts w:ascii="Times New Roman" w:hAnsi="Times New Roman"/>
          <w:sz w:val="20"/>
        </w:rPr>
        <w:t xml:space="preserve"> and </w:t>
      </w:r>
      <w:r>
        <w:rPr>
          <w:rFonts w:ascii="Times New Roman" w:hAnsi="Times New Roman"/>
          <w:sz w:val="20"/>
          <w:u w:val="single"/>
        </w:rPr>
        <w:t>5.8</w:t>
      </w:r>
      <w:r>
        <w:rPr>
          <w:rFonts w:ascii="Times New Roman" w:hAnsi="Times New Roman"/>
          <w:sz w:val="20"/>
        </w:rPr>
        <w:t xml:space="preserve"> may not be amended, modified, terminated or waived with respect to the Capital Group Investors without the written consent of the Capital Group Investor; (xiii) this </w:t>
      </w:r>
      <w:r>
        <w:rPr>
          <w:rFonts w:ascii="Times New Roman" w:hAnsi="Times New Roman"/>
          <w:sz w:val="20"/>
          <w:u w:val="single"/>
        </w:rPr>
        <w:t>clause (xiii)</w:t>
      </w:r>
      <w:r>
        <w:rPr>
          <w:rFonts w:ascii="Times New Roman" w:hAnsi="Times New Roman"/>
          <w:sz w:val="20"/>
        </w:rPr>
        <w:t xml:space="preserve"> and </w:t>
      </w:r>
      <w:r>
        <w:rPr>
          <w:rFonts w:ascii="Times New Roman" w:hAnsi="Times New Roman"/>
          <w:sz w:val="20"/>
          <w:u w:val="single"/>
        </w:rPr>
        <w:t>Section 1.6</w:t>
      </w:r>
      <w:r>
        <w:rPr>
          <w:rFonts w:ascii="Times New Roman" w:hAnsi="Times New Roman"/>
          <w:sz w:val="20"/>
        </w:rPr>
        <w:t xml:space="preserve"> may not be amended, modified, terminated or waived with respect to Perceptive without the written consent of Perceptive; and (xiv) if any amendment, modification, termination or waiver of this </w:t>
      </w:r>
      <w:r>
        <w:rPr>
          <w:rFonts w:ascii="Times New Roman" w:hAnsi="Times New Roman"/>
          <w:sz w:val="20"/>
          <w:u w:val="single"/>
        </w:rPr>
        <w:t>clause (xiv)</w:t>
      </w:r>
      <w:r>
        <w:rPr>
          <w:rFonts w:ascii="Times New Roman" w:hAnsi="Times New Roman"/>
          <w:sz w:val="20"/>
        </w:rPr>
        <w:t xml:space="preserve"> or </w:t>
      </w:r>
      <w:r>
        <w:rPr>
          <w:rFonts w:ascii="Times New Roman" w:hAnsi="Times New Roman"/>
          <w:sz w:val="20"/>
          <w:u w:val="single"/>
        </w:rPr>
        <w:t>Section 1.24</w:t>
      </w:r>
      <w:r>
        <w:rPr>
          <w:rFonts w:ascii="Times New Roman" w:hAnsi="Times New Roman"/>
          <w:sz w:val="20"/>
        </w:rPr>
        <w:t xml:space="preserve"> would result in any Major Investor becoming ineligible for Major Investor status, then such amendment, modification, termination or waiver shall require the written consent of such Major Investor. Notwithstanding the foregoing, </w:t>
      </w:r>
      <w:r>
        <w:rPr>
          <w:rFonts w:ascii="Times New Roman" w:hAnsi="Times New Roman"/>
          <w:sz w:val="20"/>
          <w:u w:val="single"/>
        </w:rPr>
        <w:t>Schedule A</w:t>
      </w:r>
      <w:r>
        <w:rPr>
          <w:rFonts w:ascii="Times New Roman" w:hAnsi="Times New Roman"/>
          <w:sz w:val="20"/>
        </w:rPr>
        <w:t xml:space="preserve"> hereto may be amended by the Company from time to time to add transferees of any Registrable Securities in compliance with the terms of this Agreement without the consent of the other parties; and </w:t>
      </w:r>
      <w:r>
        <w:rPr>
          <w:rFonts w:ascii="Times New Roman" w:hAnsi="Times New Roman"/>
          <w:sz w:val="20"/>
          <w:u w:val="single"/>
        </w:rPr>
        <w:t>Schedule A</w:t>
      </w:r>
      <w:r>
        <w:rPr>
          <w:rFonts w:ascii="Times New Roman" w:hAnsi="Times New Roman"/>
          <w:sz w:val="20"/>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 w:hAnsi="Times New Roman"/>
          <w:sz w:val="20"/>
          <w:u w:val="single"/>
        </w:rPr>
        <w:t>Section 6.9</w:t>
      </w:r>
      <w:r>
        <w:rPr>
          <w:rFonts w:ascii="Times New Roman" w:hAnsi="Times New Roman"/>
          <w:sz w:val="20"/>
        </w:rPr>
        <w:t xml:space="preserve">. The Company shall give prompt notice of any amendment or termination hereof or waiver hereunder to any party hereto that did not consent in writing to such amendment, modification, termination, or waiver. Any amendment, modification, termination, or waiver effected in accordance with this </w:t>
      </w:r>
      <w:r>
        <w:rPr>
          <w:rFonts w:ascii="Times New Roman" w:hAnsi="Times New Roman"/>
          <w:sz w:val="20"/>
          <w:u w:val="single"/>
        </w:rPr>
        <w:t>Section 6.6</w:t>
      </w:r>
      <w:r>
        <w:rPr>
          <w:rFonts w:ascii="Times New Roman" w:hAnsi="Times New Roman"/>
          <w:sz w:val="20"/>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Severability</w:t>
      </w:r>
      <w:r>
        <w:rPr>
          <w:rFonts w:ascii="Times New Roman" w:hAnsi="Times New Roman"/>
          <w:sz w:val="20"/>
        </w:rPr>
        <w:t xml:space="preserve">.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Aggregation of Stock</w:t>
      </w:r>
      <w:r>
        <w:rPr>
          <w:rFonts w:ascii="Times New Roman" w:hAnsi="Times New Roman"/>
          <w:sz w:val="20"/>
        </w:rPr>
        <w:t xml:space="preserve">.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Additional Investors</w:t>
      </w:r>
      <w:r>
        <w:rPr>
          <w:rFonts w:ascii="Times New Roman" w:hAnsi="Times New Roman"/>
          <w:sz w:val="20"/>
        </w:rPr>
        <w:t>. Notwithstanding anything to the contrary contained herein, if after the date hereof the Company issues additional shares of the Series B Preferred Stock to a Person who is not already a party to this Agreement (any such Person, a </w:t>
      </w:r>
      <w:r>
        <w:rPr>
          <w:rFonts w:ascii="Times New Roman" w:hAnsi="Times New Roman"/>
          <w:b/>
          <w:sz w:val="20"/>
        </w:rPr>
        <w:t>New Investor</w:t>
      </w:r>
      <w:r>
        <w:rPr>
          <w:rFonts w:ascii="Times New Roman" w:hAnsi="Times New Roman"/>
          <w:sz w:val="20"/>
        </w:rPr>
        <w:t xml:space="preserve">), as a condition to the issuance of such shares the Company shall require that such New Investor become a party to this Agreement by executing and delivering a counterpart signature page or joinder agreement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w:t>
      </w:r>
      <w:r>
        <w:rPr>
          <w:rFonts w:ascii="Times New Roman" w:hAnsi="Times New Roman"/>
          <w:sz w:val="20"/>
          <w:u w:val="single"/>
        </w:rPr>
        <w:t>Schedule A</w:t>
      </w:r>
      <w:r>
        <w:rPr>
          <w:rFonts w:ascii="Times New Roman" w:hAnsi="Times New Roman"/>
          <w:sz w:val="20"/>
        </w:rPr>
        <w:t xml:space="preserve"> to this Agreement shall be updated to reflect the issuance of Series B Preferred Stock to a New Investor. Further, notwithstanding anything to the contrary contained herein, the rights and obligations of each Fidelity Investor and of Sofinnova under this Agreement shall only become effective upon such Investors purchase of the shares of Series B Preferred Stock pursuant to </w:t>
      </w:r>
      <w:r>
        <w:rPr>
          <w:rFonts w:ascii="Times New Roman" w:hAnsi="Times New Roman"/>
          <w:sz w:val="20"/>
          <w:u w:val="single"/>
        </w:rPr>
        <w:t>Section 1.2(b)</w:t>
      </w:r>
      <w:r>
        <w:rPr>
          <w:rFonts w:ascii="Times New Roman" w:hAnsi="Times New Roman"/>
          <w:sz w:val="20"/>
        </w:rPr>
        <w:t xml:space="preserve">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Entire Agreement</w:t>
      </w:r>
      <w:r>
        <w:rPr>
          <w:rFonts w:ascii="Times New Roman" w:hAnsi="Times New Roman"/>
          <w:sz w:val="20"/>
        </w:rPr>
        <w:t xml:space="preserve">.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Submission to Jurisdiction</w:t>
      </w:r>
      <w:r>
        <w:rPr>
          <w:rFonts w:ascii="Times New Roman" w:hAnsi="Times New Roman"/>
          <w:sz w:val="20"/>
        </w:rPr>
        <w:t xml:space="preserve">. The parties hereto submit to the exclusive jurisdiction of any federal or state court located within the Commonwealth of Massachusetts over any dispute arising out of or relating to the Agreement or any of the transactions contemplated hereby and each party hereby agrees that all claims in respect of such dispute or any suit, action or proceeding related thereto may be heard and determined in such courts. The parties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Delays or Omissions</w:t>
      </w:r>
      <w:r>
        <w:rPr>
          <w:rFonts w:ascii="Times New Roman" w:hAnsi="Times New Roman"/>
          <w:sz w:val="20"/>
        </w:rPr>
        <w:t xml:space="preserve">. Except as set forth in </w:t>
      </w:r>
      <w:r>
        <w:rPr>
          <w:rFonts w:ascii="Times New Roman" w:hAnsi="Times New Roman"/>
          <w:sz w:val="20"/>
          <w:u w:val="single"/>
        </w:rPr>
        <w:t>Section 2.12(c)</w:t>
      </w:r>
      <w:r>
        <w:rPr>
          <w:rFonts w:ascii="Times New Roman" w:hAnsi="Times New Roman"/>
          <w:sz w:val="20"/>
        </w:rPr>
        <w:t xml:space="preserve"> (with respect to the Companys failure to object promptly to a transfer), no delay or omission to exercise any right, power, or remedy accruing to any party under this Agreement, upon any breach or default of any other party under this Agreement, shall impair any such right, power, or remedy of such nonbreaching or nondefaulting party,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RAPPORT THERAPEUTICS,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Abraham N. Ceesay</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Name: Abraham N. Ceesay</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46" w:name="d803738dex101.htm"/>
      <w:bookmarkStart w:id="47" w:name="ksd803738dex101"/>
      <w:bookmarkEnd w:id="46"/>
      <w:bookmarkEnd w:id="47"/>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plan is the Rapport Therapeutics, Inc. 2022 Stock Option and Grant Plan (the Plan). The purpose of the Plan is to encourage and enable the officers, employees, directors, Consultants and other key persons of Rapport Therapeutics, Inc., a Delaware corporation (including any successor entity, the Company) and its Subsidiaries, upon whose judgment, initiative and efforts the Company largely depends for the successful conduct of its business, to acquire a proprietary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Award</w:t>
      </w:r>
      <w:r>
        <w:rPr>
          <w:rFonts w:ascii="Times New Roman" w:hAnsi="Times New Roman"/>
          <w:sz w:val="20"/>
        </w:rPr>
        <w:t>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Restricted Stock Awards, Unrestricted Stock Awards, Restricted Stock Units or any combination of the foregoing. </w:t>
      </w:r>
    </w:p>
    <w:p>
      <w:pPr>
        <w:pStyle w:val="TextBody"/>
        <w:bidi w:val="0"/>
        <w:spacing w:before="240" w:after="0"/>
        <w:jc w:val="left"/>
        <w:rPr>
          <w:rFonts w:ascii="Times New Roman" w:hAnsi="Times New Roman"/>
          <w:sz w:val="20"/>
        </w:rPr>
      </w:pPr>
      <w:r>
        <w:rPr>
          <w:rFonts w:ascii="Times New Roman" w:hAnsi="Times New Roman"/>
          <w:i/>
          <w:sz w:val="20"/>
        </w:rPr>
        <w:t>Award Agreement</w:t>
      </w:r>
      <w:r>
        <w:rPr>
          <w:rFonts w:ascii="Times New Roman" w:hAnsi="Times New Roman"/>
          <w:sz w:val="20"/>
        </w:rPr>
        <w:t xml:space="preserve"> means a written or electronic agreement setting forth the terms and provisions applicable to an Award granted under the Plan. Each Award Agreement may contain terms and conditions in addition to those set forth in the Plan; </w:t>
      </w:r>
      <w:r>
        <w:rPr>
          <w:rFonts w:ascii="Times New Roman" w:hAnsi="Times New Roman"/>
          <w:i/>
          <w:sz w:val="20"/>
        </w:rPr>
        <w:t xml:space="preserve">provided, however, </w:t>
      </w:r>
      <w:r>
        <w:rPr>
          <w:rFonts w:ascii="Times New Roman" w:hAnsi="Times New Roman"/>
          <w:sz w:val="20"/>
        </w:rPr>
        <w:t>in the event of any conflict in the terms of the Plan and the Award Agreement, the terms of the Plan shall govern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Cause</w:t>
      </w:r>
      <w:r>
        <w:rPr>
          <w:rFonts w:ascii="Times New Roman" w:hAnsi="Times New Roman"/>
          <w:sz w:val="20"/>
        </w:rPr>
        <w:t xml:space="preserve">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Chief Executive Officer </w:t>
      </w:r>
      <w:r>
        <w:rPr>
          <w:rFonts w:ascii="Times New Roman" w:hAnsi="Times New Roman"/>
          <w:sz w:val="20"/>
        </w:rPr>
        <w:t xml:space="preserve">means the Chief Executive Officer of the Company or, if there is no Chief Executive Officer, then the President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Code</w:t>
      </w:r>
      <w:r>
        <w:rPr>
          <w:rFonts w:ascii="Times New Roman" w:hAnsi="Times New Roman"/>
          <w:sz w:val="20"/>
        </w:rPr>
        <w:t xml:space="preserve"> means the Internal Revenue Code of 1986, as amended, and any successor Code, and related rules, regulations and interpretations.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Committee</w:t>
      </w:r>
      <w:r>
        <w:rPr>
          <w:rFonts w:ascii="Times New Roman" w:hAnsi="Times New Roman"/>
          <w:sz w:val="20"/>
        </w:rPr>
        <w:t xml:space="preserve"> means the Committee of the Board referred to in Section 2. </w:t>
      </w:r>
    </w:p>
    <w:p>
      <w:pPr>
        <w:pStyle w:val="TextBody"/>
        <w:bidi w:val="0"/>
        <w:spacing w:before="240" w:after="0"/>
        <w:jc w:val="left"/>
        <w:rPr>
          <w:rFonts w:ascii="Times New Roman" w:hAnsi="Times New Roman"/>
          <w:sz w:val="20"/>
        </w:rPr>
      </w:pPr>
      <w:r>
        <w:rPr>
          <w:rFonts w:ascii="Times New Roman" w:hAnsi="Times New Roman"/>
          <w:i/>
          <w:sz w:val="20"/>
        </w:rPr>
        <w:t>Consultant</w:t>
      </w:r>
      <w:r>
        <w:rPr>
          <w:rFonts w:ascii="Times New Roman" w:hAnsi="Times New Roman"/>
          <w:sz w:val="20"/>
        </w:rPr>
        <w:t xml:space="preserve"> means any natural person that provides bona fide services to the Company (including a Subsidiary), and such services are not in connection with the offer or sale of securities in a capital-raising transaction and do not directly or indirectly promote or maintain a market for the Companys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Disability</w:t>
      </w:r>
      <w:r>
        <w:rPr>
          <w:rFonts w:ascii="Times New Roman" w:hAnsi="Times New Roman"/>
          <w:sz w:val="20"/>
        </w:rPr>
        <w:t xml:space="preserve"> means disability as defined in Section 422(c)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Effective Date</w:t>
      </w:r>
      <w:r>
        <w:rPr>
          <w:rFonts w:ascii="Times New Roman" w:hAnsi="Times New Roman"/>
          <w:sz w:val="20"/>
        </w:rPr>
        <w:t xml:space="preserve"> means the date on which the Plan is adopted as set forth on the final page of the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Fair Market Value</w:t>
      </w:r>
      <w:r>
        <w:rPr>
          <w:rFonts w:ascii="Times New Roman" w:hAnsi="Times New Roman"/>
          <w:sz w:val="20"/>
        </w:rPr>
        <w:t xml:space="preserve">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 </w:t>
      </w:r>
    </w:p>
    <w:p>
      <w:pPr>
        <w:pStyle w:val="TextBody"/>
        <w:bidi w:val="0"/>
        <w:spacing w:before="240" w:after="0"/>
        <w:jc w:val="left"/>
        <w:rPr>
          <w:rFonts w:ascii="Times New Roman" w:hAnsi="Times New Roman"/>
          <w:sz w:val="20"/>
        </w:rPr>
      </w:pPr>
      <w:r>
        <w:rPr>
          <w:rFonts w:ascii="Times New Roman" w:hAnsi="Times New Roman"/>
          <w:i/>
          <w:sz w:val="20"/>
        </w:rPr>
        <w:t>Good Reason</w:t>
      </w:r>
      <w:r>
        <w:rPr>
          <w:rFonts w:ascii="Times New Roman" w:hAnsi="Times New Roman"/>
          <w:sz w:val="20"/>
        </w:rPr>
        <w:t xml:space="preserve"> shall have the meaning as set forth in the Award Agreement(s). In the case that any Award Agreement does not contain a 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 xml:space="preserve">Grant Date </w:t>
      </w:r>
      <w:r>
        <w:rPr>
          <w:rFonts w:ascii="Times New Roman" w:hAnsi="Times New Roman"/>
          <w:sz w:val="20"/>
        </w:rPr>
        <w:t xml:space="preserve">means the date that the Committee designates in its approval of an Award in accordance with applicable law as the date on which the Award is granted, which date may not precede the date of such Committee approval. </w:t>
      </w:r>
    </w:p>
    <w:p>
      <w:pPr>
        <w:pStyle w:val="TextBody"/>
        <w:bidi w:val="0"/>
        <w:spacing w:before="240" w:after="0"/>
        <w:jc w:val="left"/>
        <w:rPr>
          <w:rFonts w:ascii="Times New Roman" w:hAnsi="Times New Roman"/>
          <w:sz w:val="20"/>
        </w:rPr>
      </w:pPr>
      <w:r>
        <w:rPr>
          <w:rFonts w:ascii="Times New Roman" w:hAnsi="Times New Roman"/>
          <w:i/>
          <w:sz w:val="20"/>
        </w:rPr>
        <w:t>Holder</w:t>
      </w:r>
      <w:r>
        <w:rPr>
          <w:rFonts w:ascii="Times New Roman" w:hAnsi="Times New Roman"/>
          <w:sz w:val="20"/>
        </w:rPr>
        <w:t xml:space="preserve"> means, with respect to an Award or any Shares, the Person holding such Award or Shares, including the initial recipient of the Award or any Permitted Transferee.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Initial Public Offering</w:t>
      </w:r>
      <w:r>
        <w:rPr>
          <w:rFonts w:ascii="Times New Roman" w:hAnsi="Times New Roman"/>
          <w:sz w:val="20"/>
        </w:rPr>
        <w:t xml:space="preserve">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Option</w:t>
      </w:r>
      <w:r>
        <w:rPr>
          <w:rFonts w:ascii="Times New Roman" w:hAnsi="Times New Roman"/>
          <w:sz w:val="20"/>
        </w:rPr>
        <w:t>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Permitted Transferees</w:t>
      </w:r>
      <w:r>
        <w:rPr>
          <w:rFonts w:ascii="Times New Roman" w:hAnsi="Times New Roman"/>
          <w:sz w:val="20"/>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hAnsi="Times New Roman"/>
          <w:i/>
          <w:sz w:val="20"/>
        </w:rPr>
        <w:t>; provided, however,</w:t>
      </w:r>
      <w:r>
        <w:rPr>
          <w:rFonts w:ascii="Times New Roman" w:hAnsi="Times New Roman"/>
          <w:sz w:val="20"/>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Person</w:t>
      </w:r>
      <w:r>
        <w:rPr>
          <w:rFonts w:ascii="Times New Roman" w:hAnsi="Times New Roman"/>
          <w:sz w:val="20"/>
        </w:rPr>
        <w:t xml:space="preserve"> shall mean any individual, corporation, partnership (limited or general), limited liability company, limited liability partnership, association, trust, joint venture, unincorporated organization or any similar entity. </w:t>
      </w:r>
    </w:p>
    <w:p>
      <w:pPr>
        <w:pStyle w:val="TextBody"/>
        <w:bidi w:val="0"/>
        <w:spacing w:before="240" w:after="0"/>
        <w:jc w:val="left"/>
        <w:rPr>
          <w:rFonts w:ascii="Times New Roman" w:hAnsi="Times New Roman"/>
          <w:sz w:val="20"/>
        </w:rPr>
      </w:pPr>
      <w:r>
        <w:rPr>
          <w:rFonts w:ascii="Times New Roman" w:hAnsi="Times New Roman"/>
          <w:i/>
          <w:sz w:val="20"/>
        </w:rPr>
        <w:t>Restricted Stock Award</w:t>
      </w:r>
      <w:r>
        <w:rPr>
          <w:rFonts w:ascii="Times New Roman" w:hAnsi="Times New Roman"/>
          <w:sz w:val="20"/>
        </w:rPr>
        <w:t xml:space="preserve"> means Awards granted pursuant to Section 6 and </w:t>
      </w:r>
      <w:r>
        <w:rPr>
          <w:rFonts w:ascii="Times New Roman" w:hAnsi="Times New Roman"/>
          <w:i/>
          <w:sz w:val="20"/>
        </w:rPr>
        <w:t>Restricted Stock</w:t>
      </w:r>
      <w:r>
        <w:rPr>
          <w:rFonts w:ascii="Times New Roman" w:hAnsi="Times New Roman"/>
          <w:sz w:val="20"/>
        </w:rPr>
        <w:t xml:space="preserve"> means Shares issued pursuant to such Awards. </w:t>
      </w:r>
    </w:p>
    <w:p>
      <w:pPr>
        <w:pStyle w:val="TextBody"/>
        <w:bidi w:val="0"/>
        <w:spacing w:before="240" w:after="0"/>
        <w:jc w:val="left"/>
        <w:rPr>
          <w:rFonts w:ascii="Times New Roman" w:hAnsi="Times New Roman"/>
          <w:sz w:val="20"/>
        </w:rPr>
      </w:pPr>
      <w:r>
        <w:rPr>
          <w:rFonts w:ascii="Times New Roman" w:hAnsi="Times New Roman"/>
          <w:i/>
          <w:sz w:val="20"/>
        </w:rPr>
        <w:t>Restricted Stock Unit</w:t>
      </w:r>
      <w:r>
        <w:rPr>
          <w:rFonts w:ascii="Times New Roman" w:hAnsi="Times New Roman"/>
          <w:sz w:val="20"/>
        </w:rPr>
        <w:t xml:space="preserve"> means an Award of phantom stock units to a grantee, which may be settled in cash or Shares as determined by the Committee, pursuant to Section 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Sale Event</w:t>
      </w:r>
      <w:r>
        <w:rPr>
          <w:rFonts w:ascii="Times New Roman" w:hAnsi="Times New Roman"/>
          <w:sz w:val="20"/>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hAnsi="Times New Roman"/>
          <w:i/>
          <w:sz w:val="20"/>
        </w:rPr>
        <w:t xml:space="preserve">provided, however, </w:t>
      </w:r>
      <w:r>
        <w:rPr>
          <w:rFonts w:ascii="Times New Roman" w:hAnsi="Times New Roman"/>
          <w:sz w:val="20"/>
        </w:rPr>
        <w:t xml:space="preserve">that the Companys Initial Public Offering, any subsequent public offering or another capital raising event, or a merger effected solely to change the Companys domicile shall not constitute a Sale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thereunder. </w:t>
      </w:r>
    </w:p>
    <w:p>
      <w:pPr>
        <w:pStyle w:val="TextBody"/>
        <w:bidi w:val="0"/>
        <w:spacing w:before="240" w:after="0"/>
        <w:jc w:val="left"/>
        <w:rPr>
          <w:rFonts w:ascii="Times New Roman" w:hAnsi="Times New Roman"/>
          <w:sz w:val="20"/>
        </w:rPr>
      </w:pPr>
      <w:r>
        <w:rPr>
          <w:rFonts w:ascii="Times New Roman" w:hAnsi="Times New Roman"/>
          <w:i/>
          <w:sz w:val="20"/>
        </w:rPr>
        <w:t>Service Relationship</w:t>
      </w:r>
      <w:r>
        <w:rPr>
          <w:rFonts w:ascii="Times New Roman" w:hAnsi="Times New Roman"/>
          <w:sz w:val="20"/>
        </w:rPr>
        <w:t xml:space="preserve"> means any relationship as a full-time employee, part-time employee, director or other key person (including Consultants) of the Company or any Subsidiary or any successor entity (e.g., a Service Relationship shall be deemed to continue without interruption in the event an individuals status changes from full-time employee to part-time employee or Consultant). </w:t>
      </w:r>
    </w:p>
    <w:p>
      <w:pPr>
        <w:pStyle w:val="TextBody"/>
        <w:bidi w:val="0"/>
        <w:spacing w:before="240" w:after="0"/>
        <w:jc w:val="left"/>
        <w:rPr>
          <w:rFonts w:ascii="Times New Roman" w:hAnsi="Times New Roman"/>
          <w:sz w:val="20"/>
        </w:rPr>
      </w:pPr>
      <w:r>
        <w:rPr>
          <w:rFonts w:ascii="Times New Roman" w:hAnsi="Times New Roman"/>
          <w:i/>
          <w:sz w:val="20"/>
        </w:rPr>
        <w:t>Shares</w:t>
      </w:r>
      <w:r>
        <w:rPr>
          <w:rFonts w:ascii="Times New Roman" w:hAnsi="Times New Roman"/>
          <w:sz w:val="20"/>
        </w:rPr>
        <w:t xml:space="preserve"> means shares of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Stock</w:t>
      </w:r>
      <w:r>
        <w:rPr>
          <w:rFonts w:ascii="Times New Roman" w:hAnsi="Times New Roman"/>
          <w:sz w:val="20"/>
        </w:rPr>
        <w:t xml:space="preserve"> means the Common Stock, par value $0.001 per share,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more than a 50 percent interest, either directly or indirectly. </w:t>
      </w:r>
    </w:p>
    <w:p>
      <w:pPr>
        <w:pStyle w:val="TextBody"/>
        <w:bidi w:val="0"/>
        <w:spacing w:before="240" w:after="0"/>
        <w:jc w:val="left"/>
        <w:rPr>
          <w:rFonts w:ascii="Times New Roman" w:hAnsi="Times New Roman"/>
          <w:sz w:val="20"/>
        </w:rPr>
      </w:pP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stock of the Company or any parent of the Company or any Subsidiary. </w:t>
      </w:r>
    </w:p>
    <w:p>
      <w:pPr>
        <w:pStyle w:val="TextBody"/>
        <w:bidi w:val="0"/>
        <w:spacing w:before="240" w:after="0"/>
        <w:jc w:val="left"/>
        <w:rPr>
          <w:rFonts w:ascii="Times New Roman" w:hAnsi="Times New Roman"/>
          <w:sz w:val="20"/>
        </w:rPr>
      </w:pPr>
      <w:r>
        <w:rPr>
          <w:rFonts w:ascii="Times New Roman" w:hAnsi="Times New Roman"/>
          <w:i/>
          <w:sz w:val="20"/>
        </w:rPr>
        <w:t>Termination Event</w:t>
      </w:r>
      <w:r>
        <w:rPr>
          <w:rFonts w:ascii="Times New Roman" w:hAnsi="Times New Roman"/>
          <w:sz w:val="20"/>
        </w:rPr>
        <w:t xml:space="preserve"> means the termination of the Award recipients Service Relationship with the Company and its Subsidiaries for 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Unrestricted Stock Award</w:t>
      </w:r>
      <w:r>
        <w:rPr>
          <w:rFonts w:ascii="Times New Roman" w:hAnsi="Times New Roman"/>
          <w:sz w:val="20"/>
        </w:rPr>
        <w:t xml:space="preserve"> means any Award granted pursuant to Section 7 and </w:t>
      </w:r>
      <w:r>
        <w:rPr>
          <w:rFonts w:ascii="Times New Roman" w:hAnsi="Times New Roman"/>
          <w:i/>
          <w:sz w:val="20"/>
        </w:rPr>
        <w:t>Unrestricted Stock</w:t>
      </w:r>
      <w:r>
        <w:rPr>
          <w:rFonts w:ascii="Times New Roman" w:hAnsi="Times New Roman"/>
          <w:sz w:val="20"/>
        </w:rPr>
        <w:t xml:space="preserve"> means Shares issued pursuant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COMMITTEE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Committee</w:t>
      </w:r>
      <w:r>
        <w:rPr>
          <w:rFonts w:ascii="Times New Roman" w:hAnsi="Times New Roman"/>
          <w:sz w:val="20"/>
        </w:rPr>
        <w:t xml:space="preserve">. The Committee shall have the power and authority to grant Awards consistent with the terms of the Plan, including the power and authority: </w:t>
      </w:r>
    </w:p>
    <w:p>
      <w:pPr>
        <w:pStyle w:val="TextBody"/>
        <w:bidi w:val="0"/>
        <w:spacing w:before="12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amount, if any, of Incentive Stock Options, Non-Qualified Stock Options, Restricted Stock Awards, Unrestricted Stock Awards, Restricted Stock Units,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to be covered by any Award and, subject to the provisions of the Plan, the price, exercise price, conversion ratio or other price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to impose any limitations on Awards, including limitations on transfers, repurchase provisions and the like, and to exercise repurchase rights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(vii) subject to Section 5(a)(ii) and any restrictions imposed by Section 409A, to extend at any time the period in which Stock Options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(viii) 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Committee shall be binding on all persons, including the Company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w:t>
      </w:r>
      <w:r>
        <w:rPr>
          <w:rFonts w:ascii="Times New Roman" w:hAnsi="Times New Roman"/>
          <w:sz w:val="20"/>
        </w:rPr>
        <w:t xml:space="preserve">.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Foreign Award Recipients</w:t>
      </w:r>
      <w:r>
        <w:rPr>
          <w:rFonts w:ascii="Times New Roman" w:hAnsi="Times New Roman"/>
          <w:sz w:val="20"/>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ISSUABLE UNDER THE PLAN; MERGERS AND OTHER TRANSACTIONS; SUBSTITUTION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[2,750,000]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[27,500,000] Shares may be issued pursuant to Incentive Stock Options. The Shares available for issuance under the Plan may be authorized but unissued Shares or Shares reacquired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Stock</w:t>
      </w:r>
      <w:r>
        <w:rPr>
          <w:rFonts w:ascii="Times New Roman" w:hAnsi="Times New Roman"/>
          <w:sz w:val="20"/>
        </w:rPr>
        <w:t xml:space="preserve">.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Sale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hAnsi="Times New Roman"/>
          <w:i/>
          <w:sz w:val="20"/>
        </w:rPr>
        <w:t>provided, however</w:t>
      </w:r>
      <w:r>
        <w:rPr>
          <w:rFonts w:ascii="Times New Roman" w:hAnsi="Times New Roman"/>
          <w:sz w:val="20"/>
        </w:rPr>
        <w:t xml:space="preserve">, that the exercise of Options not exercisable prior to the Sale Event shall be subject to the consummation of the Sale Event.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Restricted Stock and Restricted Stock Unit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Awards shall be granted only to those individuals described in Rule 701(c)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grant of a Stock Option, the Company and the grantee shall enter into an Award Agreement. The terms and conditions of each such Award Agreement shall be determined by the Committee,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Terms of Stock Options</w:t>
      </w:r>
      <w:r>
        <w:rPr>
          <w:rFonts w:ascii="Times New Roman" w:hAnsi="Times New Roman"/>
          <w:sz w:val="20"/>
        </w:rPr>
        <w:t xml:space="preserve">.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Exercise Price</w:t>
      </w:r>
      <w:r>
        <w:rPr>
          <w:rFonts w:ascii="Times New Roman" w:hAnsi="Times New Roman"/>
          <w:sz w:val="20"/>
        </w:rPr>
        <w:t xml:space="preserve">.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 Term</w:t>
      </w:r>
      <w:r>
        <w:rPr>
          <w:rFonts w:ascii="Times New Roman" w:hAnsi="Times New Roman"/>
          <w:sz w:val="20"/>
        </w:rPr>
        <w:t xml:space="preserve">.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Exercisability; Rights of a Stockholder</w:t>
      </w:r>
      <w:r>
        <w:rPr>
          <w:rFonts w:ascii="Times New Roman" w:hAnsi="Times New Roman"/>
          <w:sz w:val="20"/>
        </w:rPr>
        <w:t xml:space="preserve">.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Method of Exercise</w:t>
      </w:r>
      <w:r>
        <w:rPr>
          <w:rFonts w:ascii="Times New Roman" w:hAnsi="Times New Roman"/>
          <w:sz w:val="20"/>
        </w:rPr>
        <w:t xml:space="preserve">.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(A) In cash, by certified or bank check, by wire transfer of immediately available funds, or other instrument acceptable to the Committee; </w:t>
      </w:r>
    </w:p>
    <w:p>
      <w:pPr>
        <w:pStyle w:val="TextBody"/>
        <w:bidi w:val="0"/>
        <w:spacing w:before="120" w:after="0"/>
        <w:jc w:val="left"/>
        <w:rPr>
          <w:rFonts w:ascii="Times New Roman" w:hAnsi="Times New Roman"/>
          <w:sz w:val="20"/>
        </w:rPr>
      </w:pPr>
      <w:r>
        <w:rPr>
          <w:rFonts w:ascii="Times New Roman" w:hAnsi="Times New Roman"/>
          <w:sz w:val="20"/>
        </w:rPr>
        <w:t xml:space="preserve">(B) 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hAnsi="Times New Roman"/>
          <w:sz w:val="20"/>
          <w:u w:val="single"/>
        </w:rPr>
        <w:t>provided</w:t>
      </w:r>
      <w:r>
        <w:rPr>
          <w:rFonts w:ascii="Times New Roman" w:hAnsi="Times New Roman"/>
          <w:sz w:val="20"/>
        </w:rPr>
        <w:t xml:space="preserve">, that at least so much of the exercise price as represents the par value of the Stock shall be paid in cash if required by state law; </w:t>
      </w:r>
    </w:p>
    <w:p>
      <w:pPr>
        <w:pStyle w:val="TextBody"/>
        <w:bidi w:val="0"/>
        <w:spacing w:before="120" w:after="0"/>
        <w:jc w:val="left"/>
        <w:rPr>
          <w:rFonts w:ascii="Times New Roman" w:hAnsi="Times New Roman"/>
          <w:sz w:val="20"/>
        </w:rPr>
      </w:pPr>
      <w:r>
        <w:rPr>
          <w:rFonts w:ascii="Times New Roman" w:hAnsi="Times New Roman"/>
          <w:sz w:val="20"/>
        </w:rPr>
        <w:t xml:space="preserve">(C) 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 </w:t>
      </w:r>
    </w:p>
    <w:p>
      <w:pPr>
        <w:pStyle w:val="TextBody"/>
        <w:bidi w:val="0"/>
        <w:spacing w:before="120" w:after="0"/>
        <w:jc w:val="left"/>
        <w:rPr>
          <w:rFonts w:ascii="Times New Roman" w:hAnsi="Times New Roman"/>
          <w:sz w:val="20"/>
        </w:rPr>
      </w:pPr>
      <w:r>
        <w:rPr>
          <w:rFonts w:ascii="Times New Roman" w:hAnsi="Times New Roman"/>
          <w:sz w:val="20"/>
        </w:rPr>
        <w:t xml:space="preserve">(D) 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hAnsi="Times New Roman"/>
          <w:sz w:val="20"/>
          <w:u w:val="single"/>
        </w:rPr>
        <w:t>provided</w:t>
      </w:r>
      <w:r>
        <w:rPr>
          <w:rFonts w:ascii="Times New Roman" w:hAnsi="Times New Roman"/>
          <w:sz w:val="20"/>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w:t>
      </w:r>
      <w:r>
        <w:rPr>
          <w:rFonts w:ascii="Times New Roman" w:hAnsi="Times New Roman"/>
          <w:sz w:val="20"/>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by the Committee and set forth in the applicable Award Agreement), or (ii) the Expiration Date set forth in the Award Agreement; </w:t>
      </w:r>
      <w:r>
        <w:rPr>
          <w:rFonts w:ascii="Times New Roman" w:hAnsi="Times New Roman"/>
          <w:sz w:val="20"/>
          <w:u w:val="single"/>
        </w:rPr>
        <w:t>provided</w:t>
      </w:r>
      <w:r>
        <w:rPr>
          <w:rFonts w:ascii="Times New Roman" w:hAnsi="Times New Roman"/>
          <w:sz w:val="20"/>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Stock</w:t>
      </w:r>
      <w:r>
        <w:rPr>
          <w:rFonts w:ascii="Times New Roman" w:hAnsi="Times New Roman"/>
          <w:sz w:val="20"/>
        </w:rPr>
        <w:t xml:space="preserve">.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w:t>
      </w:r>
      <w:r>
        <w:rPr>
          <w:rFonts w:ascii="Times New Roman" w:hAnsi="Times New Roman"/>
          <w:sz w:val="20"/>
        </w:rPr>
        <w:t xml:space="preserve">.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TRANSFER RESTRICTIONS; COMPANY RIGHT OF FIRST REFUSAL; COMPANY REPURCHASE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Non-Transferability of Stock Options</w:t>
      </w:r>
      <w:r>
        <w:rPr>
          <w:rFonts w:ascii="Times New Roman" w:hAnsi="Times New Roman"/>
          <w:sz w:val="20"/>
        </w:rPr>
        <w:t xml:space="preserve">.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Shares</w:t>
      </w:r>
      <w:r>
        <w:rPr>
          <w:rFonts w:ascii="Times New Roman" w:hAnsi="Times New Roman"/>
          <w:sz w:val="20"/>
        </w:rPr>
        <w:t xml:space="preserve">.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Transfers to Permitted Transferees</w:t>
      </w:r>
      <w:r>
        <w:rPr>
          <w:rFonts w:ascii="Times New Roman" w:hAnsi="Times New Roman"/>
          <w:sz w:val="20"/>
        </w:rPr>
        <w:t xml:space="preserve">. The Holder may transfer any or all of the Shares to one or more Permitted Transferees; </w:t>
      </w:r>
      <w:r>
        <w:rPr>
          <w:rFonts w:ascii="Times New Roman" w:hAnsi="Times New Roman"/>
          <w:i/>
          <w:sz w:val="20"/>
        </w:rPr>
        <w:t>provided, however</w:t>
      </w:r>
      <w:r>
        <w:rPr>
          <w:rFonts w:ascii="Times New Roman" w:hAnsi="Times New Roman"/>
          <w:sz w:val="20"/>
        </w:rPr>
        <w:t xml:space="preserve">,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Transfers Upon Death</w:t>
      </w:r>
      <w:r>
        <w:rPr>
          <w:rFonts w:ascii="Times New Roman" w:hAnsi="Times New Roman"/>
          <w:sz w:val="20"/>
        </w:rPr>
        <w:t xml:space="preserve">.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of First Refusal</w:t>
      </w:r>
      <w:r>
        <w:rPr>
          <w:rFonts w:ascii="Times New Roman" w:hAnsi="Times New Roman"/>
          <w:sz w:val="20"/>
        </w:rPr>
        <w:t xml:space="preserve">.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Companys Right of Repurchase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Right of Repurchase for Unvested Shares Issued Upon the Exercise of an Option</w:t>
      </w:r>
      <w:r>
        <w:rPr>
          <w:rFonts w:ascii="Times New Roman" w:hAnsi="Times New Roman"/>
          <w:sz w:val="20"/>
        </w:rPr>
        <w:t xml:space="preserve">.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Right of Repurchase With Respect to Restricted Stock</w:t>
      </w:r>
      <w:r>
        <w:rPr>
          <w:rFonts w:ascii="Times New Roman" w:hAnsi="Times New Roman"/>
          <w:sz w:val="20"/>
        </w:rPr>
        <w:t xml:space="preserve">.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Procedure</w:t>
      </w:r>
      <w:r>
        <w:rPr>
          <w:rFonts w:ascii="Times New Roman" w:hAnsi="Times New Roman"/>
          <w:sz w:val="20"/>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hAnsi="Times New Roman"/>
          <w:i/>
          <w:sz w:val="20"/>
        </w:rPr>
        <w:t>provided, however</w:t>
      </w:r>
      <w:r>
        <w:rPr>
          <w:rFonts w:ascii="Times New Roman" w:hAnsi="Times New Roman"/>
          <w:sz w:val="20"/>
        </w:rPr>
        <w:t xml:space="preserve">, that the Company may pay the repurchase price by offsetting and canceling any indebtedness then owed by the Holder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Drag Along Right</w:t>
      </w:r>
      <w:r>
        <w:rPr>
          <w:rFonts w:ascii="Times New Roman" w:hAnsi="Times New Roman"/>
          <w:sz w:val="20"/>
        </w:rPr>
        <w:t xml:space="preserve">. In the event the holders of a majority of the Companys equity securities then outstanding (the Majority Shareholders) determine to enter into a Sale Event in a bona fide negotiated transaction (a Sale), with any non-Affiliate of the Company or any majority shareholder (in each case, the Buyer),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Escrow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Escrow</w:t>
      </w:r>
      <w:r>
        <w:rPr>
          <w:rFonts w:ascii="Times New Roman" w:hAnsi="Times New Roman"/>
          <w:sz w:val="20"/>
        </w:rPr>
        <w:t xml:space="preserve">.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Remedy</w:t>
      </w:r>
      <w:r>
        <w:rPr>
          <w:rFonts w:ascii="Times New Roman" w:hAnsi="Times New Roman"/>
          <w:sz w:val="20"/>
        </w:rPr>
        <w:t xml:space="preserve">.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Lockup Provision</w:t>
      </w:r>
      <w:r>
        <w:rPr>
          <w:rFonts w:ascii="Times New Roman" w:hAnsi="Times New Roman"/>
          <w:sz w:val="20"/>
        </w:rPr>
        <w:t xml:space="preserve">.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Termination</w:t>
      </w:r>
      <w:r>
        <w:rPr>
          <w:rFonts w:ascii="Times New Roman" w:hAnsi="Times New Roman"/>
          <w:sz w:val="20"/>
        </w:rPr>
        <w:t xml:space="preserve">.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Companys required tax withholding obligation may be satisfied, in whole or in part, by the Company (i) withholding from Shares to be issued pursuant to an Award a number of Shares having an aggregate Fair Market Value (as of the date the withholding is effected) that would satisfy the withholding amount due or (ii) causing its transfer agent to sell a number of Shares with an aggregate Fair Market Value (as of the date the withholding is effected) that would satisfy the withholding amount due and remitting the proceeds from such sale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 xml:space="preserve">SECTION 409A AWARDS.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 Compliance with Legal Requirements</w:t>
      </w:r>
      <w:r>
        <w:rPr>
          <w:rFonts w:ascii="Times New Roman" w:hAnsi="Times New Roman"/>
          <w:sz w:val="20"/>
        </w:rPr>
        <w:t xml:space="preserve">.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Stock Certificates</w:t>
      </w:r>
      <w:r>
        <w:rPr>
          <w:rFonts w:ascii="Times New Roman" w:hAnsi="Times New Roman"/>
          <w:sz w:val="20"/>
        </w:rPr>
        <w:t xml:space="preserve">.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Employment Rights</w:t>
      </w:r>
      <w:r>
        <w:rPr>
          <w:rFonts w:ascii="Times New Roman" w:hAnsi="Times New Roman"/>
          <w:b/>
          <w:sz w:val="20"/>
        </w:rPr>
        <w:t xml:space="preserve">. </w:t>
      </w:r>
      <w:r>
        <w:rPr>
          <w:rFonts w:ascii="Times New Roman" w:hAnsi="Times New Roman"/>
          <w:sz w:val="20"/>
        </w:rPr>
        <w:t xml:space="preserve">The adoption of the Plan and the grant of Awards do not confer upon any Person any right to continued employment or Service Relationship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policy-related restrictions, terms and conditions as may be established by the Committee, or in accordance with policies set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Designation of Beneficiary</w:t>
      </w:r>
      <w:r>
        <w:rPr>
          <w:rFonts w:ascii="Times New Roman" w:hAnsi="Times New Roman"/>
          <w:sz w:val="20"/>
        </w:rPr>
        <w:t xml:space="preserve">.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Legend</w:t>
      </w:r>
      <w:r>
        <w:rPr>
          <w:rFonts w:ascii="Times New Roman" w:hAnsi="Times New Roman"/>
          <w:sz w:val="20"/>
        </w:rPr>
        <w:t xml:space="preserve">. Any certificate(s) representing the Shares shall carry substantially the following legend (and with respect to uncertificated Stock, the book entries evidencing such shares shall contain the following notation): </w:t>
      </w:r>
    </w:p>
    <w:p>
      <w:pPr>
        <w:pStyle w:val="TextBody"/>
        <w:bidi w:val="0"/>
        <w:spacing w:before="120" w:after="0"/>
        <w:jc w:val="left"/>
        <w:rPr>
          <w:rFonts w:ascii="Times New Roman" w:hAnsi="Times New Roman"/>
          <w:sz w:val="20"/>
        </w:rPr>
      </w:pPr>
      <w:r>
        <w:rPr>
          <w:rFonts w:ascii="Times New Roman" w:hAnsi="Times New Roman"/>
          <w:sz w:val="20"/>
        </w:rPr>
        <w:t xml:space="preserve">The transferability of this certificate and the shares of stock represented hereby are subject to the restrictions, terms and conditions (including repurchase and restrictions against transfers) contained in the Rapport Therapeutics, Inc. 2022 Stock Option and Grant Plan and any agreements entered into thereunder by and between the company and the holder of this certificate (a copy of which is available at the offices of the company for examination).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Information to Holders of Options</w:t>
      </w:r>
      <w:r>
        <w:rPr>
          <w:rFonts w:ascii="Times New Roman" w:hAnsi="Times New Roman"/>
          <w:sz w:val="20"/>
        </w:rPr>
        <w:t xml:space="preserve">.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Plan, all Awards and any controversy arising out of or relating to this Plan and all Awards shall be governed by and construed in accordance with the General Corporate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25"/>
        <w:gridCol w:w="122"/>
        <w:gridCol w:w="5758"/>
      </w:tblGrid>
      <w:tr>
        <w:trPr/>
        <w:tc>
          <w:tcPr>
            <w:tcW w:w="43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758" w:type="dxa"/>
            <w:tcBorders/>
            <w:vAlign w:val="center"/>
          </w:tcPr>
          <w:p>
            <w:pPr>
              <w:pStyle w:val="TableContents"/>
              <w:bidi w:val="0"/>
              <w:spacing w:before="0" w:after="283"/>
              <w:jc w:val="left"/>
              <w:rPr>
                <w:sz w:val="4"/>
                <w:szCs w:val="4"/>
              </w:rPr>
            </w:pPr>
            <w:r>
              <w:rPr>
                <w:sz w:val="4"/>
                <w:szCs w:val="4"/>
              </w:rPr>
            </w:r>
          </w:p>
        </w:tc>
      </w:tr>
      <w:tr>
        <w:trPr/>
        <w:tc>
          <w:tcPr>
            <w:tcW w:w="4325" w:type="dxa"/>
            <w:tcBorders/>
          </w:tcPr>
          <w:p>
            <w:pPr>
              <w:pStyle w:val="TableContents"/>
              <w:bidi w:val="0"/>
              <w:spacing w:before="0" w:after="283"/>
              <w:jc w:val="left"/>
              <w:rPr/>
            </w:pPr>
            <w:r>
              <w:rPr/>
              <w:t>DATE ADOPTED BY THE BOARD OF DIRECTORS:</w:t>
            </w:r>
          </w:p>
        </w:tc>
        <w:tc>
          <w:tcPr>
            <w:tcW w:w="122" w:type="dxa"/>
            <w:tcBorders/>
            <w:vAlign w:val="bottom"/>
          </w:tcPr>
          <w:p>
            <w:pPr>
              <w:pStyle w:val="TableContents"/>
              <w:bidi w:val="0"/>
              <w:spacing w:before="0" w:after="283"/>
              <w:jc w:val="left"/>
              <w:rPr/>
            </w:pPr>
            <w:r>
              <w:rPr/>
              <w:t>  </w:t>
            </w:r>
          </w:p>
        </w:tc>
        <w:tc>
          <w:tcPr>
            <w:tcW w:w="5758" w:type="dxa"/>
            <w:tcBorders/>
          </w:tcPr>
          <w:p>
            <w:pPr>
              <w:pStyle w:val="TableContents"/>
              <w:bidi w:val="0"/>
              <w:spacing w:before="0" w:after="283"/>
              <w:jc w:val="left"/>
              <w:rPr/>
            </w:pPr>
            <w:r>
              <w:rPr/>
              <w:t>December 9, 2022</w:t>
            </w:r>
          </w:p>
        </w:tc>
      </w:tr>
      <w:tr>
        <w:trPr>
          <w:trHeight w:val="120" w:hRule="atLeast"/>
        </w:trPr>
        <w:tc>
          <w:tcPr>
            <w:tcW w:w="4325" w:type="dxa"/>
            <w:tcBorders/>
            <w:vAlign w:val="center"/>
          </w:tcPr>
          <w:p>
            <w:pPr>
              <w:pStyle w:val="TableContents"/>
              <w:bidi w:val="0"/>
              <w:spacing w:before="0" w:after="283"/>
              <w:jc w:val="left"/>
              <w:rPr>
                <w:sz w:val="4"/>
                <w:szCs w:val="4"/>
              </w:rPr>
            </w:pPr>
            <w:r>
              <w:rPr>
                <w:sz w:val="4"/>
                <w:szCs w:val="4"/>
              </w:rPr>
            </w:r>
          </w:p>
        </w:tc>
        <w:tc>
          <w:tcPr>
            <w:tcW w:w="5880" w:type="dxa"/>
            <w:gridSpan w:val="2"/>
            <w:tcBorders/>
            <w:vAlign w:val="center"/>
          </w:tcPr>
          <w:p>
            <w:pPr>
              <w:pStyle w:val="TableContents"/>
              <w:bidi w:val="0"/>
              <w:spacing w:before="0" w:after="283"/>
              <w:jc w:val="left"/>
              <w:rPr>
                <w:sz w:val="4"/>
                <w:szCs w:val="4"/>
              </w:rPr>
            </w:pPr>
            <w:r>
              <w:rPr>
                <w:sz w:val="4"/>
                <w:szCs w:val="4"/>
              </w:rPr>
            </w:r>
          </w:p>
        </w:tc>
      </w:tr>
      <w:tr>
        <w:trPr/>
        <w:tc>
          <w:tcPr>
            <w:tcW w:w="4325" w:type="dxa"/>
            <w:tcBorders/>
          </w:tcPr>
          <w:p>
            <w:pPr>
              <w:pStyle w:val="TableContents"/>
              <w:bidi w:val="0"/>
              <w:spacing w:before="0" w:after="283"/>
              <w:jc w:val="left"/>
              <w:rPr/>
            </w:pPr>
            <w:r>
              <w:rPr/>
              <w:t>DATE APPROVED BY THE STOCKHOLDERS:</w:t>
            </w:r>
          </w:p>
        </w:tc>
        <w:tc>
          <w:tcPr>
            <w:tcW w:w="122" w:type="dxa"/>
            <w:tcBorders/>
            <w:vAlign w:val="bottom"/>
          </w:tcPr>
          <w:p>
            <w:pPr>
              <w:pStyle w:val="TableContents"/>
              <w:bidi w:val="0"/>
              <w:spacing w:before="0" w:after="283"/>
              <w:jc w:val="left"/>
              <w:rPr/>
            </w:pPr>
            <w:r>
              <w:rPr/>
              <w:t>  </w:t>
            </w:r>
          </w:p>
        </w:tc>
        <w:tc>
          <w:tcPr>
            <w:tcW w:w="5758" w:type="dxa"/>
            <w:tcBorders/>
          </w:tcPr>
          <w:p>
            <w:pPr>
              <w:pStyle w:val="TableContents"/>
              <w:bidi w:val="0"/>
              <w:spacing w:before="0" w:after="283"/>
              <w:jc w:val="left"/>
              <w:rPr/>
            </w:pPr>
            <w:r>
              <w:rPr/>
              <w:t>December 9, 2022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NO. 1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The Rapport Therapeutics, Inc. 2022 Stock Option and Grant Plan (the Plan) is hereby amended by the Board of Directors and stockholders of Rapport Therapeutics, Inc., a Delaware corporation,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Item (a) of Section 3 of the Plan is hereby amended by deleting it and replacing it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14,930,852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14,930,852 Shares may be issued pursuant to Incentive Stock Options. The Shares available for issuance under the Plan may be authorized but unissued Shares or Shares reacquired by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56"/>
        <w:gridCol w:w="120"/>
        <w:gridCol w:w="6129"/>
      </w:tblGrid>
      <w:tr>
        <w:trPr/>
        <w:tc>
          <w:tcPr>
            <w:tcW w:w="39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29" w:type="dxa"/>
            <w:tcBorders/>
            <w:vAlign w:val="center"/>
          </w:tcPr>
          <w:p>
            <w:pPr>
              <w:pStyle w:val="TableContents"/>
              <w:bidi w:val="0"/>
              <w:spacing w:before="0" w:after="283"/>
              <w:jc w:val="left"/>
              <w:rPr>
                <w:sz w:val="4"/>
                <w:szCs w:val="4"/>
              </w:rPr>
            </w:pPr>
            <w:r>
              <w:rPr>
                <w:sz w:val="4"/>
                <w:szCs w:val="4"/>
              </w:rPr>
            </w:r>
          </w:p>
        </w:tc>
      </w:tr>
      <w:tr>
        <w:trPr/>
        <w:tc>
          <w:tcPr>
            <w:tcW w:w="3956" w:type="dxa"/>
            <w:tcBorders/>
          </w:tcPr>
          <w:p>
            <w:pPr>
              <w:pStyle w:val="TableContents"/>
              <w:bidi w:val="0"/>
              <w:spacing w:before="0" w:after="283"/>
              <w:jc w:val="left"/>
              <w:rPr/>
            </w:pPr>
            <w:r>
              <w:rPr/>
              <w:t>ADOPTED BY BOARD OF DIRECTORS:</w:t>
            </w:r>
          </w:p>
        </w:tc>
        <w:tc>
          <w:tcPr>
            <w:tcW w:w="120" w:type="dxa"/>
            <w:tcBorders/>
            <w:vAlign w:val="bottom"/>
          </w:tcPr>
          <w:p>
            <w:pPr>
              <w:pStyle w:val="TableContents"/>
              <w:bidi w:val="0"/>
              <w:spacing w:before="0" w:after="283"/>
              <w:jc w:val="left"/>
              <w:rPr/>
            </w:pPr>
            <w:r>
              <w:rPr/>
              <w:t>  </w:t>
            </w:r>
          </w:p>
        </w:tc>
        <w:tc>
          <w:tcPr>
            <w:tcW w:w="6129" w:type="dxa"/>
            <w:tcBorders/>
          </w:tcPr>
          <w:p>
            <w:pPr>
              <w:pStyle w:val="TableContents"/>
              <w:bidi w:val="0"/>
              <w:spacing w:before="0" w:after="283"/>
              <w:jc w:val="left"/>
              <w:rPr/>
            </w:pPr>
            <w:r>
              <w:rPr/>
              <w:t>August 7, 2023</w:t>
            </w:r>
          </w:p>
        </w:tc>
      </w:tr>
      <w:tr>
        <w:trPr>
          <w:trHeight w:val="120" w:hRule="atLeast"/>
        </w:trPr>
        <w:tc>
          <w:tcPr>
            <w:tcW w:w="3956" w:type="dxa"/>
            <w:tcBorders/>
            <w:vAlign w:val="center"/>
          </w:tcPr>
          <w:p>
            <w:pPr>
              <w:pStyle w:val="TableContents"/>
              <w:bidi w:val="0"/>
              <w:spacing w:before="0" w:after="283"/>
              <w:jc w:val="left"/>
              <w:rPr>
                <w:sz w:val="4"/>
                <w:szCs w:val="4"/>
              </w:rPr>
            </w:pPr>
            <w:r>
              <w:rPr>
                <w:sz w:val="4"/>
                <w:szCs w:val="4"/>
              </w:rPr>
            </w:r>
          </w:p>
        </w:tc>
        <w:tc>
          <w:tcPr>
            <w:tcW w:w="6249" w:type="dxa"/>
            <w:gridSpan w:val="2"/>
            <w:tcBorders/>
            <w:vAlign w:val="center"/>
          </w:tcPr>
          <w:p>
            <w:pPr>
              <w:pStyle w:val="TableContents"/>
              <w:bidi w:val="0"/>
              <w:spacing w:before="0" w:after="283"/>
              <w:jc w:val="left"/>
              <w:rPr>
                <w:sz w:val="4"/>
                <w:szCs w:val="4"/>
              </w:rPr>
            </w:pPr>
            <w:r>
              <w:rPr>
                <w:sz w:val="4"/>
                <w:szCs w:val="4"/>
              </w:rPr>
            </w:r>
          </w:p>
        </w:tc>
      </w:tr>
      <w:tr>
        <w:trPr/>
        <w:tc>
          <w:tcPr>
            <w:tcW w:w="3956"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6129" w:type="dxa"/>
            <w:tcBorders/>
          </w:tcPr>
          <w:p>
            <w:pPr>
              <w:pStyle w:val="TableContents"/>
              <w:bidi w:val="0"/>
              <w:spacing w:before="0" w:after="283"/>
              <w:jc w:val="left"/>
              <w:rPr/>
            </w:pPr>
            <w:r>
              <w:rPr/>
              <w:t>August 7, 2023</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 NO. 2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Rapport Therapeutics, Inc. 2022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Rapport Therapeutics, Inc., a Delaware corporation,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Item (a) of Section 3 of the Plan is hereby amended by deleting it and replacing it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25,253,829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25,253,829 Shares may be issued pursuant to Incentive Stock Options. The Shares available for issuance under the Plan may be authorized but unissued Shares or Shares reacquired by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8"/>
        <w:gridCol w:w="122"/>
        <w:gridCol w:w="6135"/>
      </w:tblGrid>
      <w:tr>
        <w:trPr/>
        <w:tc>
          <w:tcPr>
            <w:tcW w:w="39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135" w:type="dxa"/>
            <w:tcBorders/>
            <w:vAlign w:val="center"/>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283"/>
              <w:jc w:val="left"/>
              <w:rPr/>
            </w:pPr>
            <w:r>
              <w:rPr/>
              <w:t>ADOPTED BY BOARD OF DIRECTORS:</w:t>
            </w:r>
          </w:p>
        </w:tc>
        <w:tc>
          <w:tcPr>
            <w:tcW w:w="122" w:type="dxa"/>
            <w:tcBorders/>
            <w:vAlign w:val="bottom"/>
          </w:tcPr>
          <w:p>
            <w:pPr>
              <w:pStyle w:val="TableContents"/>
              <w:bidi w:val="0"/>
              <w:spacing w:before="0" w:after="283"/>
              <w:jc w:val="left"/>
              <w:rPr/>
            </w:pPr>
            <w:r>
              <w:rPr/>
              <w:t>  </w:t>
            </w:r>
          </w:p>
        </w:tc>
        <w:tc>
          <w:tcPr>
            <w:tcW w:w="6135" w:type="dxa"/>
            <w:tcBorders/>
          </w:tcPr>
          <w:p>
            <w:pPr>
              <w:pStyle w:val="TableContents"/>
              <w:bidi w:val="0"/>
              <w:spacing w:before="0" w:after="283"/>
              <w:jc w:val="left"/>
              <w:rPr/>
            </w:pPr>
            <w:r>
              <w:rPr/>
              <w:t>February 7, 2024</w:t>
            </w:r>
          </w:p>
        </w:tc>
      </w:tr>
      <w:tr>
        <w:trPr>
          <w:trHeight w:val="120" w:hRule="atLeast"/>
        </w:trPr>
        <w:tc>
          <w:tcPr>
            <w:tcW w:w="3948" w:type="dxa"/>
            <w:tcBorders/>
            <w:vAlign w:val="center"/>
          </w:tcPr>
          <w:p>
            <w:pPr>
              <w:pStyle w:val="TableContents"/>
              <w:bidi w:val="0"/>
              <w:spacing w:before="0" w:after="283"/>
              <w:jc w:val="left"/>
              <w:rPr>
                <w:sz w:val="4"/>
                <w:szCs w:val="4"/>
              </w:rPr>
            </w:pPr>
            <w:r>
              <w:rPr>
                <w:sz w:val="4"/>
                <w:szCs w:val="4"/>
              </w:rPr>
            </w:r>
          </w:p>
        </w:tc>
        <w:tc>
          <w:tcPr>
            <w:tcW w:w="6257" w:type="dxa"/>
            <w:gridSpan w:val="2"/>
            <w:tcBorders/>
            <w:vAlign w:val="center"/>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283"/>
              <w:jc w:val="left"/>
              <w:rPr/>
            </w:pPr>
            <w:r>
              <w:rPr/>
              <w:t>ADOPTED BY STOCKHOLDERS:</w:t>
            </w:r>
          </w:p>
        </w:tc>
        <w:tc>
          <w:tcPr>
            <w:tcW w:w="122" w:type="dxa"/>
            <w:tcBorders/>
            <w:vAlign w:val="bottom"/>
          </w:tcPr>
          <w:p>
            <w:pPr>
              <w:pStyle w:val="TableContents"/>
              <w:bidi w:val="0"/>
              <w:spacing w:before="0" w:after="283"/>
              <w:jc w:val="left"/>
              <w:rPr/>
            </w:pPr>
            <w:r>
              <w:rPr/>
              <w:t>  </w:t>
            </w:r>
          </w:p>
        </w:tc>
        <w:tc>
          <w:tcPr>
            <w:tcW w:w="6135" w:type="dxa"/>
            <w:tcBorders/>
          </w:tcPr>
          <w:p>
            <w:pPr>
              <w:pStyle w:val="TableContents"/>
              <w:bidi w:val="0"/>
              <w:spacing w:before="0" w:after="283"/>
              <w:jc w:val="left"/>
              <w:rPr/>
            </w:pPr>
            <w:r>
              <w:rPr/>
              <w:t>February 26, 2024</w:t>
            </w:r>
          </w:p>
        </w:tc>
      </w:tr>
      <w:tr>
        <w:trPr>
          <w:trHeight w:val="120" w:hRule="atLeast"/>
        </w:trPr>
        <w:tc>
          <w:tcPr>
            <w:tcW w:w="3948" w:type="dxa"/>
            <w:tcBorders/>
            <w:vAlign w:val="center"/>
          </w:tcPr>
          <w:p>
            <w:pPr>
              <w:pStyle w:val="TableContents"/>
              <w:bidi w:val="0"/>
              <w:spacing w:before="0" w:after="283"/>
              <w:jc w:val="left"/>
              <w:rPr>
                <w:sz w:val="4"/>
                <w:szCs w:val="4"/>
              </w:rPr>
            </w:pPr>
            <w:r>
              <w:rPr>
                <w:sz w:val="4"/>
                <w:szCs w:val="4"/>
              </w:rPr>
            </w:r>
          </w:p>
        </w:tc>
        <w:tc>
          <w:tcPr>
            <w:tcW w:w="6257" w:type="dxa"/>
            <w:gridSpan w:val="2"/>
            <w:tcBorders/>
            <w:vAlign w:val="center"/>
          </w:tcPr>
          <w:p>
            <w:pPr>
              <w:pStyle w:val="TableContents"/>
              <w:bidi w:val="0"/>
              <w:spacing w:before="0" w:after="283"/>
              <w:jc w:val="left"/>
              <w:rPr>
                <w:sz w:val="4"/>
                <w:szCs w:val="4"/>
              </w:rPr>
            </w:pPr>
            <w:r>
              <w:rPr>
                <w:sz w:val="4"/>
                <w:szCs w:val="4"/>
              </w:rPr>
            </w:r>
          </w:p>
        </w:tc>
      </w:tr>
      <w:tr>
        <w:trPr/>
        <w:tc>
          <w:tcPr>
            <w:tcW w:w="3948" w:type="dxa"/>
            <w:tcBorders/>
          </w:tcPr>
          <w:p>
            <w:pPr>
              <w:pStyle w:val="TableContents"/>
              <w:bidi w:val="0"/>
              <w:spacing w:before="0" w:after="283"/>
              <w:jc w:val="left"/>
              <w:rPr/>
            </w:pPr>
            <w:r>
              <w:rPr/>
              <w:t>EFFECTIVE AS OF:</w:t>
            </w:r>
          </w:p>
        </w:tc>
        <w:tc>
          <w:tcPr>
            <w:tcW w:w="122" w:type="dxa"/>
            <w:tcBorders/>
            <w:vAlign w:val="bottom"/>
          </w:tcPr>
          <w:p>
            <w:pPr>
              <w:pStyle w:val="TableContents"/>
              <w:bidi w:val="0"/>
              <w:spacing w:before="0" w:after="283"/>
              <w:jc w:val="left"/>
              <w:rPr/>
            </w:pPr>
            <w:r>
              <w:rPr/>
              <w:t>  </w:t>
            </w:r>
          </w:p>
        </w:tc>
        <w:tc>
          <w:tcPr>
            <w:tcW w:w="6135" w:type="dxa"/>
            <w:tcBorders/>
          </w:tcPr>
          <w:p>
            <w:pPr>
              <w:pStyle w:val="TableContents"/>
              <w:bidi w:val="0"/>
              <w:spacing w:before="0" w:after="283"/>
              <w:jc w:val="left"/>
              <w:rPr/>
            </w:pPr>
            <w:r>
              <w:rPr/>
              <w:t>March 19, 2024</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RAPPORT THERAPEUTICS, INC.S </w:t>
      </w:r>
    </w:p>
    <w:p>
      <w:pPr>
        <w:pStyle w:val="TextBody"/>
        <w:bidi w:val="0"/>
        <w:spacing w:before="12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Rapport Therapeutics, Inc.s 2022 Stock Option and Grant Plan (the Plan), Rapport Therapeutics, Inc., a </w:t>
      </w:r>
      <w:r>
        <w:rPr>
          <w:rFonts w:ascii="Times New Roman" w:hAnsi="Times New Roman"/>
          <w:b/>
          <w:sz w:val="20"/>
        </w:rPr>
        <w:t>Delaware</w:t>
      </w:r>
      <w:r>
        <w:rPr>
          <w:rFonts w:ascii="Times New Roman" w:hAnsi="Times New Roman"/>
          <w:sz w:val="20"/>
        </w:rPr>
        <w:t xml:space="preserv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0"/>
        <w:gridCol w:w="121"/>
        <w:gridCol w:w="7134"/>
      </w:tblGrid>
      <w:tr>
        <w:trPr/>
        <w:tc>
          <w:tcPr>
            <w:tcW w:w="29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34" w:type="dxa"/>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Name of Optionee: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__________________ (the Optionee)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No. of Shares:</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 Shares of Common Stock</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Grant Date: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u w:val="single"/>
              </w:rPr>
            </w:pPr>
            <w:r>
              <w:rPr>
                <w:u w:val="single"/>
              </w:rPr>
              <w:t>         </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Vesting Commencement Date: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__________________ (the Vesting Commencement Date)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Expiration Date: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__________________ (the Expiration Date)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Option Exercise Price/Share: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 (the Option Exercise Price)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Vesting Schedule: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[25] percent of the Shares shall vest and become exercisable on the first anniversary of the Vesting Commencement Date;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 Section 3(c) of the Plan</w:t>
            </w:r>
            <w:r>
              <w:rPr>
                <w:b/>
              </w:rPr>
              <w:t>[ provided; however INSERT ANY ACCELERATED VESTING PROVISION HERE].</w:t>
            </w:r>
          </w:p>
        </w:tc>
      </w:tr>
    </w:tbl>
    <w:p>
      <w:pPr>
        <w:pStyle w:val="TextBody"/>
        <w:bidi w:val="0"/>
        <w:spacing w:before="240" w:after="0"/>
        <w:jc w:val="left"/>
        <w:rPr>
          <w:rFonts w:ascii="Times New Roman" w:hAnsi="Times New Roman"/>
          <w:sz w:val="20"/>
        </w:rPr>
      </w:pPr>
      <w:r>
        <w:rPr>
          <w:rFonts w:ascii="Times New Roman" w:hAnsi="Times New Roman"/>
          <w:b/>
          <w:sz w:val="20"/>
        </w:rPr>
        <w:t>Attachments</w:t>
      </w:r>
      <w:r>
        <w:rPr>
          <w:rFonts w:ascii="Times New Roman" w:hAnsi="Times New Roman"/>
          <w:sz w:val="20"/>
        </w:rPr>
        <w:t xml:space="preserve">: Incentive Stock Option Agreement, Rapport Therapeutics, Inc.s 2022 Stock Option and Grant Plan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RAPPORT THERAPEUTICS, INC.S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herein and not otherwise defined shall have the respective meanings set forth in the Grant Notice and the Plan.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Vesting, Exercisability and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portion of this Stock Option may be exercised until such portion shall have vested and become exercisable.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below, and subject to the determination of the Committee in its sole discretion to accelerate the vesting schedule hereunder, this Stock Option shall be vested and exercisable on the respective dates indicated below: </w:t>
      </w:r>
    </w:p>
    <w:p>
      <w:pPr>
        <w:pStyle w:val="TextBody"/>
        <w:bidi w:val="0"/>
        <w:spacing w:before="120" w:after="0"/>
        <w:jc w:val="left"/>
        <w:rPr>
          <w:rFonts w:ascii="Times New Roman" w:hAnsi="Times New Roman"/>
          <w:sz w:val="20"/>
        </w:rPr>
      </w:pPr>
      <w:r>
        <w:rPr>
          <w:rFonts w:ascii="Times New Roman" w:hAnsi="Times New Roman"/>
          <w:sz w:val="20"/>
        </w:rPr>
        <w:t xml:space="preserve">(i) This Stock Option shall initially be unvested and unexercisable. </w:t>
      </w:r>
    </w:p>
    <w:p>
      <w:pPr>
        <w:pStyle w:val="TextBody"/>
        <w:bidi w:val="0"/>
        <w:spacing w:before="120" w:after="0"/>
        <w:jc w:val="left"/>
        <w:rPr>
          <w:rFonts w:ascii="Times New Roman" w:hAnsi="Times New Roman"/>
          <w:sz w:val="20"/>
        </w:rPr>
      </w:pPr>
      <w:r>
        <w:rPr>
          <w:rFonts w:ascii="Times New Roman" w:hAnsi="Times New Roman"/>
          <w:sz w:val="20"/>
        </w:rPr>
        <w:t xml:space="preserve">(ii) This Stock Option shall vest and become exercisable in accordance with the Vesting Schedule set forth in the Grant Notice.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w:t>
      </w:r>
      <w:r>
        <w:rPr>
          <w:rFonts w:ascii="Times New Roman" w:hAnsi="Times New Roman"/>
          <w:sz w:val="20"/>
        </w:rPr>
        <w:t xml:space="preserve">.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Termination Due to Death or Disability</w:t>
      </w:r>
      <w:r>
        <w:rPr>
          <w:rFonts w:ascii="Times New Roman" w:hAnsi="Times New Roman"/>
          <w:sz w:val="20"/>
        </w:rPr>
        <w:t xml:space="preserve">.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Optionees Service Relationship is terminated for Cause, this Stock Option shall terminate immediately upon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 of Stock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Optionee may exercise this Stock Option only in the following manner: Prior to the Expiration Date, the Optionee may deliver a Stock Option exercise notice (an Exercise Notice) in the form of </w:t>
      </w:r>
      <w:r>
        <w:rPr>
          <w:rFonts w:ascii="Times New Roman" w:hAnsi="Times New Roman"/>
          <w:sz w:val="20"/>
          <w:u w:val="single"/>
        </w:rPr>
        <w:t>Appendix A</w:t>
      </w:r>
      <w:r>
        <w:rPr>
          <w:rFonts w:ascii="Times New Roman" w:hAnsi="Times New Roman"/>
          <w:sz w:val="20"/>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 other provision hereof or of the Plan, no portion of this Stock Option shall be exercisable after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Transferability of Stock Option</w:t>
      </w:r>
      <w:r>
        <w:rPr>
          <w:rFonts w:ascii="Times New Roman" w:hAnsi="Times New Roman"/>
          <w:sz w:val="20"/>
        </w:rPr>
        <w:t xml:space="preserve">.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Restrictions on Transfer of Shares</w:t>
      </w:r>
      <w:r>
        <w:rPr>
          <w:rFonts w:ascii="Times New Roman" w:hAnsi="Times New Roman"/>
          <w:sz w:val="20"/>
        </w:rPr>
        <w:t xml:space="preserve">. The Shares acquired upon exercise of the Stock Option shall be subject to certain transfer restrictions and other limitations including, without limitation, the provisions contained in Section 9 of the Plan.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Equitable Relief</w:t>
      </w:r>
      <w:r>
        <w:rPr>
          <w:rFonts w:ascii="Times New Roman" w:hAnsi="Times New Roman"/>
          <w:sz w:val="20"/>
        </w:rPr>
        <w:t xml:space="preserve">. The parties hereto agree and declare that legal remedies may be inadequate to enforce the provisions of this Agreement and that equitable relief, including specific performance and injunctive relief, may be used to enforce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and Modifications</w:t>
      </w:r>
      <w:r>
        <w:rPr>
          <w:rFonts w:ascii="Times New Roman" w:hAnsi="Times New Roman"/>
          <w:sz w:val="20"/>
        </w:rPr>
        <w:t xml:space="preserve">. This Agreement may not be orally changed, modified or terminated, nor shall any oral waiver of any of its terms be effective. This Agreement may be changed, modified or terminated only by an agreement in writing signed by the Company and the Optionee.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State of Massachusetts.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headings are intended only for convenience in finding the subject matter and do not constitute part of the text of this Agreement and shall not be considered in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Saving Clause</w:t>
      </w:r>
      <w:r>
        <w:rPr>
          <w:rFonts w:ascii="Times New Roman" w:hAnsi="Times New Roman"/>
          <w:sz w:val="20"/>
        </w:rPr>
        <w:t xml:space="preserve">. If any provision(s) of this Agreement shall be determined to be illegal or unenforceable, such determination shall in no manner affect the legality or enforceability of any other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Notices</w:t>
      </w:r>
      <w:r>
        <w:rPr>
          <w:rFonts w:ascii="Times New Roman" w:hAnsi="Times New Roman"/>
          <w:sz w:val="20"/>
        </w:rPr>
        <w:t xml:space="preserve">.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Benefit and Binding Effect</w:t>
      </w:r>
      <w:r>
        <w:rPr>
          <w:rFonts w:ascii="Times New Roman" w:hAnsi="Times New Roman"/>
          <w:sz w:val="20"/>
        </w:rPr>
        <w:t xml:space="preserve">.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Counterparts</w:t>
      </w:r>
      <w:r>
        <w:rPr>
          <w:rFonts w:ascii="Times New Roman" w:hAnsi="Times New Roman"/>
          <w:sz w:val="20"/>
        </w:rPr>
        <w:t xml:space="preserve">. For the convenience of the parties and to facilitate execution, this Agreement may be executed in two or more counterparts, each of which shall be deemed an original, but all of which shall constitute one and the same document.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Boston, Massachusetts. </w:t>
      </w:r>
    </w:p>
    <w:p>
      <w:pPr>
        <w:pStyle w:val="TextBody"/>
        <w:bidi w:val="0"/>
        <w:spacing w:before="120" w:after="0"/>
        <w:jc w:val="left"/>
        <w:rPr>
          <w:rFonts w:ascii="Times New Roman" w:hAnsi="Times New Roman"/>
          <w:sz w:val="20"/>
        </w:rPr>
      </w:pPr>
      <w:r>
        <w:rPr>
          <w:rFonts w:ascii="Times New Roman" w:hAnsi="Times New Roman"/>
          <w:sz w:val="20"/>
        </w:rPr>
        <w:t xml:space="preserve">(b) 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 </w:t>
      </w:r>
    </w:p>
    <w:p>
      <w:pPr>
        <w:pStyle w:val="TextBody"/>
        <w:bidi w:val="0"/>
        <w:spacing w:before="120" w:after="0"/>
        <w:jc w:val="left"/>
        <w:rPr>
          <w:rFonts w:ascii="Times New Roman" w:hAnsi="Times New Roman"/>
          <w:sz w:val="20"/>
        </w:rPr>
      </w:pPr>
      <w:r>
        <w:rPr>
          <w:rFonts w:ascii="Times New Roman" w:hAnsi="Times New Roman"/>
          <w:sz w:val="20"/>
        </w:rPr>
        <w:t xml:space="preserve">(c) 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 of Statutory Information Rights</w:t>
      </w:r>
      <w:r>
        <w:rPr>
          <w:rFonts w:ascii="Times New Roman" w:hAnsi="Times New Roman"/>
          <w:sz w:val="20"/>
        </w:rPr>
        <w:t xml:space="preserve">.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0"/>
        <w:gridCol w:w="88"/>
        <w:gridCol w:w="3484"/>
      </w:tblGrid>
      <w:tr>
        <w:trPr/>
        <w:tc>
          <w:tcPr>
            <w:tcW w:w="51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Rapport Therapeutics, Inc.</w:t>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vAlign w:val="bottom"/>
          </w:tcPr>
          <w:p>
            <w:pPr>
              <w:pStyle w:val="TableContents"/>
              <w:bidi w:val="0"/>
              <w:spacing w:before="0" w:after="283"/>
              <w:jc w:val="left"/>
              <w:rPr/>
            </w:pPr>
            <w:r>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48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tcPr>
          <w:p>
            <w:pPr>
              <w:pStyle w:val="TableContents"/>
              <w:bidi w:val="0"/>
              <w:spacing w:before="0" w:after="283"/>
              <w:jc w:val="left"/>
              <w:rPr/>
            </w:pPr>
            <w:r>
              <w:rPr/>
              <w:t>Name:</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OPTIONEE: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Address:</w:t>
            </w:r>
          </w:p>
        </w:tc>
      </w:tr>
    </w:tbl>
    <w:p>
      <w:pPr>
        <w:pStyle w:val="TextBody"/>
        <w:bidi w:val="0"/>
        <w:spacing w:before="240" w:after="0"/>
        <w:jc w:val="left"/>
        <w:rPr>
          <w:rFonts w:ascii="Times New Roman" w:hAnsi="Times New Roman"/>
          <w:sz w:val="20"/>
        </w:rPr>
      </w:pPr>
      <w:r>
        <w:rPr>
          <w:rFonts w:ascii="Times New Roman" w:hAnsi="Times New Roman"/>
          <w:sz w:val="20"/>
        </w:rPr>
        <w:t xml:space="preserve">[SPOUSES CONSENT </w:t>
      </w:r>
    </w:p>
    <w:p>
      <w:pPr>
        <w:pStyle w:val="TextBody"/>
        <w:bidi w:val="0"/>
        <w:spacing w:before="0" w:after="0"/>
        <w:jc w:val="left"/>
        <w:rPr>
          <w:rFonts w:ascii="Times New Roman" w:hAnsi="Times New Roman"/>
          <w:sz w:val="20"/>
        </w:rPr>
      </w:pPr>
      <w:r>
        <w:rPr>
          <w:rFonts w:ascii="Times New Roman" w:hAnsi="Times New Roman"/>
          <w:sz w:val="20"/>
        </w:rPr>
        <w:t xml:space="preserve">I acknowledge that I have read the </w:t>
      </w:r>
    </w:p>
    <w:p>
      <w:pPr>
        <w:pStyle w:val="TextBody"/>
        <w:bidi w:val="0"/>
        <w:spacing w:before="0" w:after="0"/>
        <w:jc w:val="left"/>
        <w:rPr>
          <w:rFonts w:ascii="Times New Roman" w:hAnsi="Times New Roman"/>
          <w:sz w:val="20"/>
        </w:rPr>
      </w:pPr>
      <w:r>
        <w:rPr>
          <w:rFonts w:ascii="Times New Roman" w:hAnsi="Times New Roman"/>
          <w:sz w:val="20"/>
        </w:rPr>
        <w:t xml:space="preserve">foregoing Incentive Stock Option Agreement </w:t>
      </w:r>
    </w:p>
    <w:p>
      <w:pPr>
        <w:pStyle w:val="TextBody"/>
        <w:bidi w:val="0"/>
        <w:spacing w:before="0" w:after="0"/>
        <w:jc w:val="left"/>
        <w:rPr>
          <w:rFonts w:ascii="Times New Roman" w:hAnsi="Times New Roman"/>
          <w:sz w:val="20"/>
        </w:rPr>
      </w:pPr>
      <w:r>
        <w:rPr>
          <w:rFonts w:ascii="Times New Roman" w:hAnsi="Times New Roman"/>
          <w:sz w:val="20"/>
        </w:rPr>
        <w:t xml:space="preserve">and understand the contents thereof.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DESIGNATED BENEFICIARY: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left"/>
              <w:rPr/>
            </w:pPr>
            <w:r>
              <w:rPr/>
              <w:t>Beneficiarys Address: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RAPPORT THERAPEUTICS, INC.S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Rapport Therapeutics, Inc.s 2022 Stock Option and Grant Plan (the Plan), Rapport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0"/>
        <w:gridCol w:w="121"/>
        <w:gridCol w:w="7134"/>
      </w:tblGrid>
      <w:tr>
        <w:trPr/>
        <w:tc>
          <w:tcPr>
            <w:tcW w:w="29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34" w:type="dxa"/>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Name of Optionee: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__________________ (the Optionee)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No. of Shares:</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 Shares of Common Stock</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Grant Date: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u w:val="single"/>
              </w:rPr>
            </w:pPr>
            <w:r>
              <w:rPr>
                <w:u w:val="single"/>
              </w:rPr>
              <w:t>         </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Vesting Commencement Date: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__________________ (the Vesting Commencement Date)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Expiration Date: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__________________ (the Expiration Date)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Option Exercise Price/Share: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$_________________ (the Option Exercise Price)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pPr>
            <w:r>
              <w:rPr/>
              <w:t>Vesting Schedule:</w:t>
            </w:r>
          </w:p>
        </w:tc>
        <w:tc>
          <w:tcPr>
            <w:tcW w:w="121"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 xml:space="preserve">[25] percent of the Shares shall vest and become exercisable on the first anniversary of the Vesting Commencement Date;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 Section 3(c) of the Plan </w:t>
            </w:r>
            <w:r>
              <w:rPr>
                <w:b/>
              </w:rPr>
              <w:t>[provided; however INSERT ANY ACCELERATED VESTING PROVISION HERE].</w:t>
            </w:r>
          </w:p>
        </w:tc>
      </w:tr>
    </w:tbl>
    <w:p>
      <w:pPr>
        <w:pStyle w:val="TextBody"/>
        <w:bidi w:val="0"/>
        <w:spacing w:before="240" w:after="0"/>
        <w:jc w:val="left"/>
        <w:rPr>
          <w:rFonts w:ascii="Times New Roman" w:hAnsi="Times New Roman"/>
          <w:sz w:val="20"/>
        </w:rPr>
      </w:pPr>
      <w:r>
        <w:rPr>
          <w:rFonts w:ascii="Times New Roman" w:hAnsi="Times New Roman"/>
          <w:b/>
          <w:sz w:val="20"/>
        </w:rPr>
        <w:t>Attachments</w:t>
      </w:r>
      <w:r>
        <w:rPr>
          <w:rFonts w:ascii="Times New Roman" w:hAnsi="Times New Roman"/>
          <w:sz w:val="20"/>
        </w:rPr>
        <w:t xml:space="preserve">: Non-Qualified Stock Option Agreement, Rapport Therapeutics, Inc.s 2022 Stock Option and Grant Plan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RAPPORT THERAPEUTICS, INC.S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herein and not otherwise defined shall have the respective meanings set forth in the Grant Notice and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 xml:space="preserve">Vesting, Exercisability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(a) No portion of this Stock Option may be exercised until such portion shall have vested and become exercisable.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below, and subject to the determination of the Committee in its sole discretion to accelerate the vesting schedule hereunder, this Stock Option shall be vested and exercisable on the respective dates indicated below: </w:t>
      </w:r>
    </w:p>
    <w:p>
      <w:pPr>
        <w:pStyle w:val="TextBody"/>
        <w:bidi w:val="0"/>
        <w:spacing w:before="120" w:after="0"/>
        <w:jc w:val="left"/>
        <w:rPr>
          <w:rFonts w:ascii="Times New Roman" w:hAnsi="Times New Roman"/>
          <w:sz w:val="20"/>
        </w:rPr>
      </w:pPr>
      <w:r>
        <w:rPr>
          <w:rFonts w:ascii="Times New Roman" w:hAnsi="Times New Roman"/>
          <w:sz w:val="20"/>
        </w:rPr>
        <w:t xml:space="preserve">(i) This Stock Option shall initially be unvested and unexercisable. </w:t>
      </w:r>
    </w:p>
    <w:p>
      <w:pPr>
        <w:pStyle w:val="TextBody"/>
        <w:bidi w:val="0"/>
        <w:spacing w:before="120" w:after="0"/>
        <w:jc w:val="left"/>
        <w:rPr>
          <w:rFonts w:ascii="Times New Roman" w:hAnsi="Times New Roman"/>
          <w:sz w:val="20"/>
        </w:rPr>
      </w:pPr>
      <w:r>
        <w:rPr>
          <w:rFonts w:ascii="Times New Roman" w:hAnsi="Times New Roman"/>
          <w:sz w:val="20"/>
        </w:rPr>
        <w:t xml:space="preserve">(ii) This Stock Option shall vest and become exercisable in accordance with the Vesting Schedule set forth in the Grant Notice. </w:t>
      </w:r>
    </w:p>
    <w:p>
      <w:pPr>
        <w:pStyle w:val="TextBody"/>
        <w:bidi w:val="0"/>
        <w:spacing w:before="120" w:after="0"/>
        <w:jc w:val="left"/>
        <w:rPr>
          <w:rFonts w:ascii="Times New Roman" w:hAnsi="Times New Roman"/>
          <w:sz w:val="20"/>
        </w:rPr>
      </w:pP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 </w:t>
      </w:r>
    </w:p>
    <w:p>
      <w:pPr>
        <w:pStyle w:val="TextBody"/>
        <w:bidi w:val="0"/>
        <w:spacing w:before="120" w:after="0"/>
        <w:jc w:val="left"/>
        <w:rPr>
          <w:rFonts w:ascii="Times New Roman" w:hAnsi="Times New Roman"/>
          <w:sz w:val="20"/>
        </w:rPr>
      </w:pP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Termination Due to Death or Disability</w:t>
      </w:r>
      <w:r>
        <w:rPr>
          <w:rFonts w:ascii="Times New Roman" w:hAnsi="Times New Roman"/>
          <w:sz w:val="20"/>
        </w:rPr>
        <w:t xml:space="preserve">.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 </w:t>
      </w:r>
    </w:p>
    <w:p>
      <w:pPr>
        <w:pStyle w:val="TextBody"/>
        <w:bidi w:val="0"/>
        <w:spacing w:before="120" w:after="0"/>
        <w:jc w:val="left"/>
        <w:rPr>
          <w:rFonts w:ascii="Times New Roman" w:hAnsi="Times New Roman"/>
          <w:sz w:val="20"/>
        </w:rPr>
      </w:pP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Optionees Service Relationship is terminated for Cause, this Stock Option shall terminate immediately upon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 of Stock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Prior to the Expiration Date, the Optionee may deliver a Stock Option exercise notice (an Exercise Notice) in the form of </w:t>
      </w:r>
      <w:r>
        <w:rPr>
          <w:rFonts w:ascii="Times New Roman" w:hAnsi="Times New Roman"/>
          <w:sz w:val="20"/>
          <w:u w:val="single"/>
        </w:rPr>
        <w:t>Appendix A</w:t>
      </w:r>
      <w:r>
        <w:rPr>
          <w:rFonts w:ascii="Times New Roman" w:hAnsi="Times New Roman"/>
          <w:sz w:val="20"/>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hereof or of the Plan, no portion of this Stock Option shall be exercisable after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Transferability of Stock Option</w:t>
      </w:r>
      <w:r>
        <w:rPr>
          <w:rFonts w:ascii="Times New Roman" w:hAnsi="Times New Roman"/>
          <w:sz w:val="20"/>
        </w:rPr>
        <w:t xml:space="preserve">.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Restrictions on Transfer of Shares</w:t>
      </w:r>
      <w:r>
        <w:rPr>
          <w:rFonts w:ascii="Times New Roman" w:hAnsi="Times New Roman"/>
          <w:sz w:val="20"/>
        </w:rPr>
        <w:t xml:space="preserve">. The Shares acquired upon exercise of the Stock Option shall be subject to certain transfer restrictions and other limitations including, without limitation, the provisions contained in Section 9 of the Plan.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Equitable Relief</w:t>
      </w:r>
      <w:r>
        <w:rPr>
          <w:rFonts w:ascii="Times New Roman" w:hAnsi="Times New Roman"/>
          <w:sz w:val="20"/>
        </w:rPr>
        <w:t xml:space="preserve">. The parties hereto agree and declare that legal remedies may be inadequate to enforce the provisions of this Agreement and that equitable relief, including specific performance and injunctive relief, may be used to enforce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and Modifications</w:t>
      </w:r>
      <w:r>
        <w:rPr>
          <w:rFonts w:ascii="Times New Roman" w:hAnsi="Times New Roman"/>
          <w:sz w:val="20"/>
        </w:rPr>
        <w:t xml:space="preserve">. This Agreement may not be orally changed, modified or terminated, nor shall any oral waiver of any of its terms be effective. This Agreement may be changed, modified or terminated only by an agreement in writing signed by the Company and the Optionee.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State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headings are intended only for convenience in finding the subject matter and do not constitute part of the text of this Agreement and shall not be considered in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Saving Clause</w:t>
      </w:r>
      <w:r>
        <w:rPr>
          <w:rFonts w:ascii="Times New Roman" w:hAnsi="Times New Roman"/>
          <w:sz w:val="20"/>
        </w:rPr>
        <w:t xml:space="preserve">. If any provision(s) of this Agreement shall be determined to be illegal or unenforceable, such determination shall in no manner affect the legality or enforceability of any other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Notices</w:t>
      </w:r>
      <w:r>
        <w:rPr>
          <w:rFonts w:ascii="Times New Roman" w:hAnsi="Times New Roman"/>
          <w:sz w:val="20"/>
        </w:rPr>
        <w:t xml:space="preserve">.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Benefit and Binding Effect</w:t>
      </w:r>
      <w:r>
        <w:rPr>
          <w:rFonts w:ascii="Times New Roman" w:hAnsi="Times New Roman"/>
          <w:sz w:val="20"/>
        </w:rPr>
        <w:t xml:space="preserve">.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Counterparts</w:t>
      </w:r>
      <w:r>
        <w:rPr>
          <w:rFonts w:ascii="Times New Roman" w:hAnsi="Times New Roman"/>
          <w:sz w:val="20"/>
        </w:rPr>
        <w:t xml:space="preserve">. For the convenience of the parties and to facilitate execution, this Agreement may be executed in two or more counterparts, each of which shall be deemed an original, but all of which shall constitute one and the same document.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Boston, Massachusetts.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(d) 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 of Statutory Information Rights</w:t>
      </w:r>
      <w:r>
        <w:rPr>
          <w:rFonts w:ascii="Times New Roman" w:hAnsi="Times New Roman"/>
          <w:sz w:val="20"/>
        </w:rPr>
        <w:t xml:space="preserve">.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foregoing Agreement is hereby accepted and the terms and conditions thereof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0"/>
        <w:gridCol w:w="88"/>
        <w:gridCol w:w="3484"/>
      </w:tblGrid>
      <w:tr>
        <w:trPr/>
        <w:tc>
          <w:tcPr>
            <w:tcW w:w="51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Rapport Therapeutics, Inc.</w:t>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pPr>
            <w:r>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484" w:type="dxa"/>
            <w:tcBorders>
              <w:bottom w:val="single" w:sz="2" w:space="0" w:color="000000"/>
            </w:tcBorders>
            <w:tcMar>
              <w:bottom w:w="28" w:type="dxa"/>
            </w:tcMar>
          </w:tcPr>
          <w:p>
            <w:pPr>
              <w:pStyle w:val="TableContents"/>
              <w:bidi w:val="0"/>
              <w:spacing w:before="0" w:after="283"/>
              <w:jc w:val="left"/>
              <w:rPr/>
            </w:pPr>
            <w:r>
              <w:rPr/>
              <w:t> </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tcPr>
          <w:p>
            <w:pPr>
              <w:pStyle w:val="TableContents"/>
              <w:bidi w:val="0"/>
              <w:spacing w:before="0" w:after="283"/>
              <w:jc w:val="left"/>
              <w:rPr/>
            </w:pPr>
            <w:r>
              <w:rPr/>
              <w:t>Name:</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tcPr>
          <w:p>
            <w:pPr>
              <w:pStyle w:val="TableContents"/>
              <w:bidi w:val="0"/>
              <w:spacing w:before="0" w:after="283"/>
              <w:jc w:val="left"/>
              <w:rPr/>
            </w:pPr>
            <w:r>
              <w:rPr/>
              <w:t>Title:</w:t>
            </w:r>
          </w:p>
        </w:tc>
      </w:tr>
    </w:tbl>
    <w:tbl>
      <w:tblPr>
        <w:tblW w:w="2000" w:type="pct"/>
        <w:jc w:val="right"/>
        <w:tblInd w:w="0" w:type="dxa"/>
        <w:tblLayout w:type="fixed"/>
        <w:tblCellMar>
          <w:top w:w="0" w:type="dxa"/>
          <w:left w:w="0" w:type="dxa"/>
          <w:bottom w:w="0" w:type="dxa"/>
          <w:right w:w="0" w:type="dxa"/>
        </w:tblCellMar>
      </w:tblPr>
      <w:tblGrid>
        <w:gridCol w:w="922"/>
        <w:gridCol w:w="61"/>
        <w:gridCol w:w="3099"/>
      </w:tblGrid>
      <w:tr>
        <w:trPr/>
        <w:tc>
          <w:tcPr>
            <w:tcW w:w="9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922" w:type="dxa"/>
            <w:tcBorders/>
          </w:tcPr>
          <w:p>
            <w:pPr>
              <w:pStyle w:val="TableContents"/>
              <w:bidi w:val="0"/>
              <w:spacing w:before="0" w:after="283"/>
              <w:jc w:val="left"/>
              <w:rPr/>
            </w:pPr>
            <w:r>
              <w:rPr/>
              <w:t>Address:</w:t>
            </w:r>
          </w:p>
        </w:tc>
        <w:tc>
          <w:tcPr>
            <w:tcW w:w="61"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OPTIONEE: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Address:</w:t>
            </w:r>
          </w:p>
        </w:tc>
      </w:tr>
    </w:tbl>
    <w:p>
      <w:pPr>
        <w:pStyle w:val="TextBody"/>
        <w:bidi w:val="0"/>
        <w:spacing w:before="240" w:after="0"/>
        <w:jc w:val="left"/>
        <w:rPr>
          <w:rFonts w:ascii="Times New Roman" w:hAnsi="Times New Roman"/>
          <w:sz w:val="20"/>
        </w:rPr>
      </w:pPr>
      <w:r>
        <w:rPr>
          <w:rFonts w:ascii="Times New Roman" w:hAnsi="Times New Roman"/>
          <w:sz w:val="20"/>
        </w:rPr>
        <w:t xml:space="preserve">[SPOUSES CONSENT </w:t>
      </w:r>
    </w:p>
    <w:p>
      <w:pPr>
        <w:pStyle w:val="TextBody"/>
        <w:bidi w:val="0"/>
        <w:spacing w:before="0" w:after="0"/>
        <w:jc w:val="left"/>
        <w:rPr>
          <w:rFonts w:ascii="Times New Roman" w:hAnsi="Times New Roman"/>
          <w:sz w:val="20"/>
        </w:rPr>
      </w:pPr>
      <w:r>
        <w:rPr>
          <w:rFonts w:ascii="Times New Roman" w:hAnsi="Times New Roman"/>
          <w:sz w:val="20"/>
        </w:rPr>
        <w:t xml:space="preserve">I acknowledge that I have read the </w:t>
      </w:r>
    </w:p>
    <w:p>
      <w:pPr>
        <w:pStyle w:val="TextBody"/>
        <w:bidi w:val="0"/>
        <w:spacing w:before="0" w:after="0"/>
        <w:jc w:val="left"/>
        <w:rPr>
          <w:rFonts w:ascii="Times New Roman" w:hAnsi="Times New Roman"/>
          <w:sz w:val="20"/>
        </w:rPr>
      </w:pPr>
      <w:r>
        <w:rPr>
          <w:rFonts w:ascii="Times New Roman" w:hAnsi="Times New Roman"/>
          <w:sz w:val="20"/>
        </w:rPr>
        <w:t xml:space="preserve">foregoing Non-Qualified Stock Option Agreement </w:t>
      </w:r>
    </w:p>
    <w:p>
      <w:pPr>
        <w:pStyle w:val="TextBody"/>
        <w:bidi w:val="0"/>
        <w:spacing w:before="0" w:after="0"/>
        <w:jc w:val="left"/>
        <w:rPr>
          <w:rFonts w:ascii="Times New Roman" w:hAnsi="Times New Roman"/>
          <w:sz w:val="20"/>
        </w:rPr>
      </w:pPr>
      <w:r>
        <w:rPr>
          <w:rFonts w:ascii="Times New Roman" w:hAnsi="Times New Roman"/>
          <w:sz w:val="20"/>
        </w:rPr>
        <w:t xml:space="preserve">and understand the contents thereof.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DESIGNATED BENEFICIARY: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Beneficiarys Address: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RAPPORT THERAPEUTICS, INC.S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Rapport Therapeutics, Inc.s 2022 Stock Option and Grant Plan (the Plan), </w:t>
      </w:r>
      <w:r>
        <w:rPr>
          <w:rFonts w:ascii="Times New Roman" w:hAnsi="Times New Roman"/>
          <w:b/>
          <w:sz w:val="20"/>
        </w:rPr>
        <w:t>Rapport Therapeutics, Inc.</w:t>
      </w:r>
      <w:r>
        <w:rPr>
          <w:rFonts w:ascii="Times New Roman" w:hAnsi="Times New Roman"/>
          <w:sz w:val="20"/>
        </w:rPr>
        <w:t xml:space="preserve">, a </w:t>
      </w:r>
      <w:r>
        <w:rPr>
          <w:rFonts w:ascii="Times New Roman" w:hAnsi="Times New Roman"/>
          <w:b/>
          <w:sz w:val="20"/>
        </w:rPr>
        <w:t>Delaware</w:t>
      </w:r>
      <w:r>
        <w:rPr>
          <w:rFonts w:ascii="Times New Roman" w:hAnsi="Times New Roman"/>
          <w:sz w:val="20"/>
        </w:rPr>
        <w:t xml:space="preserv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w:t>
      </w:r>
      <w:r>
        <w:rPr>
          <w:rFonts w:ascii="Times New Roman" w:hAnsi="Times New Roman"/>
          <w:b/>
          <w:sz w:val="20"/>
        </w:rPr>
        <w:t>[_______]</w:t>
      </w:r>
      <w:r>
        <w:rPr>
          <w:rFonts w:ascii="Times New Roman" w:hAnsi="Times New Roman"/>
          <w:sz w:val="20"/>
        </w:rPr>
        <w:t xml:space="preserve"> in 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 </w:t>
      </w:r>
    </w:p>
    <w:tbl>
      <w:tblPr>
        <w:tblW w:w="5000" w:type="pct"/>
        <w:jc w:val="center"/>
        <w:tblInd w:w="0" w:type="dxa"/>
        <w:tblLayout w:type="fixed"/>
        <w:tblCellMar>
          <w:top w:w="0" w:type="dxa"/>
          <w:left w:w="0" w:type="dxa"/>
          <w:bottom w:w="0" w:type="dxa"/>
          <w:right w:w="0" w:type="dxa"/>
        </w:tblCellMar>
      </w:tblPr>
      <w:tblGrid>
        <w:gridCol w:w="3233"/>
        <w:gridCol w:w="120"/>
        <w:gridCol w:w="6852"/>
      </w:tblGrid>
      <w:tr>
        <w:trPr/>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5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_________________ (the Grantee)</w:t>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No. of Shares:</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_________ Shares of Common Stock (the Shares)</w:t>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____________ __, ____</w:t>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Date of Purchase of Shares:</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____________ __, ____</w:t>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____________ __, ____ (the Vesting Commencement Date)</w:t>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Per Share Purchase Price:</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$________ (the Per Share Purchase Price)</w:t>
            </w:r>
          </w:p>
        </w:tc>
      </w:tr>
      <w:tr>
        <w:trPr>
          <w:trHeight w:val="240" w:hRule="atLeast"/>
        </w:trPr>
        <w:tc>
          <w:tcPr>
            <w:tcW w:w="3233" w:type="dxa"/>
            <w:tcBorders/>
            <w:vAlign w:val="center"/>
          </w:tcPr>
          <w:p>
            <w:pPr>
              <w:pStyle w:val="TableContents"/>
              <w:bidi w:val="0"/>
              <w:spacing w:before="0" w:after="283"/>
              <w:jc w:val="left"/>
              <w:rPr>
                <w:sz w:val="4"/>
                <w:szCs w:val="4"/>
              </w:rPr>
            </w:pPr>
            <w:r>
              <w:rPr>
                <w:sz w:val="4"/>
                <w:szCs w:val="4"/>
              </w:rPr>
            </w:r>
          </w:p>
        </w:tc>
        <w:tc>
          <w:tcPr>
            <w:tcW w:w="6972"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6852" w:type="dxa"/>
            <w:tcBorders/>
          </w:tcPr>
          <w:p>
            <w:pPr>
              <w:pStyle w:val="TableContents"/>
              <w:bidi w:val="0"/>
              <w:spacing w:before="0" w:after="283"/>
              <w:jc w:val="left"/>
              <w:rPr/>
            </w:pPr>
            <w:r>
              <w:rPr/>
              <w:t xml:space="preserve">[25] percent of the Shares shall vest on the [first] anniversary of the Vesting Commencement Date; provided that the Grantee continues to have a Service Relationship with the Company at such time. Thereafter, the remaining [75] percent of the Shares shall vest in [36] equal monthly installments following the first anniversary of the Vesting Commencement Date, provided the Grantee continues to have a Service Relationship with the Company at such time. Notwithstanding anything in the Agreement to the contrary in the case of a Sale Event, the Shares of Restricted Stock shall be treated as provided in Section 3(c) of the Plan </w:t>
            </w:r>
            <w:r>
              <w:rPr>
                <w:b/>
              </w:rPr>
              <w:t>[provided;</w:t>
            </w:r>
            <w:r>
              <w:rPr/>
              <w:t xml:space="preserve"> </w:t>
            </w:r>
            <w:r>
              <w:rPr>
                <w:b/>
              </w:rPr>
              <w:t>however INSERT ANY ACCELERATED VESTING PROVISION HERE]</w:t>
            </w:r>
            <w:r>
              <w:rPr/>
              <w:t>.</w:t>
            </w:r>
          </w:p>
        </w:tc>
      </w:tr>
    </w:tbl>
    <w:p>
      <w:pPr>
        <w:pStyle w:val="TextBody"/>
        <w:bidi w:val="0"/>
        <w:spacing w:before="240" w:after="0"/>
        <w:jc w:val="left"/>
        <w:rPr>
          <w:rFonts w:ascii="Times New Roman" w:hAnsi="Times New Roman"/>
          <w:sz w:val="20"/>
        </w:rPr>
      </w:pPr>
      <w:r>
        <w:rPr>
          <w:rFonts w:ascii="Times New Roman" w:hAnsi="Times New Roman"/>
          <w:b/>
          <w:sz w:val="20"/>
        </w:rPr>
        <w:t>Attachments</w:t>
      </w:r>
      <w:r>
        <w:rPr>
          <w:rFonts w:ascii="Times New Roman" w:hAnsi="Times New Roman"/>
          <w:sz w:val="20"/>
        </w:rPr>
        <w:t xml:space="preserve">: Restricted Stock Agreement, Rapport Therapeutics, Inc.s 2022 Stock Option and Grant Plan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RAPPORT THERAPEUTICS, INC.S </w:t>
      </w:r>
    </w:p>
    <w:p>
      <w:pPr>
        <w:pStyle w:val="TextBody"/>
        <w:bidi w:val="0"/>
        <w:spacing w:before="0" w:after="0"/>
        <w:jc w:val="center"/>
        <w:rPr>
          <w:rFonts w:ascii="Times New Roman" w:hAnsi="Times New Roman"/>
          <w:b/>
          <w:sz w:val="20"/>
        </w:rPr>
      </w:pPr>
      <w:r>
        <w:rPr>
          <w:rFonts w:ascii="Times New Roman" w:hAnsi="Times New Roman"/>
          <w:b/>
          <w:sz w:val="20"/>
        </w:rPr>
        <w:t xml:space="preserve">2022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herein and not otherwise defined shall have the respective meanings set forth in the Award Notice and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Purchase and Sale of Shares; Vesting; Investment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and Sale</w:t>
      </w:r>
      <w:r>
        <w:rPr>
          <w:rFonts w:ascii="Times New Roman" w:hAnsi="Times New Roman"/>
          <w:sz w:val="20"/>
        </w:rPr>
        <w:t xml:space="preserve">. The Company hereby sells to the Grantee, and the Grantee hereby purchases from the Company, the number of Shares set forth in the Award Notice for the Per Share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Vesting</w:t>
      </w:r>
      <w:r>
        <w:rPr>
          <w:rFonts w:ascii="Times New Roman" w:hAnsi="Times New Roman"/>
          <w:sz w:val="20"/>
        </w:rPr>
        <w:t xml:space="preserve">.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Investment Representations</w:t>
      </w:r>
      <w:r>
        <w:rPr>
          <w:rFonts w:ascii="Times New Roman" w:hAnsi="Times New Roman"/>
          <w:sz w:val="20"/>
        </w:rPr>
        <w:t xml:space="preserve">. In connection with the purchase and sale of the Shares contemplated by Section 1(a) above, the Grantee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Grantee is purchasing the Shares for the Grantees own account for investment only, and not for resale or with a view to the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(ii) 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The Grantee has sufficient experience in business, financial and investment matters to be able to evaluate the risks involved in the purchase of the Shares and to make an informed investment decision with respect to such purchase. </w:t>
      </w:r>
    </w:p>
    <w:p>
      <w:pPr>
        <w:pStyle w:val="TextBody"/>
        <w:bidi w:val="0"/>
        <w:spacing w:before="120" w:after="0"/>
        <w:jc w:val="left"/>
        <w:rPr>
          <w:rFonts w:ascii="Times New Roman" w:hAnsi="Times New Roman"/>
          <w:sz w:val="20"/>
        </w:rPr>
      </w:pPr>
      <w:r>
        <w:rPr>
          <w:rFonts w:ascii="Times New Roman" w:hAnsi="Times New Roman"/>
          <w:sz w:val="20"/>
        </w:rPr>
        <w:t xml:space="preserve">(iv) The Grantee can afford a complete loss of the value of the Shares and is able to bear the economic risk of holding such Shares for an indefinite period. </w:t>
      </w:r>
    </w:p>
    <w:p>
      <w:pPr>
        <w:pStyle w:val="TextBody"/>
        <w:bidi w:val="0"/>
        <w:spacing w:before="120" w:after="0"/>
        <w:jc w:val="left"/>
        <w:rPr>
          <w:rFonts w:ascii="Times New Roman" w:hAnsi="Times New Roman"/>
          <w:sz w:val="20"/>
        </w:rPr>
      </w:pPr>
      <w:r>
        <w:rPr>
          <w:rFonts w:ascii="Times New Roman" w:hAnsi="Times New Roman"/>
          <w:sz w:val="20"/>
        </w:rPr>
        <w:t xml:space="preserve">(v) 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 Grantee has read and understands the Plan and acknowledges and agrees that the Shares are subject to all of the relevant terms of the Plan, including without limitation, the transfer restrictions set forth in Section 9 of the Plan. </w:t>
      </w:r>
    </w:p>
    <w:p>
      <w:pPr>
        <w:pStyle w:val="TextBody"/>
        <w:bidi w:val="0"/>
        <w:spacing w:before="120" w:after="0"/>
        <w:jc w:val="left"/>
        <w:rPr>
          <w:rFonts w:ascii="Times New Roman" w:hAnsi="Times New Roman"/>
          <w:sz w:val="20"/>
        </w:rPr>
      </w:pPr>
      <w:r>
        <w:rPr>
          <w:rFonts w:ascii="Times New Roman" w:hAnsi="Times New Roman"/>
          <w:sz w:val="20"/>
        </w:rPr>
        <w:t xml:space="preserve">(vii) The Grantee understands and agrees that the Company has a right of first refusal with respect to the Shares pursuant to Section 9(b) of the Plan. </w:t>
      </w:r>
    </w:p>
    <w:p>
      <w:pPr>
        <w:pStyle w:val="TextBody"/>
        <w:bidi w:val="0"/>
        <w:spacing w:before="120" w:after="0"/>
        <w:jc w:val="left"/>
        <w:rPr>
          <w:rFonts w:ascii="Times New Roman" w:hAnsi="Times New Roman"/>
          <w:sz w:val="20"/>
        </w:rPr>
      </w:pPr>
      <w:r>
        <w:rPr>
          <w:rFonts w:ascii="Times New Roman" w:hAnsi="Times New Roman"/>
          <w:sz w:val="20"/>
        </w:rPr>
        <w:t xml:space="preserve">(viii) The Grantee understands and agree that the Company has certain repurchase rights with respect to the Shares pursuant to Section 9(c) of the Plan. </w:t>
      </w:r>
    </w:p>
    <w:p>
      <w:pPr>
        <w:pStyle w:val="TextBody"/>
        <w:bidi w:val="0"/>
        <w:spacing w:before="120" w:after="0"/>
        <w:jc w:val="left"/>
        <w:rPr>
          <w:rFonts w:ascii="Times New Roman" w:hAnsi="Times New Roman"/>
          <w:sz w:val="20"/>
        </w:rPr>
      </w:pPr>
      <w:r>
        <w:rPr>
          <w:rFonts w:ascii="Times New Roman" w:hAnsi="Times New Roman"/>
          <w:sz w:val="20"/>
        </w:rPr>
        <w:t xml:space="preserve">(ix) The Grantee understands and agrees that the Grantee may not sell or otherwise transfer or dispose of the Shares for a period of time following the effective date of a public offering by the Company as described in Section 9(f)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Repurchase Right</w:t>
      </w:r>
      <w:r>
        <w:rPr>
          <w:rFonts w:ascii="Times New Roman" w:hAnsi="Times New Roman"/>
          <w:sz w:val="20"/>
        </w:rPr>
        <w:t xml:space="preserve">. Upon a Termination Event, the Company shall have the right to repurchase Shares of Restricted Stock that are unvested as of the date of such Termination Event as set forth in Section 9(c) of the Plan.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Restrictions on Transfer of Shares</w:t>
      </w:r>
      <w:r>
        <w:rPr>
          <w:rFonts w:ascii="Times New Roman" w:hAnsi="Times New Roman"/>
          <w:sz w:val="20"/>
        </w:rPr>
        <w:t xml:space="preserve">. The Shares (whether or not vested) shall be subject to certain transfer restrictions and other limitations including, without limitation, the provisions contained in Section 9 of the Plan.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Restricted Stock Award shall be subject to and governed by all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Record Owner; Dividends</w:t>
      </w:r>
      <w:r>
        <w:rPr>
          <w:rFonts w:ascii="Times New Roman" w:hAnsi="Times New Roman"/>
          <w:sz w:val="20"/>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is under no duty to declare any such dividends or to make any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83(b) Election</w:t>
      </w:r>
      <w:r>
        <w:rPr>
          <w:rFonts w:ascii="Times New Roman" w:hAnsi="Times New Roman"/>
          <w:sz w:val="20"/>
        </w:rPr>
        <w:t xml:space="preserve">.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 A sample Section 83(b) election is attached to this Agreement as Exhibit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Equitable Relief</w:t>
      </w:r>
      <w:r>
        <w:rPr>
          <w:rFonts w:ascii="Times New Roman" w:hAnsi="Times New Roman"/>
          <w:sz w:val="20"/>
        </w:rPr>
        <w:t xml:space="preserve">. The parties hereto agree and declare that legal remedies may be inadequate to enforce the provisions of this Agreement and that equitable relief, including specific performance and injunctive relief, may be used to enforce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and Modifications</w:t>
      </w:r>
      <w:r>
        <w:rPr>
          <w:rFonts w:ascii="Times New Roman" w:hAnsi="Times New Roman"/>
          <w:sz w:val="20"/>
        </w:rPr>
        <w:t xml:space="preserve">. This Agreement may not be orally changed, modified or terminated, nor shall any oral waiver of any of its terms be effective. This Agreement may be changed, modified or terminated only by an agreement in writing signed by the Company and the Grantee.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w:t>
      </w:r>
      <w:r>
        <w:rPr>
          <w:rFonts w:ascii="Times New Roman" w:hAnsi="Times New Roman"/>
          <w:b/>
          <w:sz w:val="20"/>
        </w:rPr>
        <w:t>General Corporation Law of the State of Delaware</w:t>
      </w:r>
      <w:r>
        <w:rPr>
          <w:rFonts w:ascii="Times New Roman" w:hAnsi="Times New Roman"/>
          <w:sz w:val="20"/>
        </w:rPr>
        <w:t xml:space="preserv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State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Headings</w:t>
      </w:r>
      <w:r>
        <w:rPr>
          <w:rFonts w:ascii="Times New Roman" w:hAnsi="Times New Roman"/>
          <w:sz w:val="20"/>
        </w:rPr>
        <w:t xml:space="preserve">. The headings are intended only for convenience in finding the subject matter and do not constitute part of the text of this Agreement and shall not be considered in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Saving Clause</w:t>
      </w:r>
      <w:r>
        <w:rPr>
          <w:rFonts w:ascii="Times New Roman" w:hAnsi="Times New Roman"/>
          <w:sz w:val="20"/>
        </w:rPr>
        <w:t xml:space="preserve">. If any provision(s) of this Agreement shall be determined to be illegal or unenforceable, such determination shall in no manner affect the legality or enforceability of any other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Benefit and Binding Effect</w:t>
      </w:r>
      <w:r>
        <w:rPr>
          <w:rFonts w:ascii="Times New Roman" w:hAnsi="Times New Roman"/>
          <w:sz w:val="20"/>
        </w:rPr>
        <w:t xml:space="preserve">.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Counterparts</w:t>
      </w:r>
      <w:r>
        <w:rPr>
          <w:rFonts w:ascii="Times New Roman" w:hAnsi="Times New Roman"/>
          <w:sz w:val="20"/>
        </w:rPr>
        <w:t xml:space="preserve">. For the convenience of the parties and to facilitate execution, this Agreement may be executed in two or more counterparts, each of which shall be deemed an original, but all of which shall constitute one and the same document.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1 - 16, and judgment upon the award rendered by the arbitrators may be entered by any court having jurisdiction thereof. The place of arbitration shall be Boston,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(d) 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Waiver of Statutory Information Rights</w:t>
      </w:r>
      <w:r>
        <w:rPr>
          <w:rFonts w:ascii="Times New Roman" w:hAnsi="Times New Roman"/>
          <w:sz w:val="20"/>
        </w:rPr>
        <w:t xml:space="preserve">.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Restricted Stock Agreement is hereby accepted and the terms and conditions thereof are hereby agreed to by the undersigned as of the date of purchase of Shares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4"/>
        <w:gridCol w:w="60"/>
        <w:gridCol w:w="3128"/>
      </w:tblGrid>
      <w:tr>
        <w:trPr/>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Rapport Therapeutics, Inc.</w:t>
            </w:r>
          </w:p>
        </w:tc>
      </w:tr>
      <w:tr>
        <w:trPr>
          <w:trHeight w:val="240" w:hRule="atLeast"/>
        </w:trPr>
        <w:tc>
          <w:tcPr>
            <w:tcW w:w="894" w:type="dxa"/>
            <w:tcBorders/>
            <w:vAlign w:val="center"/>
          </w:tcPr>
          <w:p>
            <w:pPr>
              <w:pStyle w:val="TableContents"/>
              <w:bidi w:val="0"/>
              <w:spacing w:before="0" w:after="283"/>
              <w:jc w:val="left"/>
              <w:rPr>
                <w:sz w:val="4"/>
                <w:szCs w:val="4"/>
              </w:rPr>
            </w:pPr>
            <w:r>
              <w:rPr>
                <w:sz w:val="4"/>
                <w:szCs w:val="4"/>
              </w:rPr>
            </w:r>
          </w:p>
        </w:tc>
        <w:tc>
          <w:tcPr>
            <w:tcW w:w="318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2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pPr>
            <w:r>
              <w:rPr/>
              <w:t>Name:</w:t>
            </w:r>
          </w:p>
        </w:tc>
      </w:tr>
      <w:tr>
        <w:trPr/>
        <w:tc>
          <w:tcPr>
            <w:tcW w:w="8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pPr>
            <w:r>
              <w:rPr/>
              <w:t>Title:</w:t>
            </w:r>
          </w:p>
        </w:tc>
      </w:tr>
      <w:tr>
        <w:trPr/>
        <w:tc>
          <w:tcPr>
            <w:tcW w:w="894"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AND THE WAIVER OF STATUTORY INFORMATION RIGHTS SET FORTH IN SECTION 7 OF THIS AGREEMENT, are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GRANTEE: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Address:</w:t>
            </w:r>
          </w:p>
        </w:tc>
      </w:tr>
    </w:tbl>
    <w:p>
      <w:pPr>
        <w:pStyle w:val="TextBody"/>
        <w:bidi w:val="0"/>
        <w:spacing w:before="240" w:after="0"/>
        <w:jc w:val="left"/>
        <w:rPr>
          <w:rFonts w:ascii="Times New Roman" w:hAnsi="Times New Roman"/>
          <w:sz w:val="20"/>
        </w:rPr>
      </w:pPr>
      <w:r>
        <w:rPr>
          <w:rFonts w:ascii="Times New Roman" w:hAnsi="Times New Roman"/>
          <w:sz w:val="20"/>
        </w:rPr>
        <w:t xml:space="preserve">[SPOUSES CONSENT </w:t>
      </w:r>
    </w:p>
    <w:p>
      <w:pPr>
        <w:pStyle w:val="TextBody"/>
        <w:bidi w:val="0"/>
        <w:spacing w:before="0" w:after="0"/>
        <w:jc w:val="left"/>
        <w:rPr>
          <w:rFonts w:ascii="Times New Roman" w:hAnsi="Times New Roman"/>
          <w:sz w:val="20"/>
        </w:rPr>
      </w:pPr>
      <w:r>
        <w:rPr>
          <w:rFonts w:ascii="Times New Roman" w:hAnsi="Times New Roman"/>
          <w:sz w:val="20"/>
        </w:rPr>
        <w:t xml:space="preserve">I acknowledge that I have read the </w:t>
      </w:r>
    </w:p>
    <w:p>
      <w:pPr>
        <w:pStyle w:val="TextBody"/>
        <w:bidi w:val="0"/>
        <w:spacing w:before="0" w:after="0"/>
        <w:jc w:val="left"/>
        <w:rPr>
          <w:rFonts w:ascii="Times New Roman" w:hAnsi="Times New Roman"/>
          <w:sz w:val="20"/>
        </w:rPr>
      </w:pPr>
      <w:r>
        <w:rPr>
          <w:rFonts w:ascii="Times New Roman" w:hAnsi="Times New Roman"/>
          <w:sz w:val="20"/>
        </w:rPr>
        <w:t xml:space="preserve">foregoing Restricted Stock Agreement </w:t>
      </w:r>
    </w:p>
    <w:p>
      <w:pPr>
        <w:pStyle w:val="TextBody"/>
        <w:bidi w:val="0"/>
        <w:spacing w:before="0" w:after="0"/>
        <w:jc w:val="left"/>
        <w:rPr>
          <w:rFonts w:ascii="Times New Roman" w:hAnsi="Times New Roman"/>
          <w:sz w:val="20"/>
        </w:rPr>
      </w:pPr>
      <w:r>
        <w:rPr>
          <w:rFonts w:ascii="Times New Roman" w:hAnsi="Times New Roman"/>
          <w:sz w:val="20"/>
        </w:rPr>
        <w:t xml:space="preserve">and understand the contents thereof.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 </w:t>
      </w:r>
    </w:p>
    <w:p>
      <w:pPr>
        <w:pStyle w:val="TextBody"/>
        <w:bidi w:val="0"/>
        <w:spacing w:before="0" w:after="0"/>
        <w:jc w:val="right"/>
        <w:rPr>
          <w:rFonts w:ascii="Times New Roman" w:hAnsi="Times New Roman"/>
          <w:b/>
          <w:sz w:val="20"/>
        </w:rPr>
      </w:pPr>
      <w:bookmarkStart w:id="48" w:name="d803738dex1010.htm"/>
      <w:bookmarkStart w:id="49" w:name="ksd803738dex1010"/>
      <w:bookmarkEnd w:id="48"/>
      <w:bookmarkEnd w:id="49"/>
      <w:r>
        <w:rPr>
          <w:rFonts w:ascii="Times New Roman" w:hAnsi="Times New Roman"/>
          <w:b/>
          <w:sz w:val="20"/>
        </w:rPr>
        <w:t xml:space="preserve">Exhibit 10.10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JANSSEN PHARMACEUTICA NV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PRECISION NEUROSCIENCE NEWCO, INC.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9, 2022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
        <w:gridCol w:w="152"/>
        <w:gridCol w:w="519"/>
        <w:gridCol w:w="152"/>
        <w:gridCol w:w="8527"/>
        <w:gridCol w:w="152"/>
        <w:gridCol w:w="60"/>
        <w:gridCol w:w="261"/>
        <w:gridCol w:w="63"/>
      </w:tblGrid>
      <w:tr>
        <w:trPr/>
        <w:tc>
          <w:tcPr>
            <w:tcW w:w="31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852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6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5"/>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2 TOXICITY STUDIES; OPTION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319" w:type="dxa"/>
            <w:tcBorders/>
            <w:vAlign w:val="center"/>
          </w:tcPr>
          <w:p>
            <w:pPr>
              <w:pStyle w:val="TableContents"/>
              <w:bidi w:val="0"/>
              <w:spacing w:before="0" w:after="283"/>
              <w:jc w:val="left"/>
              <w:rPr>
                <w:sz w:val="4"/>
                <w:szCs w:val="4"/>
              </w:rPr>
            </w:pPr>
            <w:r>
              <w:rPr>
                <w:sz w:val="4"/>
                <w:szCs w:val="4"/>
              </w:rPr>
            </w:r>
          </w:p>
        </w:tc>
        <w:tc>
          <w:tcPr>
            <w:tcW w:w="671" w:type="dxa"/>
            <w:gridSpan w:val="2"/>
            <w:tcBorders/>
            <w:vAlign w:val="center"/>
          </w:tcPr>
          <w:p>
            <w:pPr>
              <w:pStyle w:val="TableContents"/>
              <w:bidi w:val="0"/>
              <w:spacing w:before="0" w:after="283"/>
              <w:jc w:val="left"/>
              <w:rPr>
                <w:sz w:val="4"/>
                <w:szCs w:val="4"/>
              </w:rPr>
            </w:pPr>
            <w:r>
              <w:rPr>
                <w:sz w:val="4"/>
                <w:szCs w:val="4"/>
              </w:rPr>
            </w:r>
          </w:p>
        </w:tc>
        <w:tc>
          <w:tcPr>
            <w:tcW w:w="8679"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319" w:type="dxa"/>
            <w:tcBorders/>
            <w:vAlign w:val="bottom"/>
          </w:tcPr>
          <w:p>
            <w:pPr>
              <w:pStyle w:val="TableContents"/>
              <w:bidi w:val="0"/>
              <w:spacing w:before="0" w:after="0"/>
              <w:jc w:val="left"/>
              <w:rPr/>
            </w:pPr>
            <w:r>
              <w:rPr/>
              <w:t> </w:t>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2.1</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Toxicity Studies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2.2</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TARP8 Option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5"/>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3 TECHNOLOGY AND MATERIAL TRANSFER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319" w:type="dxa"/>
            <w:tcBorders/>
            <w:vAlign w:val="center"/>
          </w:tcPr>
          <w:p>
            <w:pPr>
              <w:pStyle w:val="TableContents"/>
              <w:bidi w:val="0"/>
              <w:spacing w:before="0" w:after="283"/>
              <w:jc w:val="left"/>
              <w:rPr>
                <w:sz w:val="4"/>
                <w:szCs w:val="4"/>
              </w:rPr>
            </w:pPr>
            <w:r>
              <w:rPr>
                <w:sz w:val="4"/>
                <w:szCs w:val="4"/>
              </w:rPr>
            </w:r>
          </w:p>
        </w:tc>
        <w:tc>
          <w:tcPr>
            <w:tcW w:w="671" w:type="dxa"/>
            <w:gridSpan w:val="2"/>
            <w:tcBorders/>
            <w:vAlign w:val="center"/>
          </w:tcPr>
          <w:p>
            <w:pPr>
              <w:pStyle w:val="TableContents"/>
              <w:bidi w:val="0"/>
              <w:spacing w:before="0" w:after="283"/>
              <w:jc w:val="left"/>
              <w:rPr>
                <w:sz w:val="4"/>
                <w:szCs w:val="4"/>
              </w:rPr>
            </w:pPr>
            <w:r>
              <w:rPr>
                <w:sz w:val="4"/>
                <w:szCs w:val="4"/>
              </w:rPr>
            </w:r>
          </w:p>
        </w:tc>
        <w:tc>
          <w:tcPr>
            <w:tcW w:w="8679"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3.1</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Technology Transfer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3.2</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Material Transfer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3.3</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 Janssen Personnel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5"/>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4 LICENSE GRANTS; ASSIGNMENT OF CERTAIN PATENTS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319" w:type="dxa"/>
            <w:tcBorders/>
            <w:vAlign w:val="center"/>
          </w:tcPr>
          <w:p>
            <w:pPr>
              <w:pStyle w:val="TableContents"/>
              <w:bidi w:val="0"/>
              <w:spacing w:before="0" w:after="283"/>
              <w:jc w:val="left"/>
              <w:rPr>
                <w:sz w:val="4"/>
                <w:szCs w:val="4"/>
              </w:rPr>
            </w:pPr>
            <w:r>
              <w:rPr>
                <w:sz w:val="4"/>
                <w:szCs w:val="4"/>
              </w:rPr>
            </w:r>
          </w:p>
        </w:tc>
        <w:tc>
          <w:tcPr>
            <w:tcW w:w="671" w:type="dxa"/>
            <w:gridSpan w:val="2"/>
            <w:tcBorders/>
            <w:vAlign w:val="center"/>
          </w:tcPr>
          <w:p>
            <w:pPr>
              <w:pStyle w:val="TableContents"/>
              <w:bidi w:val="0"/>
              <w:spacing w:before="0" w:after="283"/>
              <w:jc w:val="left"/>
              <w:rPr>
                <w:sz w:val="4"/>
                <w:szCs w:val="4"/>
              </w:rPr>
            </w:pPr>
            <w:r>
              <w:rPr>
                <w:sz w:val="4"/>
                <w:szCs w:val="4"/>
              </w:rPr>
            </w:r>
          </w:p>
        </w:tc>
        <w:tc>
          <w:tcPr>
            <w:tcW w:w="8679"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4.1</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License Grants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4.2</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Janssen Reserved Rights; No Collaboration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4.3</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Assignment of Primary TARP8 Patents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4.4</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Exclusivity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4.5</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No Implied Licenses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5"/>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5 LICENSEE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319" w:type="dxa"/>
            <w:tcBorders/>
            <w:vAlign w:val="center"/>
          </w:tcPr>
          <w:p>
            <w:pPr>
              <w:pStyle w:val="TableContents"/>
              <w:bidi w:val="0"/>
              <w:spacing w:before="0" w:after="283"/>
              <w:jc w:val="left"/>
              <w:rPr>
                <w:sz w:val="4"/>
                <w:szCs w:val="4"/>
              </w:rPr>
            </w:pPr>
            <w:r>
              <w:rPr>
                <w:sz w:val="4"/>
                <w:szCs w:val="4"/>
              </w:rPr>
            </w:r>
          </w:p>
        </w:tc>
        <w:tc>
          <w:tcPr>
            <w:tcW w:w="671" w:type="dxa"/>
            <w:gridSpan w:val="2"/>
            <w:tcBorders/>
            <w:vAlign w:val="center"/>
          </w:tcPr>
          <w:p>
            <w:pPr>
              <w:pStyle w:val="TableContents"/>
              <w:bidi w:val="0"/>
              <w:spacing w:before="0" w:after="283"/>
              <w:jc w:val="left"/>
              <w:rPr>
                <w:sz w:val="4"/>
                <w:szCs w:val="4"/>
              </w:rPr>
            </w:pPr>
            <w:r>
              <w:rPr>
                <w:sz w:val="4"/>
                <w:szCs w:val="4"/>
              </w:rPr>
            </w:r>
          </w:p>
        </w:tc>
        <w:tc>
          <w:tcPr>
            <w:tcW w:w="8679"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5.1</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Reporting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5.2</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Records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5"/>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6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319" w:type="dxa"/>
            <w:tcBorders/>
            <w:vAlign w:val="center"/>
          </w:tcPr>
          <w:p>
            <w:pPr>
              <w:pStyle w:val="TableContents"/>
              <w:bidi w:val="0"/>
              <w:spacing w:before="0" w:after="283"/>
              <w:jc w:val="left"/>
              <w:rPr>
                <w:sz w:val="4"/>
                <w:szCs w:val="4"/>
              </w:rPr>
            </w:pPr>
            <w:r>
              <w:rPr>
                <w:sz w:val="4"/>
                <w:szCs w:val="4"/>
              </w:rPr>
            </w:r>
          </w:p>
        </w:tc>
        <w:tc>
          <w:tcPr>
            <w:tcW w:w="671" w:type="dxa"/>
            <w:gridSpan w:val="2"/>
            <w:tcBorders/>
            <w:vAlign w:val="center"/>
          </w:tcPr>
          <w:p>
            <w:pPr>
              <w:pStyle w:val="TableContents"/>
              <w:bidi w:val="0"/>
              <w:spacing w:before="0" w:after="283"/>
              <w:jc w:val="left"/>
              <w:rPr>
                <w:sz w:val="4"/>
                <w:szCs w:val="4"/>
              </w:rPr>
            </w:pPr>
            <w:r>
              <w:rPr>
                <w:sz w:val="4"/>
                <w:szCs w:val="4"/>
              </w:rPr>
            </w:r>
          </w:p>
        </w:tc>
        <w:tc>
          <w:tcPr>
            <w:tcW w:w="8679"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6.1</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Upfront Payment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6.2</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Option Fee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6.3</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Milestone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6.4</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Royalties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6.5</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Sales Reports and Payment Methods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6.6</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Audits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6.7</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Withholding Taxes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6.8</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Currency Restrictions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6.9</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Interest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6.10</w:t>
            </w:r>
          </w:p>
        </w:tc>
        <w:tc>
          <w:tcPr>
            <w:tcW w:w="152" w:type="dxa"/>
            <w:tcBorders/>
            <w:vAlign w:val="bottom"/>
          </w:tcPr>
          <w:p>
            <w:pPr>
              <w:pStyle w:val="TableContents"/>
              <w:bidi w:val="0"/>
              <w:spacing w:before="0" w:after="283"/>
              <w:jc w:val="left"/>
              <w:rPr/>
            </w:pPr>
            <w:r>
              <w:rPr/>
              <w:t>  </w:t>
            </w:r>
          </w:p>
        </w:tc>
        <w:tc>
          <w:tcPr>
            <w:tcW w:w="8527" w:type="dxa"/>
            <w:tcBorders/>
            <w:vAlign w:val="bottom"/>
          </w:tcPr>
          <w:p>
            <w:pPr>
              <w:pStyle w:val="TableContents"/>
              <w:bidi w:val="0"/>
              <w:spacing w:before="0" w:after="283"/>
              <w:jc w:val="left"/>
              <w:rPr/>
            </w:pPr>
            <w:r>
              <w:rPr/>
              <w:t>Payment Methods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4"/>
        <w:gridCol w:w="165"/>
        <w:gridCol w:w="552"/>
        <w:gridCol w:w="165"/>
        <w:gridCol w:w="8426"/>
        <w:gridCol w:w="165"/>
        <w:gridCol w:w="60"/>
        <w:gridCol w:w="263"/>
        <w:gridCol w:w="65"/>
      </w:tblGrid>
      <w:tr>
        <w:trPr/>
        <w:tc>
          <w:tcPr>
            <w:tcW w:w="34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652" w:type="dxa"/>
            <w:gridSpan w:val="5"/>
            <w:tcBorders/>
          </w:tcPr>
          <w:p>
            <w:pPr>
              <w:pStyle w:val="TableContents"/>
              <w:bidi w:val="0"/>
              <w:spacing w:before="0" w:after="283"/>
              <w:jc w:val="left"/>
              <w:rPr/>
            </w:pPr>
            <w:r>
              <w:rPr/>
              <w:t>ARTICLE 7 INTELLECTUAL PROPERTY MATTERS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5" w:type="dxa"/>
            <w:tcBorders/>
          </w:tcPr>
          <w:p>
            <w:pPr>
              <w:pStyle w:val="TableContents"/>
              <w:bidi w:val="0"/>
              <w:spacing w:before="0" w:after="283"/>
              <w:jc w:val="left"/>
              <w:rPr/>
            </w:pPr>
            <w:r>
              <w:rPr/>
              <w:t> </w:t>
            </w:r>
          </w:p>
        </w:tc>
      </w:tr>
      <w:tr>
        <w:trPr>
          <w:trHeight w:val="120" w:hRule="atLeast"/>
        </w:trPr>
        <w:tc>
          <w:tcPr>
            <w:tcW w:w="344" w:type="dxa"/>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8591"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344"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7.1</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Ownership of Patents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7.2</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Filing, Prosecution and Maintenance of Patents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7.3</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Patent Proceedings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26</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7.4</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Enforcement and Defense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27</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7.5</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Patent Term Restoration and Extension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28</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7.6</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Third Party Claims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28</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7.7</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Use of Names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5" w:type="dxa"/>
            <w:tcBorders/>
          </w:tcPr>
          <w:p>
            <w:pPr>
              <w:pStyle w:val="TableContents"/>
              <w:bidi w:val="0"/>
              <w:spacing w:before="0" w:after="283"/>
              <w:jc w:val="left"/>
              <w:rPr/>
            </w:pPr>
            <w:r>
              <w:rPr/>
              <w:t> </w:t>
            </w:r>
          </w:p>
        </w:tc>
      </w:tr>
      <w:tr>
        <w:trPr>
          <w:trHeight w:val="120" w:hRule="atLeast"/>
        </w:trPr>
        <w:tc>
          <w:tcPr>
            <w:tcW w:w="9652" w:type="dxa"/>
            <w:gridSpan w:val="5"/>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5"/>
            <w:tcBorders/>
          </w:tcPr>
          <w:p>
            <w:pPr>
              <w:pStyle w:val="TableContents"/>
              <w:bidi w:val="0"/>
              <w:spacing w:before="0" w:after="283"/>
              <w:jc w:val="left"/>
              <w:rPr/>
            </w:pPr>
            <w:r>
              <w:rPr/>
              <w:t>ARTICLE 8 CONFIDENTIALITY AND PUBLICATION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5" w:type="dxa"/>
            <w:tcBorders/>
          </w:tcPr>
          <w:p>
            <w:pPr>
              <w:pStyle w:val="TableContents"/>
              <w:bidi w:val="0"/>
              <w:spacing w:before="0" w:after="283"/>
              <w:jc w:val="left"/>
              <w:rPr/>
            </w:pPr>
            <w:r>
              <w:rPr/>
              <w:t> </w:t>
            </w:r>
          </w:p>
        </w:tc>
      </w:tr>
      <w:tr>
        <w:trPr>
          <w:trHeight w:val="120" w:hRule="atLeast"/>
        </w:trPr>
        <w:tc>
          <w:tcPr>
            <w:tcW w:w="344" w:type="dxa"/>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8591"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8.1</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Nondisclosure and Non-Use Obligations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8.2</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Exceptions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8.3</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Authorized Disclosure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30</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8.4</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Terms of this Agreement</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30</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8.5</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Public Announcements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31</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8.6</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Scientific Publications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31</w:t>
            </w:r>
          </w:p>
        </w:tc>
        <w:tc>
          <w:tcPr>
            <w:tcW w:w="65" w:type="dxa"/>
            <w:tcBorders/>
          </w:tcPr>
          <w:p>
            <w:pPr>
              <w:pStyle w:val="TableContents"/>
              <w:bidi w:val="0"/>
              <w:spacing w:before="0" w:after="283"/>
              <w:jc w:val="left"/>
              <w:rPr/>
            </w:pPr>
            <w:r>
              <w:rPr/>
              <w:t> </w:t>
            </w:r>
          </w:p>
        </w:tc>
      </w:tr>
      <w:tr>
        <w:trPr>
          <w:trHeight w:val="120" w:hRule="atLeast"/>
        </w:trPr>
        <w:tc>
          <w:tcPr>
            <w:tcW w:w="9652" w:type="dxa"/>
            <w:gridSpan w:val="5"/>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5"/>
            <w:tcBorders/>
          </w:tcPr>
          <w:p>
            <w:pPr>
              <w:pStyle w:val="TableContents"/>
              <w:bidi w:val="0"/>
              <w:spacing w:before="0" w:after="283"/>
              <w:jc w:val="left"/>
              <w:rPr/>
            </w:pPr>
            <w:r>
              <w:rPr/>
              <w:t>ARTICLE 9 REPRESENTATIONS AND WARRANTIES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32</w:t>
            </w:r>
          </w:p>
        </w:tc>
        <w:tc>
          <w:tcPr>
            <w:tcW w:w="65" w:type="dxa"/>
            <w:tcBorders/>
          </w:tcPr>
          <w:p>
            <w:pPr>
              <w:pStyle w:val="TableContents"/>
              <w:bidi w:val="0"/>
              <w:spacing w:before="0" w:after="283"/>
              <w:jc w:val="left"/>
              <w:rPr/>
            </w:pPr>
            <w:r>
              <w:rPr/>
              <w:t> </w:t>
            </w:r>
          </w:p>
        </w:tc>
      </w:tr>
      <w:tr>
        <w:trPr>
          <w:trHeight w:val="120" w:hRule="atLeast"/>
        </w:trPr>
        <w:tc>
          <w:tcPr>
            <w:tcW w:w="344" w:type="dxa"/>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8591"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9.1</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Representations and Warranties of Both Parties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32</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9.2</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Additional Representations and Warranties of Janssen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32</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9.3</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Covenants of Licensee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33</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9.4</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Covenants of Janssen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34</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9.5</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Warranty Disclaimer</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35</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9.6</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Limitation on Representations or Warranties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35</w:t>
            </w:r>
          </w:p>
        </w:tc>
        <w:tc>
          <w:tcPr>
            <w:tcW w:w="65" w:type="dxa"/>
            <w:tcBorders/>
          </w:tcPr>
          <w:p>
            <w:pPr>
              <w:pStyle w:val="TableContents"/>
              <w:bidi w:val="0"/>
              <w:spacing w:before="0" w:after="283"/>
              <w:jc w:val="left"/>
              <w:rPr/>
            </w:pPr>
            <w:r>
              <w:rPr/>
              <w:t> </w:t>
            </w:r>
          </w:p>
        </w:tc>
      </w:tr>
      <w:tr>
        <w:trPr>
          <w:trHeight w:val="120" w:hRule="atLeast"/>
        </w:trPr>
        <w:tc>
          <w:tcPr>
            <w:tcW w:w="9652" w:type="dxa"/>
            <w:gridSpan w:val="5"/>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5"/>
            <w:tcBorders/>
          </w:tcPr>
          <w:p>
            <w:pPr>
              <w:pStyle w:val="TableContents"/>
              <w:bidi w:val="0"/>
              <w:spacing w:before="0" w:after="283"/>
              <w:jc w:val="left"/>
              <w:rPr/>
            </w:pPr>
            <w:r>
              <w:rPr/>
              <w:t>ARTICLE 10 INDEMNIFICATION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35</w:t>
            </w:r>
          </w:p>
        </w:tc>
        <w:tc>
          <w:tcPr>
            <w:tcW w:w="65" w:type="dxa"/>
            <w:tcBorders/>
          </w:tcPr>
          <w:p>
            <w:pPr>
              <w:pStyle w:val="TableContents"/>
              <w:bidi w:val="0"/>
              <w:spacing w:before="0" w:after="283"/>
              <w:jc w:val="left"/>
              <w:rPr/>
            </w:pPr>
            <w:r>
              <w:rPr/>
              <w:t> </w:t>
            </w:r>
          </w:p>
        </w:tc>
      </w:tr>
      <w:tr>
        <w:trPr>
          <w:trHeight w:val="120" w:hRule="atLeast"/>
        </w:trPr>
        <w:tc>
          <w:tcPr>
            <w:tcW w:w="344" w:type="dxa"/>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8591"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10.1</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Indemnification by Janssen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35</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10.2</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Indemnification by Licensee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35</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10.3</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Indemnification Claims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36</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10.4</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Disclaimer</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36</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10.5</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Insurance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36</w:t>
            </w:r>
          </w:p>
        </w:tc>
        <w:tc>
          <w:tcPr>
            <w:tcW w:w="65" w:type="dxa"/>
            <w:tcBorders/>
          </w:tcPr>
          <w:p>
            <w:pPr>
              <w:pStyle w:val="TableContents"/>
              <w:bidi w:val="0"/>
              <w:spacing w:before="0" w:after="283"/>
              <w:jc w:val="left"/>
              <w:rPr/>
            </w:pPr>
            <w:r>
              <w:rPr/>
              <w:t> </w:t>
            </w:r>
          </w:p>
        </w:tc>
      </w:tr>
      <w:tr>
        <w:trPr>
          <w:trHeight w:val="120" w:hRule="atLeast"/>
        </w:trPr>
        <w:tc>
          <w:tcPr>
            <w:tcW w:w="9652" w:type="dxa"/>
            <w:gridSpan w:val="5"/>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gridSpan w:val="5"/>
            <w:tcBorders/>
          </w:tcPr>
          <w:p>
            <w:pPr>
              <w:pStyle w:val="TableContents"/>
              <w:bidi w:val="0"/>
              <w:spacing w:before="0" w:after="283"/>
              <w:jc w:val="left"/>
              <w:rPr/>
            </w:pPr>
            <w:r>
              <w:rPr/>
              <w:t>ARTICLE 11 TERM AND TERMINATION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37</w:t>
            </w:r>
          </w:p>
        </w:tc>
        <w:tc>
          <w:tcPr>
            <w:tcW w:w="65" w:type="dxa"/>
            <w:tcBorders/>
          </w:tcPr>
          <w:p>
            <w:pPr>
              <w:pStyle w:val="TableContents"/>
              <w:bidi w:val="0"/>
              <w:spacing w:before="0" w:after="283"/>
              <w:jc w:val="left"/>
              <w:rPr/>
            </w:pPr>
            <w:r>
              <w:rPr/>
              <w:t> </w:t>
            </w:r>
          </w:p>
        </w:tc>
      </w:tr>
      <w:tr>
        <w:trPr>
          <w:trHeight w:val="120" w:hRule="atLeast"/>
        </w:trPr>
        <w:tc>
          <w:tcPr>
            <w:tcW w:w="344" w:type="dxa"/>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8591" w:type="dxa"/>
            <w:gridSpan w:val="2"/>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11.1</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Term and Expiration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37</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11.2</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Termination by Licensee Without Cause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37</w:t>
            </w:r>
          </w:p>
        </w:tc>
        <w:tc>
          <w:tcPr>
            <w:tcW w:w="65" w:type="dxa"/>
            <w:tcBorders/>
          </w:tcPr>
          <w:p>
            <w:pPr>
              <w:pStyle w:val="TableContents"/>
              <w:bidi w:val="0"/>
              <w:spacing w:before="0" w:after="283"/>
              <w:jc w:val="left"/>
              <w:rPr/>
            </w:pPr>
            <w:r>
              <w:rPr/>
              <w:t> </w:t>
            </w:r>
          </w:p>
        </w:tc>
      </w:tr>
      <w:tr>
        <w:trPr/>
        <w:tc>
          <w:tcPr>
            <w:tcW w:w="344"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52" w:type="dxa"/>
            <w:tcBorders/>
          </w:tcPr>
          <w:p>
            <w:pPr>
              <w:pStyle w:val="TableContents"/>
              <w:bidi w:val="0"/>
              <w:spacing w:before="0" w:after="283"/>
              <w:jc w:val="left"/>
              <w:rPr/>
            </w:pPr>
            <w:r>
              <w:rPr/>
              <w:t>11.3</w:t>
            </w:r>
          </w:p>
        </w:tc>
        <w:tc>
          <w:tcPr>
            <w:tcW w:w="165" w:type="dxa"/>
            <w:tcBorders/>
            <w:vAlign w:val="bottom"/>
          </w:tcPr>
          <w:p>
            <w:pPr>
              <w:pStyle w:val="TableContents"/>
              <w:bidi w:val="0"/>
              <w:spacing w:before="0" w:after="283"/>
              <w:jc w:val="left"/>
              <w:rPr/>
            </w:pPr>
            <w:r>
              <w:rPr/>
              <w:t>  </w:t>
            </w:r>
          </w:p>
        </w:tc>
        <w:tc>
          <w:tcPr>
            <w:tcW w:w="8426" w:type="dxa"/>
            <w:tcBorders/>
          </w:tcPr>
          <w:p>
            <w:pPr>
              <w:pStyle w:val="TableContents"/>
              <w:bidi w:val="0"/>
              <w:spacing w:before="0" w:after="283"/>
              <w:jc w:val="left"/>
              <w:rPr/>
            </w:pPr>
            <w:r>
              <w:rPr/>
              <w:t>Termination for Material Breach</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37</w:t>
            </w:r>
          </w:p>
        </w:tc>
        <w:tc>
          <w:tcPr>
            <w:tcW w:w="65"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1"/>
        <w:gridCol w:w="159"/>
        <w:gridCol w:w="695"/>
        <w:gridCol w:w="159"/>
        <w:gridCol w:w="8316"/>
        <w:gridCol w:w="159"/>
        <w:gridCol w:w="60"/>
        <w:gridCol w:w="262"/>
        <w:gridCol w:w="64"/>
      </w:tblGrid>
      <w:tr>
        <w:trPr/>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8316"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bottom"/>
          </w:tcPr>
          <w:p>
            <w:pPr>
              <w:pStyle w:val="TableContents"/>
              <w:bidi w:val="0"/>
              <w:spacing w:before="0" w:after="0"/>
              <w:jc w:val="left"/>
              <w:rPr/>
            </w:pPr>
            <w:r>
              <w:rPr/>
              <w:t> </w:t>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11.4</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Termination for Bankruptcy</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11.5</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Partial Termination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11.6</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Effects of Termination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11.7</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Survival</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5"/>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12 DISPUTE RESOLUTION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331" w:type="dxa"/>
            <w:tcBorders/>
            <w:vAlign w:val="center"/>
          </w:tcPr>
          <w:p>
            <w:pPr>
              <w:pStyle w:val="TableContents"/>
              <w:bidi w:val="0"/>
              <w:spacing w:before="0" w:after="283"/>
              <w:jc w:val="left"/>
              <w:rPr>
                <w:sz w:val="4"/>
                <w:szCs w:val="4"/>
              </w:rPr>
            </w:pPr>
            <w:r>
              <w:rPr>
                <w:sz w:val="4"/>
                <w:szCs w:val="4"/>
              </w:rPr>
            </w:r>
          </w:p>
        </w:tc>
        <w:tc>
          <w:tcPr>
            <w:tcW w:w="854" w:type="dxa"/>
            <w:gridSpan w:val="2"/>
            <w:tcBorders/>
            <w:vAlign w:val="center"/>
          </w:tcPr>
          <w:p>
            <w:pPr>
              <w:pStyle w:val="TableContents"/>
              <w:bidi w:val="0"/>
              <w:spacing w:before="0" w:after="283"/>
              <w:jc w:val="left"/>
              <w:rPr>
                <w:sz w:val="4"/>
                <w:szCs w:val="4"/>
              </w:rPr>
            </w:pPr>
            <w:r>
              <w:rPr>
                <w:sz w:val="4"/>
                <w:szCs w:val="4"/>
              </w:rPr>
            </w:r>
          </w:p>
        </w:tc>
        <w:tc>
          <w:tcPr>
            <w:tcW w:w="847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12.1</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Resolution of Disputes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12.2</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Mediation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12.3</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Arbitration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5"/>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13 MISCELLANEOUS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331" w:type="dxa"/>
            <w:tcBorders/>
            <w:vAlign w:val="center"/>
          </w:tcPr>
          <w:p>
            <w:pPr>
              <w:pStyle w:val="TableContents"/>
              <w:bidi w:val="0"/>
              <w:spacing w:before="0" w:after="283"/>
              <w:jc w:val="left"/>
              <w:rPr>
                <w:sz w:val="4"/>
                <w:szCs w:val="4"/>
              </w:rPr>
            </w:pPr>
            <w:r>
              <w:rPr>
                <w:sz w:val="4"/>
                <w:szCs w:val="4"/>
              </w:rPr>
            </w:r>
          </w:p>
        </w:tc>
        <w:tc>
          <w:tcPr>
            <w:tcW w:w="854" w:type="dxa"/>
            <w:gridSpan w:val="2"/>
            <w:tcBorders/>
            <w:vAlign w:val="center"/>
          </w:tcPr>
          <w:p>
            <w:pPr>
              <w:pStyle w:val="TableContents"/>
              <w:bidi w:val="0"/>
              <w:spacing w:before="0" w:after="283"/>
              <w:jc w:val="left"/>
              <w:rPr>
                <w:sz w:val="4"/>
                <w:szCs w:val="4"/>
              </w:rPr>
            </w:pPr>
            <w:r>
              <w:rPr>
                <w:sz w:val="4"/>
                <w:szCs w:val="4"/>
              </w:rPr>
            </w:r>
          </w:p>
        </w:tc>
        <w:tc>
          <w:tcPr>
            <w:tcW w:w="8475"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Force Majeure</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13.2</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Further Assurances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13.3</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No Third Party Beneficiaries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13.4</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Assignment; Successors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13.5</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Severability</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13.6</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Notices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13.7</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Governing Law</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13.8</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Submission to Jurisdiction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13.9</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Entire Agreement</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13.10</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Headings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13.11</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Independent Contractors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13.12</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Amendments; Waivers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13.13</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Cumulative Remedies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13.14</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Advice of Counsel</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13.15</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Counterparts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3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13.16</w:t>
            </w:r>
          </w:p>
        </w:tc>
        <w:tc>
          <w:tcPr>
            <w:tcW w:w="159" w:type="dxa"/>
            <w:tcBorders/>
            <w:vAlign w:val="bottom"/>
          </w:tcPr>
          <w:p>
            <w:pPr>
              <w:pStyle w:val="TableContents"/>
              <w:bidi w:val="0"/>
              <w:spacing w:before="0" w:after="283"/>
              <w:jc w:val="left"/>
              <w:rPr/>
            </w:pPr>
            <w:r>
              <w:rPr/>
              <w:t>  </w:t>
            </w:r>
          </w:p>
        </w:tc>
        <w:tc>
          <w:tcPr>
            <w:tcW w:w="8316" w:type="dxa"/>
            <w:tcBorders/>
            <w:vAlign w:val="bottom"/>
          </w:tcPr>
          <w:p>
            <w:pPr>
              <w:pStyle w:val="TableContents"/>
              <w:bidi w:val="0"/>
              <w:spacing w:before="0" w:after="283"/>
              <w:jc w:val="left"/>
              <w:rPr/>
            </w:pPr>
            <w:r>
              <w:rPr/>
              <w:t>Construction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SCHEDULES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10.10 </w:t>
      </w:r>
    </w:p>
    <w:p>
      <w:pPr>
        <w:pStyle w:val="TextBody"/>
        <w:bidi w:val="0"/>
        <w:spacing w:before="12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Option and License Agreement (this </w:t>
      </w:r>
      <w:r>
        <w:rPr>
          <w:rFonts w:ascii="Times New Roman" w:hAnsi="Times New Roman"/>
          <w:b/>
          <w:sz w:val="20"/>
        </w:rPr>
        <w:t>Agreement</w:t>
      </w:r>
      <w:r>
        <w:rPr>
          <w:rFonts w:ascii="Times New Roman" w:hAnsi="Times New Roman"/>
          <w:sz w:val="20"/>
        </w:rPr>
        <w:t>), dated August 9, 2022 (the </w:t>
      </w:r>
      <w:r>
        <w:rPr>
          <w:rFonts w:ascii="Times New Roman" w:hAnsi="Times New Roman"/>
          <w:b/>
          <w:sz w:val="20"/>
        </w:rPr>
        <w:t>Effective Date</w:t>
      </w:r>
      <w:r>
        <w:rPr>
          <w:rFonts w:ascii="Times New Roman" w:hAnsi="Times New Roman"/>
          <w:sz w:val="20"/>
        </w:rPr>
        <w:t>), is entered into by and between Janssen Pharmaceutica NV, with its principal place of business at Turnhoutseweg 30, 2340 Beerse, Belgium (</w:t>
      </w:r>
      <w:r>
        <w:rPr>
          <w:rFonts w:ascii="Times New Roman" w:hAnsi="Times New Roman"/>
          <w:b/>
          <w:sz w:val="20"/>
        </w:rPr>
        <w:t>Janssen</w:t>
      </w:r>
      <w:r>
        <w:rPr>
          <w:rFonts w:ascii="Times New Roman" w:hAnsi="Times New Roman"/>
          <w:sz w:val="20"/>
        </w:rPr>
        <w:t>) and Precision Neuroscience NewCo, Inc., with its principal place of business at 29 Newbury Street, Boston, MA 02116, USA (</w:t>
      </w:r>
      <w:r>
        <w:rPr>
          <w:rFonts w:ascii="Times New Roman" w:hAnsi="Times New Roman"/>
          <w:b/>
          <w:sz w:val="20"/>
        </w:rPr>
        <w:t>Licensee</w:t>
      </w:r>
      <w:r>
        <w:rPr>
          <w:rFonts w:ascii="Times New Roman" w:hAnsi="Times New Roman"/>
          <w:sz w:val="20"/>
        </w:rPr>
        <w:t>). Janssen and Licensee are referred to herein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BACKGROUND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has developed and is the owner of certain parents and know-how related to certain TARP8 compounds and nACh compounds (as described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wishes to grant to Licensee an option to obtain an exclusive license to such TARP8 compounds and related products (together with an assignment of certain patents with respect to such compounds and products), in accordance with the terms set forth below, which option Licensee wishes to receive;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wishes to grant to Licensee a non-exclusive license to such nACh compounds and related products, in accordance with the terms set forth below, which license Licensee wishes to receive.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premises and the mutual covenants and conditions contained in this Agreement, and other good and valuable consideration, the receipt and sufficiency of which are hereby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specifically provided herein, the following terms will have the following meanings: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sz w:val="20"/>
        </w:rPr>
        <w:t>[***] Lead Candidate</w:t>
      </w:r>
      <w:r>
        <w:rPr>
          <w:rFonts w:ascii="Times New Roman" w:hAnsi="Times New Roman"/>
          <w:sz w:val="20"/>
        </w:rPr>
        <w:t xml:space="preserve"> means (a) that certain compound internally identified by Janssen as [***], as further described in Schedule 1.1 ([***] Lead Candidate), or (b) any Compound Equivalent thereof.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b/>
          <w:sz w:val="20"/>
        </w:rPr>
        <w:t>[***]</w:t>
      </w:r>
      <w:r>
        <w:rPr>
          <w:rFonts w:ascii="Times New Roman" w:hAnsi="Times New Roman"/>
          <w:sz w:val="20"/>
        </w:rPr>
        <w:t xml:space="preserve"> </w:t>
      </w:r>
      <w:r>
        <w:rPr>
          <w:rFonts w:ascii="Times New Roman" w:hAnsi="Times New Roman"/>
          <w:b/>
          <w:sz w:val="20"/>
        </w:rPr>
        <w:t>Lead Candidate</w:t>
      </w:r>
      <w:r>
        <w:rPr>
          <w:rFonts w:ascii="Times New Roman" w:hAnsi="Times New Roman"/>
          <w:sz w:val="20"/>
        </w:rPr>
        <w:t xml:space="preserve"> means (a) that certain compound internally identified by Janssen as [***], as further described in Schedule 1.2 ([***] Lead Candidate), or (b) any Compound Equivalent thereof.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rPr>
        <w:t>[***] Lead Candidate Product</w:t>
      </w:r>
      <w:r>
        <w:rPr>
          <w:rFonts w:ascii="Times New Roman" w:hAnsi="Times New Roman"/>
          <w:sz w:val="20"/>
        </w:rPr>
        <w:t xml:space="preserve"> means any product constituting, incorporating, comprising or containing the [***] Lead Candidate as an active pharmaceutical ingredient, in any finished dosage pharmaceutical form, including all formulations, dosage forms and modes of administration thereof.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rPr>
        <w:t>1974 Convention</w:t>
      </w:r>
      <w:r>
        <w:rPr>
          <w:rFonts w:ascii="Times New Roman" w:hAnsi="Times New Roman"/>
          <w:sz w:val="20"/>
        </w:rPr>
        <w:t xml:space="preserve"> is defined in Section 13.7 (Governing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1.5 </w:t>
      </w:r>
      <w:r>
        <w:rPr>
          <w:rFonts w:ascii="Times New Roman" w:hAnsi="Times New Roman"/>
          <w:b/>
          <w:sz w:val="20"/>
        </w:rPr>
        <w:t>[***] Receptor</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b/>
          <w:sz w:val="20"/>
        </w:rPr>
        <w:t>[***] Threshold Activity</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b/>
          <w:sz w:val="20"/>
        </w:rPr>
        <w:t>A6 Receptor</w:t>
      </w:r>
      <w:r>
        <w:rPr>
          <w:rFonts w:ascii="Times New Roman" w:hAnsi="Times New Roman"/>
          <w:sz w:val="20"/>
        </w:rPr>
        <w:t xml:space="preserve"> means the nACh alpha6beta4 receptor.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b/>
          <w:sz w:val="20"/>
        </w:rPr>
        <w:t>A6 Threshold Activity</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b/>
          <w:sz w:val="20"/>
        </w:rPr>
        <w:t>A9 Receptor</w:t>
      </w:r>
      <w:r>
        <w:rPr>
          <w:rFonts w:ascii="Times New Roman" w:hAnsi="Times New Roman"/>
          <w:sz w:val="20"/>
        </w:rPr>
        <w:t xml:space="preserve"> means the nACh alpha9alpha10 receptor.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b/>
          <w:sz w:val="20"/>
        </w:rPr>
        <w:t>A9 Threshold Activity</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b/>
          <w:sz w:val="20"/>
        </w:rPr>
        <w:t>Accounting Standard</w:t>
      </w:r>
      <w:r>
        <w:rPr>
          <w:rFonts w:ascii="Times New Roman" w:hAnsi="Times New Roman"/>
          <w:sz w:val="20"/>
        </w:rPr>
        <w:t xml:space="preserve"> means U.S. generally accepted accounting principles, consistently applied.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b/>
          <w:sz w:val="20"/>
        </w:rPr>
        <w:t>Affiliate</w:t>
      </w:r>
      <w:r>
        <w:rPr>
          <w:rFonts w:ascii="Times New Roman" w:hAnsi="Times New Roman"/>
          <w:sz w:val="20"/>
        </w:rPr>
        <w:t xml:space="preserve"> means, with respect to a Party, any Person that, directly or indirectly, controls, is controlled by or is under common control with that Party, for so long as such control exists. For the purpose of this definition, control means any of the following: (a) direct or indirect ownership of fifty percent (50%) or more of the shares of stock entitled to vote for the election of directors, in the case of a corporation, or fifty percent (50%) or more of the equity interest in the case of any other type of legal entity, (b) status as a general partner in any partnership or (c) any other arrangement whereby the entity or person controls or has the right to control the board of directors or equivalent governing body of a corporation or other entity, or the ability to cause the direction of the management or policies of a corporation or other entity, whether through ownership of voting securities, by contract or otherwise. For clarity, for purposes of this Agreement, Janssen and Licensee will not be deemed Affiliates of one another. In addition, the term Affiliate explicitly excludes [***].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b/>
          <w:sz w:val="20"/>
        </w:rPr>
        <w:t>Annual Net Sales</w:t>
      </w:r>
      <w:r>
        <w:rPr>
          <w:rFonts w:ascii="Times New Roman" w:hAnsi="Times New Roman"/>
          <w:sz w:val="20"/>
        </w:rPr>
        <w:t xml:space="preserve"> means with respect to the applicable TARP8 Product, on a TARP8 Product-by-TARP8 Product basis, the total Net Sales of such TARP8 Product by Licensee, its Affiliates and its and their Sublicensees in the Territory in a particular Calendar Year, calculated in accordance with the Accounting Standard.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b/>
          <w:sz w:val="20"/>
        </w:rPr>
        <w:t>Anti-Corruption Laws</w:t>
      </w:r>
      <w:r>
        <w:rPr>
          <w:rFonts w:ascii="Times New Roman" w:hAnsi="Times New Roman"/>
          <w:sz w:val="20"/>
        </w:rPr>
        <w:t xml:space="preserve"> is defined in Section 9.3.5 (Anti-Corruption Law).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b/>
          <w:sz w:val="20"/>
        </w:rPr>
        <w:t>Applicable Law</w:t>
      </w:r>
      <w:r>
        <w:rPr>
          <w:rFonts w:ascii="Times New Roman" w:hAnsi="Times New Roman"/>
          <w:sz w:val="20"/>
        </w:rPr>
        <w:t xml:space="preserve"> means all applicable statutes, ordinances, regulations, rules or orders of any kind whatsoever of any Governmental Authority, including the U.S. Federal Food, Drug, and Cosmetic Act (21 U.S.C. §301 et seq.), Prescription Drug Marketing Act of 1987 (21 U.S.C. §§331, 333, 353, 381), the Generic Drug Enforcement Act of 1992 (21 U.S.C. §335(a) et seq.), U.S. Patent Act (35 U.S.C. §1 et seq.), Federal False Claims Act (31 U.S.C. §3729 et seq.) and the Anti-Kickback Statute (42 U.S.C. §1320a-7b et seq.), all as amended from time to time, together with any rules, regulations and compliance guidance promulgated thereunder.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b/>
          <w:sz w:val="20"/>
        </w:rPr>
        <w:t>Average Net Selling Price</w:t>
      </w:r>
      <w:r>
        <w:rPr>
          <w:rFonts w:ascii="Times New Roman" w:hAnsi="Times New Roman"/>
          <w:sz w:val="20"/>
        </w:rPr>
        <w:t xml:space="preserve"> means, on a product-by-product basis, for a given product, Calendar Year and reference territory, expressed in the applicable local currency, the aggregate Net Sales, divided by the number of units of such product for which revenue has been recognized by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1.17 </w:t>
      </w:r>
      <w:r>
        <w:rPr>
          <w:rFonts w:ascii="Times New Roman" w:hAnsi="Times New Roman"/>
          <w:b/>
          <w:sz w:val="20"/>
        </w:rPr>
        <w:t>Bankruptcy Code</w:t>
      </w:r>
      <w:r>
        <w:rPr>
          <w:rFonts w:ascii="Times New Roman" w:hAnsi="Times New Roman"/>
          <w:sz w:val="20"/>
        </w:rPr>
        <w:t xml:space="preserve"> is defined in Section 11.4.1 (Right to Terminate).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b/>
          <w:sz w:val="20"/>
        </w:rPr>
        <w:t>Bipolar Indication</w:t>
      </w:r>
      <w:r>
        <w:rPr>
          <w:rFonts w:ascii="Times New Roman" w:hAnsi="Times New Roman"/>
          <w:sz w:val="20"/>
        </w:rPr>
        <w:t xml:space="preserve"> means the diagnosis, treatment, prophylaxis or palliation of bipolar disorder, including bipolar depression.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b/>
          <w:sz w:val="20"/>
        </w:rPr>
        <w:t>Breaching Party</w:t>
      </w:r>
      <w:r>
        <w:rPr>
          <w:rFonts w:ascii="Times New Roman" w:hAnsi="Times New Roman"/>
          <w:sz w:val="20"/>
        </w:rPr>
        <w:t xml:space="preserve"> is defined in Section 11.2 (Termination for Material Breach).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b/>
          <w:sz w:val="20"/>
        </w:rPr>
        <w:t>Business Day</w:t>
      </w:r>
      <w:r>
        <w:rPr>
          <w:rFonts w:ascii="Times New Roman" w:hAnsi="Times New Roman"/>
          <w:sz w:val="20"/>
        </w:rPr>
        <w:t xml:space="preserve"> means a day on which banking institutions are open for business in New York, NY.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b/>
          <w:sz w:val="20"/>
        </w:rPr>
        <w:t>Calendar Quarter</w:t>
      </w:r>
      <w:r>
        <w:rPr>
          <w:rFonts w:ascii="Times New Roman" w:hAnsi="Times New Roman"/>
          <w:sz w:val="20"/>
        </w:rPr>
        <w:t xml:space="preserve"> means three (3) consecutive calendar months, ending March 31, June 30, September 30, and December 31;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first Calendar Quarter of the Term will commence on the Effective Date and will extend until the end of such Calendar Quarter, and the last Calendar Quarter of the Term will commence on the first day of such Calendar Quarter and end on the expiration or termination of this Agreement.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b/>
          <w:sz w:val="20"/>
        </w:rPr>
        <w:t>Calendar Year</w:t>
      </w:r>
      <w:r>
        <w:rPr>
          <w:rFonts w:ascii="Times New Roman" w:hAnsi="Times New Roman"/>
          <w:sz w:val="20"/>
        </w:rPr>
        <w:t xml:space="preserve"> means the period of time in a calendar year beginning on January 1 and ending December 31;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first Calendar Year of the Term will commence on the Effective Date and end on the last day of the then-current Calendar Year, and the last Calendar Year of the Term will commence on the first day of such Calendar Year for the year during which expiration or termination of this Agreement will occur and end on the effective date of expiration or termination of this Agreement.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b/>
          <w:sz w:val="20"/>
        </w:rPr>
        <w:t>CFR</w:t>
      </w:r>
      <w:r>
        <w:rPr>
          <w:rFonts w:ascii="Times New Roman" w:hAnsi="Times New Roman"/>
          <w:sz w:val="20"/>
        </w:rPr>
        <w:t xml:space="preserve"> means the U.S. Code of Federal Regulations. </w:t>
      </w:r>
    </w:p>
    <w:p>
      <w:pPr>
        <w:pStyle w:val="TextBody"/>
        <w:bidi w:val="0"/>
        <w:spacing w:before="240" w:after="0"/>
        <w:jc w:val="left"/>
        <w:rPr>
          <w:rFonts w:ascii="Times New Roman" w:hAnsi="Times New Roman"/>
          <w:sz w:val="20"/>
        </w:rPr>
      </w:pPr>
      <w:r>
        <w:rPr>
          <w:rFonts w:ascii="Times New Roman" w:hAnsi="Times New Roman"/>
          <w:sz w:val="20"/>
        </w:rPr>
        <w:t>1.24 </w:t>
      </w:r>
      <w:r>
        <w:rPr>
          <w:rFonts w:ascii="Times New Roman" w:hAnsi="Times New Roman"/>
          <w:b/>
          <w:sz w:val="20"/>
        </w:rPr>
        <w:t>Change of Control</w:t>
      </w:r>
      <w:r>
        <w:rPr>
          <w:rFonts w:ascii="Times New Roman" w:hAnsi="Times New Roman"/>
          <w:sz w:val="20"/>
        </w:rPr>
        <w:t> means, with respect to a Party: (a) that any Third Party acquires directly or indirectly the beneficial ownership of any voting securities of such Party, or if the percentage ownership of such person or entity in the voting securities of such Party is increased through stock redemption, cancellation or other recapitalization, and immediately after such acquisition or increase such Third Party is, directly or indirectly, the beneficial owner of outstanding voting securities representing more than fifty percent (50%) of the total voting power of all of the then outstanding voting securities of such Party; (b) a merger, consolidation, recapitalization or reorganization of such Party is consummated, other than any such transaction in which stockholders or equity holders of such Party immediately before such transaction beneficially own, directly or indirectly, at least fifty percent (50%) of the voting securities of the surviving entity (or its parent entity) immediately following such transaction; (c) that the stockholders or equity holders of such Party approve a plan of complete liquidation of such Party; (d) that individuals who, as of the Effective Date, constitute the Board of Directors of such Party (the </w:t>
      </w:r>
      <w:r>
        <w:rPr>
          <w:rFonts w:ascii="Times New Roman" w:hAnsi="Times New Roman"/>
          <w:b/>
          <w:sz w:val="20"/>
        </w:rPr>
        <w:t>Incumbent Board</w:t>
      </w:r>
      <w:r>
        <w:rPr>
          <w:rFonts w:ascii="Times New Roman" w:hAnsi="Times New Roman"/>
          <w:sz w:val="20"/>
        </w:rPr>
        <w:t>) cease for any reason to constitute at least a majority of the Board of Directors of such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individual becoming a director subsequent to the date hereof whose election, or nomination for election by such Partys stockholders, was recommended or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any person other than the Board of Directors of such Party); or (e) the sale or disposition to a Third Party of all or substantially all of such Partys assets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1.25 </w:t>
      </w:r>
      <w:r>
        <w:rPr>
          <w:rFonts w:ascii="Times New Roman" w:hAnsi="Times New Roman"/>
          <w:b/>
          <w:sz w:val="20"/>
        </w:rPr>
        <w:t>Combination Product</w:t>
      </w:r>
      <w:r>
        <w:rPr>
          <w:rFonts w:ascii="Times New Roman" w:hAnsi="Times New Roman"/>
          <w:sz w:val="20"/>
        </w:rPr>
        <w:t xml:space="preserve"> is defined in Section 1.98 (Net Sales).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b/>
          <w:sz w:val="20"/>
        </w:rPr>
        <w:t>Commercialize</w:t>
      </w:r>
      <w:r>
        <w:rPr>
          <w:rFonts w:ascii="Times New Roman" w:hAnsi="Times New Roman"/>
          <w:sz w:val="20"/>
        </w:rPr>
        <w:t>, </w:t>
      </w:r>
      <w:r>
        <w:rPr>
          <w:rFonts w:ascii="Times New Roman" w:hAnsi="Times New Roman"/>
          <w:b/>
          <w:sz w:val="20"/>
        </w:rPr>
        <w:t>Commercializing</w:t>
      </w:r>
      <w:r>
        <w:rPr>
          <w:rFonts w:ascii="Times New Roman" w:hAnsi="Times New Roman"/>
          <w:sz w:val="20"/>
        </w:rPr>
        <w:t> or </w:t>
      </w:r>
      <w:r>
        <w:rPr>
          <w:rFonts w:ascii="Times New Roman" w:hAnsi="Times New Roman"/>
          <w:b/>
          <w:sz w:val="20"/>
        </w:rPr>
        <w:t>Commercialization</w:t>
      </w:r>
      <w:r>
        <w:rPr>
          <w:rFonts w:ascii="Times New Roman" w:hAnsi="Times New Roman"/>
          <w:sz w:val="20"/>
        </w:rPr>
        <w:t xml:space="preserve"> means any action directed to marketing, promoting, distributing, importing or selling a pharmaceutical product, obtaining pricing or reimbursement approvals for that product and clinical trials of such product conducted after Marketing Approval for that product, including label expansion, pricing/reimbursement, epidemiological, modeling and pharmacoeconomic, voluntary post-marketing surveillance and health economics studies. </w:t>
      </w:r>
    </w:p>
    <w:p>
      <w:pPr>
        <w:pStyle w:val="TextBody"/>
        <w:bidi w:val="0"/>
        <w:spacing w:before="240" w:after="0"/>
        <w:jc w:val="left"/>
        <w:rPr>
          <w:rFonts w:ascii="Times New Roman" w:hAnsi="Times New Roman"/>
          <w:sz w:val="20"/>
        </w:rPr>
      </w:pPr>
      <w:r>
        <w:rPr>
          <w:rFonts w:ascii="Times New Roman" w:hAnsi="Times New Roman"/>
          <w:sz w:val="20"/>
        </w:rPr>
        <w:t>1.27 </w:t>
      </w:r>
      <w:r>
        <w:rPr>
          <w:rFonts w:ascii="Times New Roman" w:hAnsi="Times New Roman"/>
          <w:b/>
          <w:sz w:val="20"/>
        </w:rPr>
        <w:t>Competitive Activities</w:t>
      </w:r>
      <w:r>
        <w:rPr>
          <w:rFonts w:ascii="Times New Roman" w:hAnsi="Times New Roman"/>
          <w:sz w:val="20"/>
        </w:rPr>
        <w:t xml:space="preserve"> is defined in Section 4.4.3 (Acquisitions). </w:t>
      </w:r>
    </w:p>
    <w:p>
      <w:pPr>
        <w:pStyle w:val="TextBody"/>
        <w:bidi w:val="0"/>
        <w:spacing w:before="240" w:after="0"/>
        <w:jc w:val="left"/>
        <w:rPr>
          <w:rFonts w:ascii="Times New Roman" w:hAnsi="Times New Roman"/>
          <w:sz w:val="20"/>
        </w:rPr>
      </w:pPr>
      <w:r>
        <w:rPr>
          <w:rFonts w:ascii="Times New Roman" w:hAnsi="Times New Roman"/>
          <w:sz w:val="20"/>
        </w:rPr>
        <w:t>1.28 </w:t>
      </w:r>
      <w:r>
        <w:rPr>
          <w:rFonts w:ascii="Times New Roman" w:hAnsi="Times New Roman"/>
          <w:b/>
          <w:sz w:val="20"/>
        </w:rPr>
        <w:t>Compound</w:t>
      </w:r>
      <w:r>
        <w:rPr>
          <w:rFonts w:ascii="Times New Roman" w:hAnsi="Times New Roman"/>
          <w:sz w:val="20"/>
        </w:rPr>
        <w:t xml:space="preserve"> means (a) a TARP8 Compound or (b) a nACh Compound. </w:t>
      </w:r>
    </w:p>
    <w:p>
      <w:pPr>
        <w:pStyle w:val="TextBody"/>
        <w:bidi w:val="0"/>
        <w:spacing w:before="240" w:after="0"/>
        <w:jc w:val="left"/>
        <w:rPr>
          <w:rFonts w:ascii="Times New Roman" w:hAnsi="Times New Roman"/>
          <w:sz w:val="20"/>
        </w:rPr>
      </w:pPr>
      <w:r>
        <w:rPr>
          <w:rFonts w:ascii="Times New Roman" w:hAnsi="Times New Roman"/>
          <w:sz w:val="20"/>
        </w:rPr>
        <w:t>1.29 </w:t>
      </w:r>
      <w:r>
        <w:rPr>
          <w:rFonts w:ascii="Times New Roman" w:hAnsi="Times New Roman"/>
          <w:b/>
          <w:sz w:val="20"/>
        </w:rPr>
        <w:t>Compound Claim</w:t>
      </w:r>
      <w:r>
        <w:rPr>
          <w:rFonts w:ascii="Times New Roman" w:hAnsi="Times New Roman"/>
          <w:sz w:val="20"/>
        </w:rPr>
        <w:t xml:space="preserve"> means any composition of matter claim that Covers by structural limitations the composition of matter of a compound. </w:t>
      </w:r>
    </w:p>
    <w:p>
      <w:pPr>
        <w:pStyle w:val="TextBody"/>
        <w:bidi w:val="0"/>
        <w:spacing w:before="240" w:after="0"/>
        <w:jc w:val="left"/>
        <w:rPr>
          <w:rFonts w:ascii="Times New Roman" w:hAnsi="Times New Roman"/>
          <w:sz w:val="20"/>
        </w:rPr>
      </w:pPr>
      <w:r>
        <w:rPr>
          <w:rFonts w:ascii="Times New Roman" w:hAnsi="Times New Roman"/>
          <w:sz w:val="20"/>
        </w:rPr>
        <w:t>1.30 </w:t>
      </w:r>
      <w:r>
        <w:rPr>
          <w:rFonts w:ascii="Times New Roman" w:hAnsi="Times New Roman"/>
          <w:b/>
          <w:sz w:val="20"/>
        </w:rPr>
        <w:t>Compound Equivalent</w:t>
      </w:r>
      <w:r>
        <w:rPr>
          <w:rFonts w:ascii="Times New Roman" w:hAnsi="Times New Roman"/>
          <w:sz w:val="20"/>
        </w:rPr>
        <w:t xml:space="preserve"> means, with respect to a compound, [***].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b/>
          <w:sz w:val="20"/>
        </w:rPr>
        <w:t>Confidential Information</w:t>
      </w:r>
      <w:r>
        <w:rPr>
          <w:rFonts w:ascii="Times New Roman" w:hAnsi="Times New Roman"/>
          <w:sz w:val="20"/>
        </w:rPr>
        <w:t xml:space="preserve"> means all Know-How that is disclosed by a Party (or any of its Affiliates) to the other Party (or any of its Affiliates) pursuant to or in connection with this Agreement, without regard as to whether any of the foregoing is marked confidential or proprietary, or in oral, written, graphic or electronic form. For purposes of this Agreement, after the Option Exercise Date, Primary TARP8 Patents (other than any published Patents contained therein) shall be deemed to be the Confidential Information of Licensee.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b/>
          <w:sz w:val="20"/>
        </w:rPr>
        <w:t>Control</w:t>
      </w:r>
      <w:r>
        <w:rPr>
          <w:rFonts w:ascii="Times New Roman" w:hAnsi="Times New Roman"/>
          <w:sz w:val="20"/>
        </w:rPr>
        <w:t> or </w:t>
      </w:r>
      <w:r>
        <w:rPr>
          <w:rFonts w:ascii="Times New Roman" w:hAnsi="Times New Roman"/>
          <w:b/>
          <w:sz w:val="20"/>
        </w:rPr>
        <w:t>Controlled</w:t>
      </w:r>
      <w:r>
        <w:rPr>
          <w:rFonts w:ascii="Times New Roman" w:hAnsi="Times New Roman"/>
          <w:sz w:val="20"/>
        </w:rPr>
        <w:t xml:space="preserve"> means, when used in reference to Know-How, Patents, Confidential Information or intellectual property rights, the legal authority or right (either by ownership or license (other than a license granted pursuant to this Agreement)) of a Party (or any of its Affiliates) to grant a license or sublicense of such Know-How, Patents, Confidential Information or intellectual property rights to the other Party, or to otherwise disclose such Know-How, Patents, Confidential Information or intellectual property rights to the other Party, without violating or breaching the terms of any agreement with any Third Party, or misappropriating such Know-How, Patents, Confidential Information or intellectual property rights of any Third Party, such Third Party agreement existing (a) as of the Effective Date or (b) subsequent to the Effective Date if (in the case of this clause (b)) such Party first acquired rights to such Know-How, Patents, Confidential Information or intellectual property rights pursuant to such agreement. [***]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b/>
          <w:sz w:val="20"/>
        </w:rPr>
        <w:t>Cover</w:t>
      </w:r>
      <w:r>
        <w:rPr>
          <w:rFonts w:ascii="Times New Roman" w:hAnsi="Times New Roman"/>
          <w:sz w:val="20"/>
        </w:rPr>
        <w:t>, </w:t>
      </w:r>
      <w:r>
        <w:rPr>
          <w:rFonts w:ascii="Times New Roman" w:hAnsi="Times New Roman"/>
          <w:b/>
          <w:sz w:val="20"/>
        </w:rPr>
        <w:t>Covering</w:t>
      </w:r>
      <w:r>
        <w:rPr>
          <w:rFonts w:ascii="Times New Roman" w:hAnsi="Times New Roman"/>
          <w:sz w:val="20"/>
        </w:rPr>
        <w:t> or </w:t>
      </w:r>
      <w:r>
        <w:rPr>
          <w:rFonts w:ascii="Times New Roman" w:hAnsi="Times New Roman"/>
          <w:b/>
          <w:sz w:val="20"/>
        </w:rPr>
        <w:t>Covered</w:t>
      </w:r>
      <w:r>
        <w:rPr>
          <w:rFonts w:ascii="Times New Roman" w:hAnsi="Times New Roman"/>
          <w:sz w:val="20"/>
        </w:rPr>
        <w:t xml:space="preserve"> means, with respect to a product, technology, process or method, that, in the absence of ownership of or a license granted under a claim, the practice or Exploitation of such product, technology, process or method would infringe such claim or, in the case of a claim that has not yet issued, would infringe such claim if it were to issue. </w:t>
      </w:r>
    </w:p>
    <w:p>
      <w:pPr>
        <w:pStyle w:val="TextBody"/>
        <w:bidi w:val="0"/>
        <w:spacing w:before="240" w:after="0"/>
        <w:jc w:val="left"/>
        <w:rPr>
          <w:rFonts w:ascii="Times New Roman" w:hAnsi="Times New Roman"/>
          <w:sz w:val="20"/>
        </w:rPr>
      </w:pPr>
      <w:r>
        <w:rPr>
          <w:rFonts w:ascii="Times New Roman" w:hAnsi="Times New Roman"/>
          <w:sz w:val="20"/>
        </w:rPr>
        <w:t>1.34 </w:t>
      </w:r>
      <w:r>
        <w:rPr>
          <w:rFonts w:ascii="Times New Roman" w:hAnsi="Times New Roman"/>
          <w:b/>
          <w:sz w:val="20"/>
        </w:rPr>
        <w:t>CPR Mediation Procedure</w:t>
      </w:r>
      <w:r>
        <w:rPr>
          <w:rFonts w:ascii="Times New Roman" w:hAnsi="Times New Roman"/>
          <w:sz w:val="20"/>
        </w:rPr>
        <w:t xml:space="preserve"> is defined in Section 12.2.1 (CPR Mediation Procedure). </w:t>
      </w:r>
    </w:p>
    <w:p>
      <w:pPr>
        <w:pStyle w:val="TextBody"/>
        <w:bidi w:val="0"/>
        <w:spacing w:before="240" w:after="0"/>
        <w:jc w:val="left"/>
        <w:rPr>
          <w:rFonts w:ascii="Times New Roman" w:hAnsi="Times New Roman"/>
          <w:sz w:val="20"/>
        </w:rPr>
      </w:pPr>
      <w:r>
        <w:rPr>
          <w:rFonts w:ascii="Times New Roman" w:hAnsi="Times New Roman"/>
          <w:sz w:val="20"/>
        </w:rPr>
        <w:t>1.35 </w:t>
      </w:r>
      <w:r>
        <w:rPr>
          <w:rFonts w:ascii="Times New Roman" w:hAnsi="Times New Roman"/>
          <w:b/>
          <w:sz w:val="20"/>
        </w:rPr>
        <w:t>CPR Rules</w:t>
      </w:r>
      <w:r>
        <w:rPr>
          <w:rFonts w:ascii="Times New Roman" w:hAnsi="Times New Roman"/>
          <w:sz w:val="20"/>
        </w:rPr>
        <w:t xml:space="preserve"> is defined in Section 12.3.1 (CPR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1.36 </w:t>
      </w:r>
      <w:r>
        <w:rPr>
          <w:rFonts w:ascii="Times New Roman" w:hAnsi="Times New Roman"/>
          <w:b/>
          <w:sz w:val="20"/>
        </w:rPr>
        <w:t>Cure Period</w:t>
      </w:r>
      <w:r>
        <w:rPr>
          <w:rFonts w:ascii="Times New Roman" w:hAnsi="Times New Roman"/>
          <w:sz w:val="20"/>
        </w:rPr>
        <w:t xml:space="preserve"> is defined in Section 11.3 (Termination by Material Breach). </w:t>
      </w:r>
    </w:p>
    <w:p>
      <w:pPr>
        <w:pStyle w:val="TextBody"/>
        <w:bidi w:val="0"/>
        <w:spacing w:before="240" w:after="0"/>
        <w:jc w:val="left"/>
        <w:rPr>
          <w:rFonts w:ascii="Times New Roman" w:hAnsi="Times New Roman"/>
          <w:sz w:val="20"/>
        </w:rPr>
      </w:pPr>
      <w:r>
        <w:rPr>
          <w:rFonts w:ascii="Times New Roman" w:hAnsi="Times New Roman"/>
          <w:sz w:val="20"/>
        </w:rPr>
        <w:t>1.37 </w:t>
      </w:r>
      <w:r>
        <w:rPr>
          <w:rFonts w:ascii="Times New Roman" w:hAnsi="Times New Roman"/>
          <w:b/>
          <w:sz w:val="20"/>
        </w:rPr>
        <w:t>Data Room</w:t>
      </w:r>
      <w:r>
        <w:rPr>
          <w:rFonts w:ascii="Times New Roman" w:hAnsi="Times New Roman"/>
          <w:sz w:val="20"/>
        </w:rPr>
        <w:t xml:space="preserve"> means that certain data room hosted by or on behalf of Janssen as of the close of business (New York time) on the Effective Date, to which access was provided to Licensee prior to the Effective Date and which is approved by Licensee in accordance with the process set forth in Section 3.1.6 (Data Room). </w:t>
      </w:r>
    </w:p>
    <w:p>
      <w:pPr>
        <w:pStyle w:val="TextBody"/>
        <w:bidi w:val="0"/>
        <w:spacing w:before="240" w:after="0"/>
        <w:jc w:val="left"/>
        <w:rPr>
          <w:rFonts w:ascii="Times New Roman" w:hAnsi="Times New Roman"/>
          <w:sz w:val="20"/>
        </w:rPr>
      </w:pPr>
      <w:r>
        <w:rPr>
          <w:rFonts w:ascii="Times New Roman" w:hAnsi="Times New Roman"/>
          <w:sz w:val="20"/>
        </w:rPr>
        <w:t>1.38 </w:t>
      </w:r>
      <w:r>
        <w:rPr>
          <w:rFonts w:ascii="Times New Roman" w:hAnsi="Times New Roman"/>
          <w:b/>
          <w:sz w:val="20"/>
        </w:rPr>
        <w:t>Develop</w:t>
      </w:r>
      <w:r>
        <w:rPr>
          <w:rFonts w:ascii="Times New Roman" w:hAnsi="Times New Roman"/>
          <w:sz w:val="20"/>
        </w:rPr>
        <w:t>, </w:t>
      </w:r>
      <w:r>
        <w:rPr>
          <w:rFonts w:ascii="Times New Roman" w:hAnsi="Times New Roman"/>
          <w:b/>
          <w:sz w:val="20"/>
        </w:rPr>
        <w:t>Developing</w:t>
      </w:r>
      <w:r>
        <w:rPr>
          <w:rFonts w:ascii="Times New Roman" w:hAnsi="Times New Roman"/>
          <w:sz w:val="20"/>
        </w:rPr>
        <w:t> or </w:t>
      </w:r>
      <w:r>
        <w:rPr>
          <w:rFonts w:ascii="Times New Roman" w:hAnsi="Times New Roman"/>
          <w:b/>
          <w:sz w:val="20"/>
        </w:rPr>
        <w:t>Development</w:t>
      </w:r>
      <w:r>
        <w:rPr>
          <w:rFonts w:ascii="Times New Roman" w:hAnsi="Times New Roman"/>
          <w:sz w:val="20"/>
        </w:rPr>
        <w:t xml:space="preserve"> means any non-clinical and clinical drug development activities from the initiation of GLP studies that are undertaken or planned in order to obtain or maintain Marketing Approval. </w:t>
      </w:r>
    </w:p>
    <w:p>
      <w:pPr>
        <w:pStyle w:val="TextBody"/>
        <w:bidi w:val="0"/>
        <w:spacing w:before="240" w:after="0"/>
        <w:jc w:val="left"/>
        <w:rPr>
          <w:rFonts w:ascii="Times New Roman" w:hAnsi="Times New Roman"/>
          <w:sz w:val="20"/>
        </w:rPr>
      </w:pPr>
      <w:r>
        <w:rPr>
          <w:rFonts w:ascii="Times New Roman" w:hAnsi="Times New Roman"/>
          <w:sz w:val="20"/>
        </w:rPr>
        <w:t>1.39 </w:t>
      </w:r>
      <w:r>
        <w:rPr>
          <w:rFonts w:ascii="Times New Roman" w:hAnsi="Times New Roman"/>
          <w:b/>
          <w:sz w:val="20"/>
        </w:rPr>
        <w:t>Disclosing Party</w:t>
      </w:r>
      <w:r>
        <w:rPr>
          <w:rFonts w:ascii="Times New Roman" w:hAnsi="Times New Roman"/>
          <w:sz w:val="20"/>
        </w:rPr>
        <w:t xml:space="preserve"> is defined in Section 8.1 (Nondisclosure and Non-Use Obligations). </w:t>
      </w:r>
    </w:p>
    <w:p>
      <w:pPr>
        <w:pStyle w:val="TextBody"/>
        <w:bidi w:val="0"/>
        <w:spacing w:before="240" w:after="0"/>
        <w:jc w:val="left"/>
        <w:rPr>
          <w:rFonts w:ascii="Times New Roman" w:hAnsi="Times New Roman"/>
          <w:sz w:val="20"/>
        </w:rPr>
      </w:pPr>
      <w:r>
        <w:rPr>
          <w:rFonts w:ascii="Times New Roman" w:hAnsi="Times New Roman"/>
          <w:sz w:val="20"/>
        </w:rPr>
        <w:t>1.40 </w:t>
      </w:r>
      <w:r>
        <w:rPr>
          <w:rFonts w:ascii="Times New Roman" w:hAnsi="Times New Roman"/>
          <w:b/>
          <w:sz w:val="20"/>
        </w:rPr>
        <w:t>Drug Approval Application</w:t>
      </w:r>
      <w:r>
        <w:rPr>
          <w:rFonts w:ascii="Times New Roman" w:hAnsi="Times New Roman"/>
          <w:sz w:val="20"/>
        </w:rPr>
        <w:t> means: (a) a New Drug Application (an </w:t>
      </w:r>
      <w:r>
        <w:rPr>
          <w:rFonts w:ascii="Times New Roman" w:hAnsi="Times New Roman"/>
          <w:b/>
          <w:sz w:val="20"/>
        </w:rPr>
        <w:t>NDA</w:t>
      </w:r>
      <w:r>
        <w:rPr>
          <w:rFonts w:ascii="Times New Roman" w:hAnsi="Times New Roman"/>
          <w:sz w:val="20"/>
        </w:rPr>
        <w:t>) as defined in the FFDCA; (b) an application for authorization to market or sell a drug product submitted to a Regulatory Authority in any country or jurisdiction other than the United States, including, with respect to the European Union, a marketing authorization application filed with the EMA pursuant to the Centralized Approval Procedure or with the applicable Regulatory Authority of a country in the European Economic Area with respect to the decentralized procedure, mutual recognition or any national approval procedure (</w:t>
      </w:r>
      <w:r>
        <w:rPr>
          <w:rFonts w:ascii="Times New Roman" w:hAnsi="Times New Roman"/>
          <w:b/>
          <w:sz w:val="20"/>
        </w:rPr>
        <w:t>MAA</w:t>
      </w:r>
      <w:r>
        <w:rPr>
          <w:rFonts w:ascii="Times New Roman" w:hAnsi="Times New Roman"/>
          <w:sz w:val="20"/>
        </w:rPr>
        <w:t>); or (c) with respect to any drug product for which a NDA or MAA has been approved by the applicable Regulatory Authority, an application to supplement or amend such NDA or MAA to expand the approved label for such biological product to include use of such biological product for an additional indication (</w:t>
      </w:r>
      <w:r>
        <w:rPr>
          <w:rFonts w:ascii="Times New Roman" w:hAnsi="Times New Roman"/>
          <w:b/>
          <w:sz w:val="20"/>
        </w:rPr>
        <w:t>Supplemental Application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b/>
          <w:sz w:val="20"/>
        </w:rPr>
        <w:t>EMA</w:t>
      </w:r>
      <w:r>
        <w:rPr>
          <w:rFonts w:ascii="Times New Roman" w:hAnsi="Times New Roman"/>
          <w:sz w:val="20"/>
        </w:rPr>
        <w:t xml:space="preserve"> means the European Medicines Agency or any successor agency or authority having substantially the same function.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b/>
          <w:sz w:val="20"/>
        </w:rPr>
        <w:t>EPO</w:t>
      </w:r>
      <w:r>
        <w:rPr>
          <w:rFonts w:ascii="Times New Roman" w:hAnsi="Times New Roman"/>
          <w:sz w:val="20"/>
        </w:rPr>
        <w:t xml:space="preserve"> is defined in Section 1.69 (Joint nACh Compound).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b/>
          <w:sz w:val="20"/>
        </w:rPr>
        <w:t>European Union</w:t>
      </w:r>
      <w:r>
        <w:rPr>
          <w:rFonts w:ascii="Times New Roman" w:hAnsi="Times New Roman"/>
          <w:sz w:val="20"/>
        </w:rPr>
        <w:t xml:space="preserve"> means the countries of the European Union, as the European Union is constituted as of the Effective Date and as it may be modified from time to time. </w:t>
      </w:r>
    </w:p>
    <w:p>
      <w:pPr>
        <w:pStyle w:val="TextBody"/>
        <w:bidi w:val="0"/>
        <w:spacing w:before="240" w:after="0"/>
        <w:jc w:val="left"/>
        <w:rPr>
          <w:rFonts w:ascii="Times New Roman" w:hAnsi="Times New Roman"/>
          <w:sz w:val="20"/>
        </w:rPr>
      </w:pPr>
      <w:r>
        <w:rPr>
          <w:rFonts w:ascii="Times New Roman" w:hAnsi="Times New Roman"/>
          <w:sz w:val="20"/>
        </w:rPr>
        <w:t>1.44 </w:t>
      </w:r>
      <w:r>
        <w:rPr>
          <w:rFonts w:ascii="Times New Roman" w:hAnsi="Times New Roman"/>
          <w:b/>
          <w:sz w:val="20"/>
        </w:rPr>
        <w:t>Exploit</w:t>
      </w:r>
      <w:r>
        <w:rPr>
          <w:rFonts w:ascii="Times New Roman" w:hAnsi="Times New Roman"/>
          <w:sz w:val="20"/>
        </w:rPr>
        <w:t>, </w:t>
      </w:r>
      <w:r>
        <w:rPr>
          <w:rFonts w:ascii="Times New Roman" w:hAnsi="Times New Roman"/>
          <w:b/>
          <w:sz w:val="20"/>
        </w:rPr>
        <w:t>Exploiting</w:t>
      </w:r>
      <w:r>
        <w:rPr>
          <w:rFonts w:ascii="Times New Roman" w:hAnsi="Times New Roman"/>
          <w:sz w:val="20"/>
        </w:rPr>
        <w:t> or </w:t>
      </w:r>
      <w:r>
        <w:rPr>
          <w:rFonts w:ascii="Times New Roman" w:hAnsi="Times New Roman"/>
          <w:b/>
          <w:sz w:val="20"/>
        </w:rPr>
        <w:t>Exploitation</w:t>
      </w:r>
      <w:r>
        <w:rPr>
          <w:rFonts w:ascii="Times New Roman" w:hAnsi="Times New Roman"/>
          <w:sz w:val="20"/>
        </w:rPr>
        <w:t xml:space="preserve"> means to make, have made, import, use, sell, or offer for sale, Research, Develop, Commercialize, register, modify, enhance, improve, Manufacture, have Manufactured, formulate, optimize, have used, export, transport, distribute, promote, market or have sold or otherwise dispose of a compound or product. </w:t>
      </w:r>
    </w:p>
    <w:p>
      <w:pPr>
        <w:pStyle w:val="TextBody"/>
        <w:bidi w:val="0"/>
        <w:spacing w:before="240" w:after="0"/>
        <w:jc w:val="left"/>
        <w:rPr>
          <w:rFonts w:ascii="Times New Roman" w:hAnsi="Times New Roman"/>
          <w:sz w:val="20"/>
        </w:rPr>
      </w:pPr>
      <w:r>
        <w:rPr>
          <w:rFonts w:ascii="Times New Roman" w:hAnsi="Times New Roman"/>
          <w:sz w:val="20"/>
        </w:rPr>
        <w:t>1.45 </w:t>
      </w:r>
      <w:r>
        <w:rPr>
          <w:rFonts w:ascii="Times New Roman" w:hAnsi="Times New Roman"/>
          <w:b/>
          <w:sz w:val="20"/>
        </w:rPr>
        <w:t>FDA</w:t>
      </w:r>
      <w:r>
        <w:rPr>
          <w:rFonts w:ascii="Times New Roman" w:hAnsi="Times New Roman"/>
          <w:sz w:val="20"/>
        </w:rPr>
        <w:t xml:space="preserve"> means the U.S. Food and Drug Administration, or any successor agency or authority having substantially the same function. </w:t>
      </w:r>
    </w:p>
    <w:p>
      <w:pPr>
        <w:pStyle w:val="TextBody"/>
        <w:bidi w:val="0"/>
        <w:spacing w:before="240" w:after="0"/>
        <w:jc w:val="left"/>
        <w:rPr>
          <w:rFonts w:ascii="Times New Roman" w:hAnsi="Times New Roman"/>
          <w:sz w:val="20"/>
        </w:rPr>
      </w:pPr>
      <w:r>
        <w:rPr>
          <w:rFonts w:ascii="Times New Roman" w:hAnsi="Times New Roman"/>
          <w:sz w:val="20"/>
        </w:rPr>
        <w:t>1.46 </w:t>
      </w:r>
      <w:r>
        <w:rPr>
          <w:rFonts w:ascii="Times New Roman" w:hAnsi="Times New Roman"/>
          <w:b/>
          <w:sz w:val="20"/>
        </w:rPr>
        <w:t>FFDCA</w:t>
      </w:r>
      <w:r>
        <w:rPr>
          <w:rFonts w:ascii="Times New Roman" w:hAnsi="Times New Roman"/>
          <w:sz w:val="20"/>
        </w:rPr>
        <w:t xml:space="preserve"> means the US Federal Food, Drug, and Cosmetic Act, 21 U.S.C. § 301 et seq., as amended from time to time, together with any rules, regulations and requirements promulgated thereunder (including all additions, supplements, extensions, and modifications thereto). </w:t>
      </w:r>
    </w:p>
    <w:p>
      <w:pPr>
        <w:pStyle w:val="TextBody"/>
        <w:bidi w:val="0"/>
        <w:spacing w:before="240" w:after="0"/>
        <w:jc w:val="left"/>
        <w:rPr>
          <w:rFonts w:ascii="Times New Roman" w:hAnsi="Times New Roman"/>
          <w:sz w:val="20"/>
        </w:rPr>
      </w:pPr>
      <w:r>
        <w:rPr>
          <w:rFonts w:ascii="Times New Roman" w:hAnsi="Times New Roman"/>
          <w:sz w:val="20"/>
        </w:rPr>
        <w:t>1.47 </w:t>
      </w:r>
      <w:r>
        <w:rPr>
          <w:rFonts w:ascii="Times New Roman" w:hAnsi="Times New Roman"/>
          <w:b/>
          <w:sz w:val="20"/>
        </w:rPr>
        <w:t>Field</w:t>
      </w:r>
      <w:r>
        <w:rPr>
          <w:rFonts w:ascii="Times New Roman" w:hAnsi="Times New Roman"/>
          <w:sz w:val="20"/>
        </w:rPr>
        <w:t xml:space="preserve"> means the diagnosis, treatment, prophylaxis or palliation of any disease or condition in humans or other animals.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1.48 </w:t>
      </w:r>
      <w:r>
        <w:rPr>
          <w:rFonts w:ascii="Times New Roman" w:hAnsi="Times New Roman"/>
          <w:b/>
          <w:sz w:val="20"/>
        </w:rPr>
        <w:t>First Commercial Sale</w:t>
      </w:r>
      <w:r>
        <w:rPr>
          <w:rFonts w:ascii="Times New Roman" w:hAnsi="Times New Roman"/>
          <w:sz w:val="20"/>
        </w:rPr>
        <w:t xml:space="preserve"> means, with respect to a given TARP8 Product in a country, the first net sale in an arms-length transaction of such TARP8 Product to a Third Party by or on behalf of a Party, its Affiliate or one of its or their Sublicensees in such country following receipt of applicable Marketing Approval of such TARP8 Product in the Field in such country; [***]. </w:t>
      </w:r>
    </w:p>
    <w:p>
      <w:pPr>
        <w:pStyle w:val="TextBody"/>
        <w:bidi w:val="0"/>
        <w:spacing w:before="240" w:after="0"/>
        <w:jc w:val="left"/>
        <w:rPr>
          <w:rFonts w:ascii="Times New Roman" w:hAnsi="Times New Roman"/>
          <w:sz w:val="20"/>
        </w:rPr>
      </w:pPr>
      <w:r>
        <w:rPr>
          <w:rFonts w:ascii="Times New Roman" w:hAnsi="Times New Roman"/>
          <w:sz w:val="20"/>
        </w:rPr>
        <w:t xml:space="preserve">1.49 [***] </w:t>
      </w:r>
    </w:p>
    <w:p>
      <w:pPr>
        <w:pStyle w:val="TextBody"/>
        <w:bidi w:val="0"/>
        <w:spacing w:before="240" w:after="0"/>
        <w:jc w:val="left"/>
        <w:rPr>
          <w:rFonts w:ascii="Times New Roman" w:hAnsi="Times New Roman"/>
          <w:sz w:val="20"/>
        </w:rPr>
      </w:pPr>
      <w:r>
        <w:rPr>
          <w:rFonts w:ascii="Times New Roman" w:hAnsi="Times New Roman"/>
          <w:sz w:val="20"/>
        </w:rPr>
        <w:t>1.50 </w:t>
      </w:r>
      <w:r>
        <w:rPr>
          <w:rFonts w:ascii="Times New Roman" w:hAnsi="Times New Roman"/>
          <w:b/>
          <w:sz w:val="20"/>
        </w:rPr>
        <w:t>Generic Equivalent</w:t>
      </w:r>
      <w:r>
        <w:rPr>
          <w:rFonts w:ascii="Times New Roman" w:hAnsi="Times New Roman"/>
          <w:sz w:val="20"/>
        </w:rPr>
        <w:t xml:space="preserve"> means, with respect to a particular Product in a country, any other therapeutic product that: [***]. </w:t>
      </w:r>
    </w:p>
    <w:p>
      <w:pPr>
        <w:pStyle w:val="TextBody"/>
        <w:bidi w:val="0"/>
        <w:spacing w:before="240" w:after="0"/>
        <w:jc w:val="left"/>
        <w:rPr>
          <w:rFonts w:ascii="Times New Roman" w:hAnsi="Times New Roman"/>
          <w:sz w:val="20"/>
        </w:rPr>
      </w:pPr>
      <w:r>
        <w:rPr>
          <w:rFonts w:ascii="Times New Roman" w:hAnsi="Times New Roman"/>
          <w:sz w:val="20"/>
        </w:rPr>
        <w:t>1.51 </w:t>
      </w:r>
      <w:r>
        <w:rPr>
          <w:rFonts w:ascii="Times New Roman" w:hAnsi="Times New Roman"/>
          <w:b/>
          <w:sz w:val="20"/>
        </w:rPr>
        <w:t>GLP</w:t>
      </w:r>
      <w:r>
        <w:rPr>
          <w:rFonts w:ascii="Times New Roman" w:hAnsi="Times New Roman"/>
          <w:sz w:val="20"/>
        </w:rPr>
        <w:t xml:space="preserve"> is defined in Section 9.3.1 (GLP and GCP Compliance). </w:t>
      </w:r>
    </w:p>
    <w:p>
      <w:pPr>
        <w:pStyle w:val="TextBody"/>
        <w:bidi w:val="0"/>
        <w:spacing w:before="240" w:after="0"/>
        <w:jc w:val="left"/>
        <w:rPr>
          <w:rFonts w:ascii="Times New Roman" w:hAnsi="Times New Roman"/>
          <w:sz w:val="20"/>
        </w:rPr>
      </w:pPr>
      <w:r>
        <w:rPr>
          <w:rFonts w:ascii="Times New Roman" w:hAnsi="Times New Roman"/>
          <w:sz w:val="20"/>
        </w:rPr>
        <w:t>1.52 </w:t>
      </w:r>
      <w:r>
        <w:rPr>
          <w:rFonts w:ascii="Times New Roman" w:hAnsi="Times New Roman"/>
          <w:b/>
          <w:sz w:val="20"/>
        </w:rPr>
        <w:t>Governmental Authority</w:t>
      </w:r>
      <w:r>
        <w:rPr>
          <w:rFonts w:ascii="Times New Roman" w:hAnsi="Times New Roman"/>
          <w:sz w:val="20"/>
        </w:rPr>
        <w:t xml:space="preserve"> means (a) any federal, state, supranational, local or foreign government or political subdivision thereof; (b) any agency or instrumentality of such government or political subdivision or quasi-governmental authority (to the extent that the rules, regulations or orders of such organization or authority have the force of law); or (c) any arbitrator, court or tribunal of competent jurisdiction. </w:t>
      </w:r>
    </w:p>
    <w:p>
      <w:pPr>
        <w:pStyle w:val="TextBody"/>
        <w:bidi w:val="0"/>
        <w:spacing w:before="240" w:after="0"/>
        <w:jc w:val="left"/>
        <w:rPr>
          <w:rFonts w:ascii="Times New Roman" w:hAnsi="Times New Roman"/>
          <w:sz w:val="20"/>
        </w:rPr>
      </w:pPr>
      <w:r>
        <w:rPr>
          <w:rFonts w:ascii="Times New Roman" w:hAnsi="Times New Roman"/>
          <w:sz w:val="20"/>
        </w:rPr>
        <w:t>1.53 </w:t>
      </w:r>
      <w:r>
        <w:rPr>
          <w:rFonts w:ascii="Times New Roman" w:hAnsi="Times New Roman"/>
          <w:b/>
          <w:sz w:val="20"/>
        </w:rPr>
        <w:t>[***]</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1.54 </w:t>
      </w:r>
      <w:r>
        <w:rPr>
          <w:rFonts w:ascii="Times New Roman" w:hAnsi="Times New Roman"/>
          <w:b/>
          <w:sz w:val="20"/>
        </w:rPr>
        <w:t>Incumbent Board</w:t>
      </w:r>
      <w:r>
        <w:rPr>
          <w:rFonts w:ascii="Times New Roman" w:hAnsi="Times New Roman"/>
          <w:sz w:val="20"/>
        </w:rPr>
        <w:t xml:space="preserve"> is defined in Section 1.23 (Change of Control). </w:t>
      </w:r>
    </w:p>
    <w:p>
      <w:pPr>
        <w:pStyle w:val="TextBody"/>
        <w:bidi w:val="0"/>
        <w:spacing w:before="240" w:after="0"/>
        <w:jc w:val="left"/>
        <w:rPr>
          <w:rFonts w:ascii="Times New Roman" w:hAnsi="Times New Roman"/>
          <w:sz w:val="20"/>
        </w:rPr>
      </w:pPr>
      <w:r>
        <w:rPr>
          <w:rFonts w:ascii="Times New Roman" w:hAnsi="Times New Roman"/>
          <w:sz w:val="20"/>
        </w:rPr>
        <w:t>1.55 </w:t>
      </w:r>
      <w:r>
        <w:rPr>
          <w:rFonts w:ascii="Times New Roman" w:hAnsi="Times New Roman"/>
          <w:b/>
          <w:sz w:val="20"/>
        </w:rPr>
        <w:t>IND</w:t>
      </w:r>
      <w:r>
        <w:rPr>
          <w:rFonts w:ascii="Times New Roman" w:hAnsi="Times New Roman"/>
          <w:sz w:val="20"/>
        </w:rPr>
        <w:t xml:space="preserve"> means an application filed with a Regulatory Authority for authorization to commence human clinical studies, including (a) an Investigational New Drug Application as defined in the FFDCA or any successor application or procedure filed with the FDA; (b) any equivalent of a US Investigational New Drug Application in other countries or regulatory jurisdictions; and (c) all supplements, amendments, variations, extensions and renewals thereof that may be filed with respect to the foregoing. </w:t>
      </w:r>
    </w:p>
    <w:p>
      <w:pPr>
        <w:pStyle w:val="TextBody"/>
        <w:bidi w:val="0"/>
        <w:spacing w:before="240" w:after="0"/>
        <w:jc w:val="left"/>
        <w:rPr>
          <w:rFonts w:ascii="Times New Roman" w:hAnsi="Times New Roman"/>
          <w:sz w:val="20"/>
        </w:rPr>
      </w:pPr>
      <w:r>
        <w:rPr>
          <w:rFonts w:ascii="Times New Roman" w:hAnsi="Times New Roman"/>
          <w:sz w:val="20"/>
        </w:rPr>
        <w:t>1.56 </w:t>
      </w:r>
      <w:r>
        <w:rPr>
          <w:rFonts w:ascii="Times New Roman" w:hAnsi="Times New Roman"/>
          <w:b/>
          <w:sz w:val="20"/>
        </w:rPr>
        <w:t>Indemnitee</w:t>
      </w:r>
      <w:r>
        <w:rPr>
          <w:rFonts w:ascii="Times New Roman" w:hAnsi="Times New Roman"/>
          <w:sz w:val="20"/>
        </w:rPr>
        <w:t xml:space="preserve"> is defined in Section 10.3 (Indemnification Claims). </w:t>
      </w:r>
    </w:p>
    <w:p>
      <w:pPr>
        <w:pStyle w:val="TextBody"/>
        <w:bidi w:val="0"/>
        <w:spacing w:before="240" w:after="0"/>
        <w:jc w:val="left"/>
        <w:rPr>
          <w:rFonts w:ascii="Times New Roman" w:hAnsi="Times New Roman"/>
          <w:sz w:val="20"/>
        </w:rPr>
      </w:pPr>
      <w:r>
        <w:rPr>
          <w:rFonts w:ascii="Times New Roman" w:hAnsi="Times New Roman"/>
          <w:sz w:val="20"/>
        </w:rPr>
        <w:t>1.57 </w:t>
      </w:r>
      <w:r>
        <w:rPr>
          <w:rFonts w:ascii="Times New Roman" w:hAnsi="Times New Roman"/>
          <w:b/>
          <w:sz w:val="20"/>
        </w:rPr>
        <w:t>Indemnitor</w:t>
      </w:r>
      <w:r>
        <w:rPr>
          <w:rFonts w:ascii="Times New Roman" w:hAnsi="Times New Roman"/>
          <w:sz w:val="20"/>
        </w:rPr>
        <w:t xml:space="preserve"> is defined in Section 10.3 (Indemnification Claims). </w:t>
      </w:r>
    </w:p>
    <w:p>
      <w:pPr>
        <w:pStyle w:val="TextBody"/>
        <w:bidi w:val="0"/>
        <w:spacing w:before="240" w:after="0"/>
        <w:jc w:val="left"/>
        <w:rPr>
          <w:rFonts w:ascii="Times New Roman" w:hAnsi="Times New Roman"/>
          <w:sz w:val="20"/>
        </w:rPr>
      </w:pPr>
      <w:r>
        <w:rPr>
          <w:rFonts w:ascii="Times New Roman" w:hAnsi="Times New Roman"/>
          <w:sz w:val="20"/>
        </w:rPr>
        <w:t>1.58 </w:t>
      </w:r>
      <w:r>
        <w:rPr>
          <w:rFonts w:ascii="Times New Roman" w:hAnsi="Times New Roman"/>
          <w:b/>
          <w:sz w:val="20"/>
        </w:rPr>
        <w:t>Indication</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1.59 </w:t>
      </w:r>
      <w:r>
        <w:rPr>
          <w:rFonts w:ascii="Times New Roman" w:hAnsi="Times New Roman"/>
          <w:b/>
          <w:sz w:val="20"/>
        </w:rPr>
        <w:t>Initiation</w:t>
      </w:r>
      <w:r>
        <w:rPr>
          <w:rFonts w:ascii="Times New Roman" w:hAnsi="Times New Roman"/>
          <w:sz w:val="20"/>
        </w:rPr>
        <w:t xml:space="preserve"> means the administration of [***] participating in a clinical trial. </w:t>
      </w:r>
    </w:p>
    <w:p>
      <w:pPr>
        <w:pStyle w:val="TextBody"/>
        <w:bidi w:val="0"/>
        <w:spacing w:before="240" w:after="0"/>
        <w:jc w:val="left"/>
        <w:rPr>
          <w:rFonts w:ascii="Times New Roman" w:hAnsi="Times New Roman"/>
          <w:sz w:val="20"/>
        </w:rPr>
      </w:pPr>
      <w:r>
        <w:rPr>
          <w:rFonts w:ascii="Times New Roman" w:hAnsi="Times New Roman"/>
          <w:sz w:val="20"/>
        </w:rPr>
        <w:t>1.60 </w:t>
      </w:r>
      <w:r>
        <w:rPr>
          <w:rFonts w:ascii="Times New Roman" w:hAnsi="Times New Roman"/>
          <w:b/>
          <w:sz w:val="20"/>
        </w:rPr>
        <w:t>Insolvency Event</w:t>
      </w:r>
      <w:r>
        <w:rPr>
          <w:rFonts w:ascii="Times New Roman" w:hAnsi="Times New Roman"/>
          <w:sz w:val="20"/>
        </w:rPr>
        <w:t xml:space="preserve"> is defined in Section 11.4.1 (Right to Terminate). </w:t>
      </w:r>
    </w:p>
    <w:p>
      <w:pPr>
        <w:pStyle w:val="TextBody"/>
        <w:bidi w:val="0"/>
        <w:spacing w:before="240" w:after="0"/>
        <w:jc w:val="left"/>
        <w:rPr>
          <w:rFonts w:ascii="Times New Roman" w:hAnsi="Times New Roman"/>
          <w:sz w:val="20"/>
        </w:rPr>
      </w:pPr>
      <w:r>
        <w:rPr>
          <w:rFonts w:ascii="Times New Roman" w:hAnsi="Times New Roman"/>
          <w:sz w:val="20"/>
        </w:rPr>
        <w:t>1.61 </w:t>
      </w:r>
      <w:r>
        <w:rPr>
          <w:rFonts w:ascii="Times New Roman" w:hAnsi="Times New Roman"/>
          <w:b/>
          <w:sz w:val="20"/>
        </w:rPr>
        <w:t>Janssen Indemnitees</w:t>
      </w:r>
      <w:r>
        <w:rPr>
          <w:rFonts w:ascii="Times New Roman" w:hAnsi="Times New Roman"/>
          <w:sz w:val="20"/>
        </w:rPr>
        <w:t xml:space="preserve"> is defined in Section 10.2 (Indemnification by Licensee). </w:t>
      </w:r>
    </w:p>
    <w:p>
      <w:pPr>
        <w:pStyle w:val="TextBody"/>
        <w:bidi w:val="0"/>
        <w:spacing w:before="240" w:after="0"/>
        <w:jc w:val="left"/>
        <w:rPr>
          <w:rFonts w:ascii="Times New Roman" w:hAnsi="Times New Roman"/>
          <w:sz w:val="20"/>
        </w:rPr>
      </w:pPr>
      <w:r>
        <w:rPr>
          <w:rFonts w:ascii="Times New Roman" w:hAnsi="Times New Roman"/>
          <w:sz w:val="20"/>
        </w:rPr>
        <w:t>1.62 </w:t>
      </w:r>
      <w:r>
        <w:rPr>
          <w:rFonts w:ascii="Times New Roman" w:hAnsi="Times New Roman"/>
          <w:b/>
          <w:sz w:val="20"/>
        </w:rPr>
        <w:t>Janssen Patent</w:t>
      </w:r>
      <w:r>
        <w:rPr>
          <w:rFonts w:ascii="Times New Roman" w:hAnsi="Times New Roman"/>
          <w:sz w:val="20"/>
        </w:rPr>
        <w:t xml:space="preserve"> means (a) any Licensed TARP8 Patent, (b) any Licensed nACh Assay Patent or (c) Joint nACh Patent. </w:t>
      </w:r>
    </w:p>
    <w:p>
      <w:pPr>
        <w:pStyle w:val="TextBody"/>
        <w:bidi w:val="0"/>
        <w:spacing w:before="240" w:after="0"/>
        <w:jc w:val="left"/>
        <w:rPr>
          <w:rFonts w:ascii="Times New Roman" w:hAnsi="Times New Roman"/>
          <w:sz w:val="20"/>
        </w:rPr>
      </w:pPr>
      <w:r>
        <w:rPr>
          <w:rFonts w:ascii="Times New Roman" w:hAnsi="Times New Roman"/>
          <w:sz w:val="20"/>
        </w:rPr>
        <w:t>1.63 </w:t>
      </w:r>
      <w:r>
        <w:rPr>
          <w:rFonts w:ascii="Times New Roman" w:hAnsi="Times New Roman"/>
          <w:b/>
          <w:sz w:val="20"/>
        </w:rPr>
        <w:t>Janssen Reserved Compound</w:t>
      </w:r>
      <w:r>
        <w:rPr>
          <w:rFonts w:ascii="Times New Roman" w:hAnsi="Times New Roman"/>
          <w:sz w:val="20"/>
        </w:rPr>
        <w:t xml:space="preserve"> means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1.64 </w:t>
      </w:r>
      <w:r>
        <w:rPr>
          <w:rFonts w:ascii="Times New Roman" w:hAnsi="Times New Roman"/>
          <w:b/>
          <w:sz w:val="20"/>
        </w:rPr>
        <w:t>Janssen Reserved Compound Claim</w:t>
      </w:r>
      <w:r>
        <w:rPr>
          <w:rFonts w:ascii="Times New Roman" w:hAnsi="Times New Roman"/>
          <w:sz w:val="20"/>
        </w:rPr>
        <w:t xml:space="preserve"> means (a) any claim, whether issued or pending, set forth in Schedule 1.64 (Janssen Reserved Compound Claims), or (b) any claim directed to the same subject matter as the claim in sub-clause (a) either (i) with a scope no broader than the scope of the claim described in sub-clause (a) or (ii) claiming no more than a Janssen Reserved Compound (or its use), in each case of this sub-clause (b), upon mutual agreement by the Parties, which agreement by Licensee will not be unreasonably withheld (with the understanding that no new isotopically labeled compound(s) may be included in such claims under this sub-clause (b)). </w:t>
      </w:r>
    </w:p>
    <w:p>
      <w:pPr>
        <w:pStyle w:val="TextBody"/>
        <w:bidi w:val="0"/>
        <w:spacing w:before="240" w:after="0"/>
        <w:jc w:val="left"/>
        <w:rPr>
          <w:rFonts w:ascii="Times New Roman" w:hAnsi="Times New Roman"/>
          <w:sz w:val="20"/>
        </w:rPr>
      </w:pPr>
      <w:r>
        <w:rPr>
          <w:rFonts w:ascii="Times New Roman" w:hAnsi="Times New Roman"/>
          <w:sz w:val="20"/>
        </w:rPr>
        <w:t>1.65 </w:t>
      </w:r>
      <w:r>
        <w:rPr>
          <w:rFonts w:ascii="Times New Roman" w:hAnsi="Times New Roman"/>
          <w:b/>
          <w:sz w:val="20"/>
        </w:rPr>
        <w:t>Janssen Reserved Rights</w:t>
      </w:r>
      <w:r>
        <w:rPr>
          <w:rFonts w:ascii="Times New Roman" w:hAnsi="Times New Roman"/>
          <w:sz w:val="20"/>
        </w:rPr>
        <w:t xml:space="preserve"> is defined in Section 4.2.1 (Janssen Reserved Rights; No Collaboration). </w:t>
      </w:r>
    </w:p>
    <w:p>
      <w:pPr>
        <w:pStyle w:val="TextBody"/>
        <w:bidi w:val="0"/>
        <w:spacing w:before="240" w:after="0"/>
        <w:jc w:val="left"/>
        <w:rPr>
          <w:rFonts w:ascii="Times New Roman" w:hAnsi="Times New Roman"/>
          <w:sz w:val="20"/>
        </w:rPr>
      </w:pPr>
      <w:r>
        <w:rPr>
          <w:rFonts w:ascii="Times New Roman" w:hAnsi="Times New Roman"/>
          <w:sz w:val="20"/>
        </w:rPr>
        <w:t>1.66 </w:t>
      </w:r>
      <w:r>
        <w:rPr>
          <w:rFonts w:ascii="Times New Roman" w:hAnsi="Times New Roman"/>
          <w:b/>
          <w:sz w:val="20"/>
        </w:rPr>
        <w:t>Janssen</w:t>
      </w:r>
      <w:r>
        <w:rPr>
          <w:rFonts w:ascii="Times New Roman" w:hAnsi="Times New Roman"/>
          <w:sz w:val="20"/>
        </w:rPr>
        <w:t xml:space="preserve"> </w:t>
      </w:r>
      <w:r>
        <w:rPr>
          <w:rFonts w:ascii="Times New Roman" w:hAnsi="Times New Roman"/>
          <w:b/>
          <w:sz w:val="20"/>
        </w:rPr>
        <w:t>Reserved TARP8 Patent</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1.67 </w:t>
      </w:r>
      <w:r>
        <w:rPr>
          <w:rFonts w:ascii="Times New Roman" w:hAnsi="Times New Roman"/>
          <w:b/>
          <w:sz w:val="20"/>
        </w:rPr>
        <w:t>Janssen-Prosecuted TARP8 Patent</w:t>
      </w:r>
      <w:r>
        <w:rPr>
          <w:rFonts w:ascii="Times New Roman" w:hAnsi="Times New Roman"/>
          <w:sz w:val="20"/>
        </w:rPr>
        <w:t xml:space="preserve"> is defined in Section 7.2.2 (Prosecution of Primary TARP8 Patents). </w:t>
      </w:r>
    </w:p>
    <w:p>
      <w:pPr>
        <w:pStyle w:val="TextBody"/>
        <w:bidi w:val="0"/>
        <w:spacing w:before="240" w:after="0"/>
        <w:jc w:val="left"/>
        <w:rPr>
          <w:rFonts w:ascii="Times New Roman" w:hAnsi="Times New Roman"/>
          <w:sz w:val="20"/>
        </w:rPr>
      </w:pPr>
      <w:r>
        <w:rPr>
          <w:rFonts w:ascii="Times New Roman" w:hAnsi="Times New Roman"/>
          <w:sz w:val="20"/>
        </w:rPr>
        <w:t>1.68 </w:t>
      </w:r>
      <w:r>
        <w:rPr>
          <w:rFonts w:ascii="Times New Roman" w:hAnsi="Times New Roman"/>
          <w:b/>
          <w:sz w:val="20"/>
        </w:rPr>
        <w:t>Joint Invention</w:t>
      </w:r>
      <w:r>
        <w:rPr>
          <w:rFonts w:ascii="Times New Roman" w:hAnsi="Times New Roman"/>
          <w:sz w:val="20"/>
        </w:rPr>
        <w:t xml:space="preserve"> means any invention, whether or not patented, that is co-invented by a an employee, agent or contractor of Janssen or one of its Affiliates, on the one hand, and an employee, agent or contractor of Licensee or one of its Affiliates, on the other hand, as determined in accordance with Section 7.1.1 (Inventorship) arising from activities conducted pursuant to this Agreement and to the extent related to the Exploitation of Compounds. </w:t>
      </w:r>
    </w:p>
    <w:p>
      <w:pPr>
        <w:pStyle w:val="TextBody"/>
        <w:bidi w:val="0"/>
        <w:spacing w:before="240" w:after="0"/>
        <w:jc w:val="left"/>
        <w:rPr>
          <w:rFonts w:ascii="Times New Roman" w:hAnsi="Times New Roman"/>
          <w:sz w:val="20"/>
        </w:rPr>
      </w:pPr>
      <w:r>
        <w:rPr>
          <w:rFonts w:ascii="Times New Roman" w:hAnsi="Times New Roman"/>
          <w:sz w:val="20"/>
        </w:rPr>
        <w:t>1.69 </w:t>
      </w:r>
      <w:r>
        <w:rPr>
          <w:rFonts w:ascii="Times New Roman" w:hAnsi="Times New Roman"/>
          <w:b/>
          <w:sz w:val="20"/>
        </w:rPr>
        <w:t>Joint nACh Compound</w:t>
      </w:r>
      <w:r>
        <w:rPr>
          <w:rFonts w:ascii="Times New Roman" w:hAnsi="Times New Roman"/>
          <w:sz w:val="20"/>
        </w:rPr>
        <w:t> means any compound claimed in a Compound Claim of a Joint nACh Patent in the United States or in a European Patent Organization (</w:t>
      </w:r>
      <w:r>
        <w:rPr>
          <w:rFonts w:ascii="Times New Roman" w:hAnsi="Times New Roman"/>
          <w:b/>
          <w:sz w:val="20"/>
        </w:rPr>
        <w:t>EPO</w:t>
      </w:r>
      <w:r>
        <w:rPr>
          <w:rFonts w:ascii="Times New Roman" w:hAnsi="Times New Roman"/>
          <w:sz w:val="20"/>
        </w:rPr>
        <w:t xml:space="preserve">) country, claiming priority from the EPO (including a claim of a Patent Cooperation Treaty application designating the United States and EPO). </w:t>
      </w:r>
    </w:p>
    <w:p>
      <w:pPr>
        <w:pStyle w:val="TextBody"/>
        <w:bidi w:val="0"/>
        <w:spacing w:before="240" w:after="0"/>
        <w:jc w:val="left"/>
        <w:rPr>
          <w:rFonts w:ascii="Times New Roman" w:hAnsi="Times New Roman"/>
          <w:sz w:val="20"/>
        </w:rPr>
      </w:pPr>
      <w:r>
        <w:rPr>
          <w:rFonts w:ascii="Times New Roman" w:hAnsi="Times New Roman"/>
          <w:sz w:val="20"/>
        </w:rPr>
        <w:t>1.70 </w:t>
      </w:r>
      <w:r>
        <w:rPr>
          <w:rFonts w:ascii="Times New Roman" w:hAnsi="Times New Roman"/>
          <w:b/>
          <w:sz w:val="20"/>
        </w:rPr>
        <w:t>Joint nACh Invention</w:t>
      </w:r>
      <w:r>
        <w:rPr>
          <w:rFonts w:ascii="Times New Roman" w:hAnsi="Times New Roman"/>
          <w:sz w:val="20"/>
        </w:rPr>
        <w:t xml:space="preserve"> means any Joint Invention that: [***]. </w:t>
      </w:r>
    </w:p>
    <w:p>
      <w:pPr>
        <w:pStyle w:val="TextBody"/>
        <w:bidi w:val="0"/>
        <w:spacing w:before="240" w:after="0"/>
        <w:jc w:val="left"/>
        <w:rPr>
          <w:rFonts w:ascii="Times New Roman" w:hAnsi="Times New Roman"/>
          <w:sz w:val="20"/>
        </w:rPr>
      </w:pPr>
      <w:r>
        <w:rPr>
          <w:rFonts w:ascii="Times New Roman" w:hAnsi="Times New Roman"/>
          <w:sz w:val="20"/>
        </w:rPr>
        <w:t>1.71 </w:t>
      </w:r>
      <w:r>
        <w:rPr>
          <w:rFonts w:ascii="Times New Roman" w:hAnsi="Times New Roman"/>
          <w:b/>
          <w:sz w:val="20"/>
        </w:rPr>
        <w:t>Joint nACh</w:t>
      </w:r>
      <w:r>
        <w:rPr>
          <w:rFonts w:ascii="Times New Roman" w:hAnsi="Times New Roman"/>
          <w:sz w:val="20"/>
        </w:rPr>
        <w:t xml:space="preserve"> </w:t>
      </w:r>
      <w:r>
        <w:rPr>
          <w:rFonts w:ascii="Times New Roman" w:hAnsi="Times New Roman"/>
          <w:b/>
          <w:sz w:val="20"/>
        </w:rPr>
        <w:t>Patent</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1.72 </w:t>
      </w:r>
      <w:r>
        <w:rPr>
          <w:rFonts w:ascii="Times New Roman" w:hAnsi="Times New Roman"/>
          <w:b/>
          <w:sz w:val="20"/>
        </w:rPr>
        <w:t>Joint nACh Product</w:t>
      </w:r>
      <w:r>
        <w:rPr>
          <w:rFonts w:ascii="Times New Roman" w:hAnsi="Times New Roman"/>
          <w:sz w:val="20"/>
        </w:rPr>
        <w:t xml:space="preserve"> means any product constituting, incorporating, comprising or containing a Joint nACh Compound as an active pharmaceutical ingredient in any finished dosage pharmaceutical form, including all formulations, dosage forms and modes of administration thereof. </w:t>
      </w:r>
    </w:p>
    <w:p>
      <w:pPr>
        <w:pStyle w:val="TextBody"/>
        <w:bidi w:val="0"/>
        <w:spacing w:before="240" w:after="0"/>
        <w:jc w:val="left"/>
        <w:rPr>
          <w:rFonts w:ascii="Times New Roman" w:hAnsi="Times New Roman"/>
          <w:sz w:val="20"/>
        </w:rPr>
      </w:pPr>
      <w:r>
        <w:rPr>
          <w:rFonts w:ascii="Times New Roman" w:hAnsi="Times New Roman"/>
          <w:sz w:val="20"/>
        </w:rPr>
        <w:t>1.73 </w:t>
      </w:r>
      <w:r>
        <w:rPr>
          <w:rFonts w:ascii="Times New Roman" w:hAnsi="Times New Roman"/>
          <w:b/>
          <w:sz w:val="20"/>
        </w:rPr>
        <w:t>Joint Patent</w:t>
      </w:r>
      <w:r>
        <w:rPr>
          <w:rFonts w:ascii="Times New Roman" w:hAnsi="Times New Roman"/>
          <w:sz w:val="20"/>
        </w:rPr>
        <w:t xml:space="preserve"> is defined in Section 7.2.3 (Prosecution of Joint Patents). For clarity, a Joint Patent includes a Joint nACh Patent. </w:t>
      </w:r>
    </w:p>
    <w:p>
      <w:pPr>
        <w:pStyle w:val="TextBody"/>
        <w:bidi w:val="0"/>
        <w:spacing w:before="240" w:after="0"/>
        <w:jc w:val="left"/>
        <w:rPr>
          <w:rFonts w:ascii="Times New Roman" w:hAnsi="Times New Roman"/>
          <w:sz w:val="20"/>
        </w:rPr>
      </w:pPr>
      <w:r>
        <w:rPr>
          <w:rFonts w:ascii="Times New Roman" w:hAnsi="Times New Roman"/>
          <w:sz w:val="20"/>
        </w:rPr>
        <w:t>1.74 </w:t>
      </w:r>
      <w:r>
        <w:rPr>
          <w:rFonts w:ascii="Times New Roman" w:hAnsi="Times New Roman"/>
          <w:b/>
          <w:sz w:val="20"/>
        </w:rPr>
        <w:t>Joint Technology</w:t>
      </w:r>
      <w:r>
        <w:rPr>
          <w:rFonts w:ascii="Times New Roman" w:hAnsi="Times New Roman"/>
          <w:sz w:val="20"/>
        </w:rPr>
        <w:t xml:space="preserve"> means Joint Inventions and Joint Patents. </w:t>
      </w:r>
    </w:p>
    <w:p>
      <w:pPr>
        <w:pStyle w:val="TextBody"/>
        <w:bidi w:val="0"/>
        <w:spacing w:before="240" w:after="0"/>
        <w:jc w:val="left"/>
        <w:rPr>
          <w:rFonts w:ascii="Times New Roman" w:hAnsi="Times New Roman"/>
          <w:sz w:val="20"/>
        </w:rPr>
      </w:pPr>
      <w:r>
        <w:rPr>
          <w:rFonts w:ascii="Times New Roman" w:hAnsi="Times New Roman"/>
          <w:sz w:val="20"/>
        </w:rPr>
        <w:t>1.75 </w:t>
      </w:r>
      <w:r>
        <w:rPr>
          <w:rFonts w:ascii="Times New Roman" w:hAnsi="Times New Roman"/>
          <w:b/>
          <w:sz w:val="20"/>
        </w:rPr>
        <w:t>Know-How</w:t>
      </w:r>
      <w:r>
        <w:rPr>
          <w:rFonts w:ascii="Times New Roman" w:hAnsi="Times New Roman"/>
          <w:sz w:val="20"/>
        </w:rPr>
        <w:t xml:space="preserve"> means all non-public or proprietary information, materials, inventions, developments, data, processes, protocols, procedures, methods, techniques and trade secrets, not generally known to the public. For clarity, information in published Patents is not Know-How. </w:t>
      </w:r>
    </w:p>
    <w:p>
      <w:pPr>
        <w:pStyle w:val="TextBody"/>
        <w:bidi w:val="0"/>
        <w:spacing w:before="240" w:after="0"/>
        <w:jc w:val="left"/>
        <w:rPr>
          <w:rFonts w:ascii="Times New Roman" w:hAnsi="Times New Roman"/>
          <w:sz w:val="20"/>
        </w:rPr>
      </w:pPr>
      <w:r>
        <w:rPr>
          <w:rFonts w:ascii="Times New Roman" w:hAnsi="Times New Roman"/>
          <w:sz w:val="20"/>
        </w:rPr>
        <w:t>1.76 </w:t>
      </w:r>
      <w:r>
        <w:rPr>
          <w:rFonts w:ascii="Times New Roman" w:hAnsi="Times New Roman"/>
          <w:b/>
          <w:sz w:val="20"/>
        </w:rPr>
        <w:t>Licensed nACh Assay Patent</w:t>
      </w:r>
      <w:r>
        <w:rPr>
          <w:rFonts w:ascii="Times New Roman" w:hAnsi="Times New Roman"/>
          <w:sz w:val="20"/>
        </w:rPr>
        <w:t xml:space="preserve"> means (a) any Patent listed in Schedule 1.76 (Licensed nACh Assay Patents) or (b) any Patent Controlled by Janssen or its Affiliates during the Term claiming common priority with such Patent described in sub-clause (a). For clarity, Licensed nACh Assay Patents exclude Joint nACh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1.77 </w:t>
      </w:r>
      <w:r>
        <w:rPr>
          <w:rFonts w:ascii="Times New Roman" w:hAnsi="Times New Roman"/>
          <w:b/>
          <w:sz w:val="20"/>
        </w:rPr>
        <w:t>Licensed nACh Know-How</w:t>
      </w:r>
      <w:r>
        <w:rPr>
          <w:rFonts w:ascii="Times New Roman" w:hAnsi="Times New Roman"/>
          <w:sz w:val="20"/>
        </w:rPr>
        <w:t> means any Know-How (a) Controlled by Janssen or any of its Affiliates during the Term, (b) disclosed to Licensee under this Agreement and (c) related to any Scheduled nACh Compound or the use of any assay claimed in a Licensed nACh Assay Patent, including structures of compounds (other than the Scheduled nACh Compounds) tested therewith (such other compounds, the </w:t>
      </w:r>
      <w:r>
        <w:rPr>
          <w:rFonts w:ascii="Times New Roman" w:hAnsi="Times New Roman"/>
          <w:b/>
          <w:sz w:val="20"/>
        </w:rPr>
        <w:t>Unscheduled Compounds</w:t>
      </w:r>
      <w:r>
        <w:rPr>
          <w:rFonts w:ascii="Times New Roman" w:hAnsi="Times New Roman"/>
          <w:sz w:val="20"/>
        </w:rPr>
        <w:t xml:space="preserve">) and the data generated thereon. </w:t>
      </w:r>
    </w:p>
    <w:p>
      <w:pPr>
        <w:pStyle w:val="TextBody"/>
        <w:bidi w:val="0"/>
        <w:spacing w:before="240" w:after="0"/>
        <w:jc w:val="left"/>
        <w:rPr>
          <w:rFonts w:ascii="Times New Roman" w:hAnsi="Times New Roman"/>
          <w:sz w:val="20"/>
        </w:rPr>
      </w:pPr>
      <w:r>
        <w:rPr>
          <w:rFonts w:ascii="Times New Roman" w:hAnsi="Times New Roman"/>
          <w:sz w:val="20"/>
        </w:rPr>
        <w:t>1.78 </w:t>
      </w:r>
      <w:r>
        <w:rPr>
          <w:rFonts w:ascii="Times New Roman" w:hAnsi="Times New Roman"/>
          <w:b/>
          <w:sz w:val="20"/>
        </w:rPr>
        <w:t>Licensed nACh Technology</w:t>
      </w:r>
      <w:r>
        <w:rPr>
          <w:rFonts w:ascii="Times New Roman" w:hAnsi="Times New Roman"/>
          <w:sz w:val="20"/>
        </w:rPr>
        <w:t xml:space="preserve"> means Licensed nACh Know-How and Licensed nACh Assay Patents. </w:t>
      </w:r>
    </w:p>
    <w:p>
      <w:pPr>
        <w:pStyle w:val="TextBody"/>
        <w:bidi w:val="0"/>
        <w:spacing w:before="240" w:after="0"/>
        <w:jc w:val="left"/>
        <w:rPr>
          <w:rFonts w:ascii="Times New Roman" w:hAnsi="Times New Roman"/>
          <w:sz w:val="20"/>
        </w:rPr>
      </w:pPr>
      <w:r>
        <w:rPr>
          <w:rFonts w:ascii="Times New Roman" w:hAnsi="Times New Roman"/>
          <w:sz w:val="20"/>
        </w:rPr>
        <w:t>1.79 </w:t>
      </w:r>
      <w:r>
        <w:rPr>
          <w:rFonts w:ascii="Times New Roman" w:hAnsi="Times New Roman"/>
          <w:b/>
          <w:sz w:val="20"/>
        </w:rPr>
        <w:t>Licensed TARP8 Know-How</w:t>
      </w:r>
      <w:r>
        <w:rPr>
          <w:rFonts w:ascii="Times New Roman" w:hAnsi="Times New Roman"/>
          <w:sz w:val="20"/>
        </w:rPr>
        <w:t xml:space="preserve"> means any Know-How (including any Joint Invention) Controlled by Janssen or any of its Affiliates during the Term related to Exploitation of any TARP8 Compound or TARP8 Product in the Territory. </w:t>
      </w:r>
    </w:p>
    <w:p>
      <w:pPr>
        <w:pStyle w:val="TextBody"/>
        <w:bidi w:val="0"/>
        <w:spacing w:before="240" w:after="0"/>
        <w:jc w:val="left"/>
        <w:rPr>
          <w:rFonts w:ascii="Times New Roman" w:hAnsi="Times New Roman"/>
          <w:sz w:val="20"/>
        </w:rPr>
      </w:pPr>
      <w:r>
        <w:rPr>
          <w:rFonts w:ascii="Times New Roman" w:hAnsi="Times New Roman"/>
          <w:sz w:val="20"/>
        </w:rPr>
        <w:t>1.80 </w:t>
      </w:r>
      <w:r>
        <w:rPr>
          <w:rFonts w:ascii="Times New Roman" w:hAnsi="Times New Roman"/>
          <w:b/>
          <w:sz w:val="20"/>
        </w:rPr>
        <w:t>Licensed TARP8 Patent</w:t>
      </w:r>
      <w:r>
        <w:rPr>
          <w:rFonts w:ascii="Times New Roman" w:hAnsi="Times New Roman"/>
          <w:sz w:val="20"/>
        </w:rPr>
        <w:t xml:space="preserve"> means (a) any Scheduled TARP8 Patent or Joint Patent in each case Controlled by Janssen or its Affiliates, or (b) any other Patent Controlled by Janssen or any of its Affiliates during the Term that is necessary to Exploit a TARP8 Compound or TARP8 Product in the Territory, but excluding (i) any Patent Covering any formulation not specific to a TARP8 Compound, (ii) [***], unless such Patent described in subclause (ii) claims a Joint Invention. For clarity, subject to the last sentence of Section 4.1.1.1 (License under TARP8 Technology), Licensed TARP8 Patent shall include any Patent Covering use of a TARP8 Compound or TARP8 Product with other compounds or products to the extent such Patent falls within the scope described in the preceding sentence. </w:t>
      </w:r>
    </w:p>
    <w:p>
      <w:pPr>
        <w:pStyle w:val="TextBody"/>
        <w:bidi w:val="0"/>
        <w:spacing w:before="240" w:after="0"/>
        <w:jc w:val="left"/>
        <w:rPr>
          <w:rFonts w:ascii="Times New Roman" w:hAnsi="Times New Roman"/>
          <w:sz w:val="20"/>
        </w:rPr>
      </w:pPr>
      <w:r>
        <w:rPr>
          <w:rFonts w:ascii="Times New Roman" w:hAnsi="Times New Roman"/>
          <w:sz w:val="20"/>
        </w:rPr>
        <w:t>1.81 </w:t>
      </w:r>
      <w:r>
        <w:rPr>
          <w:rFonts w:ascii="Times New Roman" w:hAnsi="Times New Roman"/>
          <w:b/>
          <w:sz w:val="20"/>
        </w:rPr>
        <w:t>Licensed TARP8 Technology</w:t>
      </w:r>
      <w:r>
        <w:rPr>
          <w:rFonts w:ascii="Times New Roman" w:hAnsi="Times New Roman"/>
          <w:sz w:val="20"/>
        </w:rPr>
        <w:t xml:space="preserve"> means the Licensed TARP8 Know-How and Licensed TARP8 Patents. </w:t>
      </w:r>
    </w:p>
    <w:p>
      <w:pPr>
        <w:pStyle w:val="TextBody"/>
        <w:bidi w:val="0"/>
        <w:spacing w:before="240" w:after="0"/>
        <w:jc w:val="left"/>
        <w:rPr>
          <w:rFonts w:ascii="Times New Roman" w:hAnsi="Times New Roman"/>
          <w:sz w:val="20"/>
        </w:rPr>
      </w:pPr>
      <w:r>
        <w:rPr>
          <w:rFonts w:ascii="Times New Roman" w:hAnsi="Times New Roman"/>
          <w:sz w:val="20"/>
        </w:rPr>
        <w:t>1.82 </w:t>
      </w:r>
      <w:r>
        <w:rPr>
          <w:rFonts w:ascii="Times New Roman" w:hAnsi="Times New Roman"/>
          <w:b/>
          <w:sz w:val="20"/>
        </w:rPr>
        <w:t>Licensee Indemnitees</w:t>
      </w:r>
      <w:r>
        <w:rPr>
          <w:rFonts w:ascii="Times New Roman" w:hAnsi="Times New Roman"/>
          <w:sz w:val="20"/>
        </w:rPr>
        <w:t xml:space="preserve"> is defined in Section 10.1 (Indemnification by Janssen). </w:t>
      </w:r>
    </w:p>
    <w:p>
      <w:pPr>
        <w:pStyle w:val="TextBody"/>
        <w:bidi w:val="0"/>
        <w:spacing w:before="240" w:after="0"/>
        <w:jc w:val="left"/>
        <w:rPr>
          <w:rFonts w:ascii="Times New Roman" w:hAnsi="Times New Roman"/>
          <w:sz w:val="20"/>
        </w:rPr>
      </w:pPr>
      <w:r>
        <w:rPr>
          <w:rFonts w:ascii="Times New Roman" w:hAnsi="Times New Roman"/>
          <w:sz w:val="20"/>
        </w:rPr>
        <w:t>1.83 </w:t>
      </w:r>
      <w:r>
        <w:rPr>
          <w:rFonts w:ascii="Times New Roman" w:hAnsi="Times New Roman"/>
          <w:b/>
          <w:sz w:val="20"/>
        </w:rPr>
        <w:t>Licensee Party</w:t>
      </w:r>
      <w:r>
        <w:rPr>
          <w:rFonts w:ascii="Times New Roman" w:hAnsi="Times New Roman"/>
          <w:sz w:val="20"/>
        </w:rPr>
        <w:t xml:space="preserve"> is defined in Section 11.4.2 (Section 365(n) of Bankruptcy Code). </w:t>
      </w:r>
    </w:p>
    <w:p>
      <w:pPr>
        <w:pStyle w:val="TextBody"/>
        <w:bidi w:val="0"/>
        <w:spacing w:before="240" w:after="0"/>
        <w:jc w:val="left"/>
        <w:rPr>
          <w:rFonts w:ascii="Times New Roman" w:hAnsi="Times New Roman"/>
          <w:sz w:val="20"/>
        </w:rPr>
      </w:pPr>
      <w:r>
        <w:rPr>
          <w:rFonts w:ascii="Times New Roman" w:hAnsi="Times New Roman"/>
          <w:sz w:val="20"/>
        </w:rPr>
        <w:t>1.84 </w:t>
      </w:r>
      <w:r>
        <w:rPr>
          <w:rFonts w:ascii="Times New Roman" w:hAnsi="Times New Roman"/>
          <w:b/>
          <w:sz w:val="20"/>
        </w:rPr>
        <w:t>Licensor Party</w:t>
      </w:r>
      <w:r>
        <w:rPr>
          <w:rFonts w:ascii="Times New Roman" w:hAnsi="Times New Roman"/>
          <w:sz w:val="20"/>
        </w:rPr>
        <w:t xml:space="preserve"> is defined in Section 11.4.2 (Section 365(n) of Bankruptcy Code). </w:t>
      </w:r>
    </w:p>
    <w:p>
      <w:pPr>
        <w:pStyle w:val="TextBody"/>
        <w:bidi w:val="0"/>
        <w:spacing w:before="240" w:after="0"/>
        <w:jc w:val="left"/>
        <w:rPr>
          <w:rFonts w:ascii="Times New Roman" w:hAnsi="Times New Roman"/>
          <w:sz w:val="20"/>
        </w:rPr>
      </w:pPr>
      <w:r>
        <w:rPr>
          <w:rFonts w:ascii="Times New Roman" w:hAnsi="Times New Roman"/>
          <w:sz w:val="20"/>
        </w:rPr>
        <w:t>1.85 </w:t>
      </w:r>
      <w:r>
        <w:rPr>
          <w:rFonts w:ascii="Times New Roman" w:hAnsi="Times New Roman"/>
          <w:b/>
          <w:sz w:val="20"/>
        </w:rPr>
        <w:t>MAA</w:t>
      </w:r>
      <w:r>
        <w:rPr>
          <w:rFonts w:ascii="Times New Roman" w:hAnsi="Times New Roman"/>
          <w:sz w:val="20"/>
        </w:rPr>
        <w:t xml:space="preserve"> is defined in Section 1.40 (Drug Approval Application). </w:t>
      </w:r>
    </w:p>
    <w:p>
      <w:pPr>
        <w:pStyle w:val="TextBody"/>
        <w:bidi w:val="0"/>
        <w:spacing w:before="240" w:after="0"/>
        <w:jc w:val="left"/>
        <w:rPr>
          <w:rFonts w:ascii="Times New Roman" w:hAnsi="Times New Roman"/>
          <w:sz w:val="20"/>
        </w:rPr>
      </w:pPr>
      <w:r>
        <w:rPr>
          <w:rFonts w:ascii="Times New Roman" w:hAnsi="Times New Roman"/>
          <w:sz w:val="20"/>
        </w:rPr>
        <w:t>1.86 </w:t>
      </w:r>
      <w:r>
        <w:rPr>
          <w:rFonts w:ascii="Times New Roman" w:hAnsi="Times New Roman"/>
          <w:b/>
          <w:sz w:val="20"/>
        </w:rPr>
        <w:t>Manufacturing</w:t>
      </w:r>
      <w:r>
        <w:rPr>
          <w:rFonts w:ascii="Times New Roman" w:hAnsi="Times New Roman"/>
          <w:sz w:val="20"/>
        </w:rPr>
        <w:t> or </w:t>
      </w:r>
      <w:r>
        <w:rPr>
          <w:rFonts w:ascii="Times New Roman" w:hAnsi="Times New Roman"/>
          <w:b/>
          <w:sz w:val="20"/>
        </w:rPr>
        <w:t>Manufacture</w:t>
      </w:r>
      <w:r>
        <w:rPr>
          <w:rFonts w:ascii="Times New Roman" w:hAnsi="Times New Roman"/>
          <w:sz w:val="20"/>
        </w:rPr>
        <w:t xml:space="preserve"> means the activities relating to producing a pharmaceutical product, including purchasing raw materials and intermediates, producing active pharmaceutical ingredient, formulating and tableting, and all related quality control and quality assurance activities and all storage, shipping, handling, packaging and manufacturing technical transfer activities. </w:t>
      </w:r>
    </w:p>
    <w:p>
      <w:pPr>
        <w:pStyle w:val="TextBody"/>
        <w:bidi w:val="0"/>
        <w:spacing w:before="240" w:after="0"/>
        <w:jc w:val="left"/>
        <w:rPr>
          <w:rFonts w:ascii="Times New Roman" w:hAnsi="Times New Roman"/>
          <w:sz w:val="20"/>
        </w:rPr>
      </w:pPr>
      <w:r>
        <w:rPr>
          <w:rFonts w:ascii="Times New Roman" w:hAnsi="Times New Roman"/>
          <w:sz w:val="20"/>
        </w:rPr>
        <w:t>1.87 </w:t>
      </w:r>
      <w:r>
        <w:rPr>
          <w:rFonts w:ascii="Times New Roman" w:hAnsi="Times New Roman"/>
          <w:b/>
          <w:sz w:val="20"/>
        </w:rPr>
        <w:t>Marketing Approval</w:t>
      </w:r>
      <w:r>
        <w:rPr>
          <w:rFonts w:ascii="Times New Roman" w:hAnsi="Times New Roman"/>
          <w:sz w:val="20"/>
        </w:rPr>
        <w:t xml:space="preserve"> means approval of a Drug Approval Application by the applicable Regulatory Authority. </w:t>
      </w:r>
    </w:p>
    <w:p>
      <w:pPr>
        <w:pStyle w:val="TextBody"/>
        <w:bidi w:val="0"/>
        <w:spacing w:before="240" w:after="0"/>
        <w:jc w:val="left"/>
        <w:rPr>
          <w:rFonts w:ascii="Times New Roman" w:hAnsi="Times New Roman"/>
          <w:sz w:val="20"/>
        </w:rPr>
      </w:pPr>
      <w:r>
        <w:rPr>
          <w:rFonts w:ascii="Times New Roman" w:hAnsi="Times New Roman"/>
          <w:sz w:val="20"/>
        </w:rPr>
        <w:t>1.88 </w:t>
      </w:r>
      <w:r>
        <w:rPr>
          <w:rFonts w:ascii="Times New Roman" w:hAnsi="Times New Roman"/>
          <w:b/>
          <w:sz w:val="20"/>
        </w:rPr>
        <w:t>Missing Information Notice</w:t>
      </w:r>
      <w:r>
        <w:rPr>
          <w:rFonts w:ascii="Times New Roman" w:hAnsi="Times New Roman"/>
          <w:sz w:val="20"/>
        </w:rPr>
        <w:t xml:space="preserve"> is defined in Section 2.1.2 (Missing Information). </w:t>
      </w:r>
    </w:p>
    <w:p>
      <w:pPr>
        <w:pStyle w:val="TextBody"/>
        <w:bidi w:val="0"/>
        <w:spacing w:before="240" w:after="0"/>
        <w:jc w:val="left"/>
        <w:rPr>
          <w:rFonts w:ascii="Times New Roman" w:hAnsi="Times New Roman"/>
          <w:sz w:val="20"/>
        </w:rPr>
      </w:pPr>
      <w:r>
        <w:rPr>
          <w:rFonts w:ascii="Times New Roman" w:hAnsi="Times New Roman"/>
          <w:sz w:val="20"/>
        </w:rPr>
        <w:t>1.89 </w:t>
      </w:r>
      <w:r>
        <w:rPr>
          <w:rFonts w:ascii="Times New Roman" w:hAnsi="Times New Roman"/>
          <w:b/>
          <w:sz w:val="20"/>
        </w:rPr>
        <w:t>nACh</w:t>
      </w:r>
      <w:r>
        <w:rPr>
          <w:rFonts w:ascii="Times New Roman" w:hAnsi="Times New Roman"/>
          <w:sz w:val="20"/>
        </w:rPr>
        <w:t xml:space="preserve"> means neuronal nicotinic acetylcholine.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1.90 </w:t>
      </w:r>
      <w:r>
        <w:rPr>
          <w:rFonts w:ascii="Times New Roman" w:hAnsi="Times New Roman"/>
          <w:b/>
          <w:sz w:val="20"/>
        </w:rPr>
        <w:t>nACh [***] Compound</w:t>
      </w:r>
      <w:r>
        <w:rPr>
          <w:rFonts w:ascii="Times New Roman" w:hAnsi="Times New Roman"/>
          <w:sz w:val="20"/>
        </w:rPr>
        <w:t xml:space="preserve"> means any compound listed in Schedule 1.90 (nACh [***] Compounds). </w:t>
      </w:r>
    </w:p>
    <w:p>
      <w:pPr>
        <w:pStyle w:val="TextBody"/>
        <w:bidi w:val="0"/>
        <w:spacing w:before="240" w:after="0"/>
        <w:jc w:val="left"/>
        <w:rPr>
          <w:rFonts w:ascii="Times New Roman" w:hAnsi="Times New Roman"/>
          <w:sz w:val="20"/>
        </w:rPr>
      </w:pPr>
      <w:r>
        <w:rPr>
          <w:rFonts w:ascii="Times New Roman" w:hAnsi="Times New Roman"/>
          <w:sz w:val="20"/>
        </w:rPr>
        <w:t>1.91 </w:t>
      </w:r>
      <w:r>
        <w:rPr>
          <w:rFonts w:ascii="Times New Roman" w:hAnsi="Times New Roman"/>
          <w:b/>
          <w:sz w:val="20"/>
        </w:rPr>
        <w:t>nACh A6 Compound</w:t>
      </w:r>
      <w:r>
        <w:rPr>
          <w:rFonts w:ascii="Times New Roman" w:hAnsi="Times New Roman"/>
          <w:sz w:val="20"/>
        </w:rPr>
        <w:t xml:space="preserve"> means any compound listed in Schedule 1.91 (nACh A6 Compounds). </w:t>
      </w:r>
    </w:p>
    <w:p>
      <w:pPr>
        <w:pStyle w:val="TextBody"/>
        <w:bidi w:val="0"/>
        <w:spacing w:before="240" w:after="0"/>
        <w:jc w:val="left"/>
        <w:rPr>
          <w:rFonts w:ascii="Times New Roman" w:hAnsi="Times New Roman"/>
          <w:sz w:val="20"/>
        </w:rPr>
      </w:pPr>
      <w:r>
        <w:rPr>
          <w:rFonts w:ascii="Times New Roman" w:hAnsi="Times New Roman"/>
          <w:sz w:val="20"/>
        </w:rPr>
        <w:t>1.92 </w:t>
      </w:r>
      <w:r>
        <w:rPr>
          <w:rFonts w:ascii="Times New Roman" w:hAnsi="Times New Roman"/>
          <w:b/>
          <w:sz w:val="20"/>
        </w:rPr>
        <w:t>nACh A9 Compound</w:t>
      </w:r>
      <w:r>
        <w:rPr>
          <w:rFonts w:ascii="Times New Roman" w:hAnsi="Times New Roman"/>
          <w:sz w:val="20"/>
        </w:rPr>
        <w:t xml:space="preserve"> means any compound listed in Schedule 1.92 (nACh A9 Compounds). </w:t>
      </w:r>
    </w:p>
    <w:p>
      <w:pPr>
        <w:pStyle w:val="TextBody"/>
        <w:bidi w:val="0"/>
        <w:spacing w:before="240" w:after="0"/>
        <w:jc w:val="left"/>
        <w:rPr>
          <w:rFonts w:ascii="Times New Roman" w:hAnsi="Times New Roman"/>
          <w:sz w:val="20"/>
        </w:rPr>
      </w:pPr>
      <w:r>
        <w:rPr>
          <w:rFonts w:ascii="Times New Roman" w:hAnsi="Times New Roman"/>
          <w:sz w:val="20"/>
        </w:rPr>
        <w:t>1.93 </w:t>
      </w:r>
      <w:r>
        <w:rPr>
          <w:rFonts w:ascii="Times New Roman" w:hAnsi="Times New Roman"/>
          <w:b/>
          <w:sz w:val="20"/>
        </w:rPr>
        <w:t>nACh Compound</w:t>
      </w:r>
      <w:r>
        <w:rPr>
          <w:rFonts w:ascii="Times New Roman" w:hAnsi="Times New Roman"/>
          <w:sz w:val="20"/>
        </w:rPr>
        <w:t xml:space="preserve"> means any Scheduled nACh Compound or Joint nACh Compound. </w:t>
      </w:r>
    </w:p>
    <w:p>
      <w:pPr>
        <w:pStyle w:val="TextBody"/>
        <w:bidi w:val="0"/>
        <w:spacing w:before="240" w:after="0"/>
        <w:jc w:val="left"/>
        <w:rPr>
          <w:rFonts w:ascii="Times New Roman" w:hAnsi="Times New Roman"/>
          <w:sz w:val="20"/>
        </w:rPr>
      </w:pPr>
      <w:r>
        <w:rPr>
          <w:rFonts w:ascii="Times New Roman" w:hAnsi="Times New Roman"/>
          <w:sz w:val="20"/>
        </w:rPr>
        <w:t>1.94 </w:t>
      </w:r>
      <w:r>
        <w:rPr>
          <w:rFonts w:ascii="Times New Roman" w:hAnsi="Times New Roman"/>
          <w:b/>
          <w:sz w:val="20"/>
        </w:rPr>
        <w:t>nACh Product</w:t>
      </w:r>
      <w:r>
        <w:rPr>
          <w:rFonts w:ascii="Times New Roman" w:hAnsi="Times New Roman"/>
          <w:sz w:val="20"/>
        </w:rPr>
        <w:t xml:space="preserve"> means any Scheduled nACh Product or Joint nACh Product. </w:t>
      </w:r>
    </w:p>
    <w:p>
      <w:pPr>
        <w:pStyle w:val="TextBody"/>
        <w:bidi w:val="0"/>
        <w:spacing w:before="240" w:after="0"/>
        <w:jc w:val="left"/>
        <w:rPr>
          <w:rFonts w:ascii="Times New Roman" w:hAnsi="Times New Roman"/>
          <w:sz w:val="20"/>
        </w:rPr>
      </w:pPr>
      <w:r>
        <w:rPr>
          <w:rFonts w:ascii="Times New Roman" w:hAnsi="Times New Roman"/>
          <w:sz w:val="20"/>
        </w:rPr>
        <w:t>1.95 </w:t>
      </w:r>
      <w:r>
        <w:rPr>
          <w:rFonts w:ascii="Times New Roman" w:hAnsi="Times New Roman"/>
          <w:b/>
          <w:sz w:val="20"/>
        </w:rPr>
        <w:t>nACh Receptor</w:t>
      </w:r>
      <w:r>
        <w:rPr>
          <w:rFonts w:ascii="Times New Roman" w:hAnsi="Times New Roman"/>
          <w:sz w:val="20"/>
        </w:rPr>
        <w:t xml:space="preserve"> means any [***] Receptor, A6 Receptor or A9 Receptor. </w:t>
      </w:r>
    </w:p>
    <w:p>
      <w:pPr>
        <w:pStyle w:val="TextBody"/>
        <w:bidi w:val="0"/>
        <w:spacing w:before="240" w:after="0"/>
        <w:jc w:val="left"/>
        <w:rPr>
          <w:rFonts w:ascii="Times New Roman" w:hAnsi="Times New Roman"/>
          <w:sz w:val="20"/>
        </w:rPr>
      </w:pPr>
      <w:r>
        <w:rPr>
          <w:rFonts w:ascii="Times New Roman" w:hAnsi="Times New Roman"/>
          <w:sz w:val="20"/>
        </w:rPr>
        <w:t>1.96 </w:t>
      </w:r>
      <w:r>
        <w:rPr>
          <w:rFonts w:ascii="Times New Roman" w:hAnsi="Times New Roman"/>
          <w:b/>
          <w:sz w:val="20"/>
        </w:rPr>
        <w:t>nACh Transfer Period</w:t>
      </w:r>
      <w:r>
        <w:rPr>
          <w:rFonts w:ascii="Times New Roman" w:hAnsi="Times New Roman"/>
          <w:sz w:val="20"/>
        </w:rPr>
        <w:t xml:space="preserve"> is defined in Section 3.1.2 (Transfer of nACh Know-How). </w:t>
      </w:r>
    </w:p>
    <w:p>
      <w:pPr>
        <w:pStyle w:val="TextBody"/>
        <w:bidi w:val="0"/>
        <w:spacing w:before="240" w:after="0"/>
        <w:jc w:val="left"/>
        <w:rPr>
          <w:rFonts w:ascii="Times New Roman" w:hAnsi="Times New Roman"/>
          <w:sz w:val="20"/>
        </w:rPr>
      </w:pPr>
      <w:r>
        <w:rPr>
          <w:rFonts w:ascii="Times New Roman" w:hAnsi="Times New Roman"/>
          <w:sz w:val="20"/>
        </w:rPr>
        <w:t>1.97 </w:t>
      </w:r>
      <w:r>
        <w:rPr>
          <w:rFonts w:ascii="Times New Roman" w:hAnsi="Times New Roman"/>
          <w:b/>
          <w:sz w:val="20"/>
        </w:rPr>
        <w:t>NDA</w:t>
      </w:r>
      <w:r>
        <w:rPr>
          <w:rFonts w:ascii="Times New Roman" w:hAnsi="Times New Roman"/>
          <w:sz w:val="20"/>
        </w:rPr>
        <w:t xml:space="preserve"> is defined in Section 1.40 (Drug Approval Application). </w:t>
      </w:r>
    </w:p>
    <w:p>
      <w:pPr>
        <w:pStyle w:val="TextBody"/>
        <w:bidi w:val="0"/>
        <w:spacing w:before="240" w:after="0"/>
        <w:jc w:val="left"/>
        <w:rPr>
          <w:rFonts w:ascii="Times New Roman" w:hAnsi="Times New Roman"/>
          <w:sz w:val="20"/>
        </w:rPr>
      </w:pPr>
      <w:r>
        <w:rPr>
          <w:rFonts w:ascii="Times New Roman" w:hAnsi="Times New Roman"/>
          <w:sz w:val="20"/>
        </w:rPr>
        <w:t>1.98 </w:t>
      </w:r>
      <w:r>
        <w:rPr>
          <w:rFonts w:ascii="Times New Roman" w:hAnsi="Times New Roman"/>
          <w:b/>
          <w:sz w:val="20"/>
        </w:rPr>
        <w:t>Net Sales</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1.99 </w:t>
      </w:r>
      <w:r>
        <w:rPr>
          <w:rFonts w:ascii="Times New Roman" w:hAnsi="Times New Roman"/>
          <w:b/>
          <w:sz w:val="20"/>
        </w:rPr>
        <w:t>Neuroscience Indication</w:t>
      </w:r>
      <w:r>
        <w:rPr>
          <w:rFonts w:ascii="Times New Roman" w:hAnsi="Times New Roman"/>
          <w:sz w:val="20"/>
        </w:rPr>
        <w:t xml:space="preserve"> means the diagnosis, treatment, prophylaxis or palliation of (a) any disease or condition in neurology [***]. </w:t>
      </w:r>
    </w:p>
    <w:p>
      <w:pPr>
        <w:pStyle w:val="TextBody"/>
        <w:bidi w:val="0"/>
        <w:spacing w:before="240" w:after="0"/>
        <w:jc w:val="left"/>
        <w:rPr>
          <w:rFonts w:ascii="Times New Roman" w:hAnsi="Times New Roman"/>
          <w:sz w:val="20"/>
        </w:rPr>
      </w:pPr>
      <w:r>
        <w:rPr>
          <w:rFonts w:ascii="Times New Roman" w:hAnsi="Times New Roman"/>
          <w:sz w:val="20"/>
        </w:rPr>
        <w:t>1.100 </w:t>
      </w:r>
      <w:r>
        <w:rPr>
          <w:rFonts w:ascii="Times New Roman" w:hAnsi="Times New Roman"/>
          <w:b/>
          <w:sz w:val="20"/>
        </w:rPr>
        <w:t>Non-breaching Party</w:t>
      </w:r>
      <w:r>
        <w:rPr>
          <w:rFonts w:ascii="Times New Roman" w:hAnsi="Times New Roman"/>
          <w:sz w:val="20"/>
        </w:rPr>
        <w:t xml:space="preserve"> is defined in Section 11.3 (Termination for Material Breach). </w:t>
      </w:r>
    </w:p>
    <w:p>
      <w:pPr>
        <w:pStyle w:val="TextBody"/>
        <w:bidi w:val="0"/>
        <w:spacing w:before="240" w:after="0"/>
        <w:jc w:val="left"/>
        <w:rPr>
          <w:rFonts w:ascii="Times New Roman" w:hAnsi="Times New Roman"/>
          <w:sz w:val="20"/>
        </w:rPr>
      </w:pPr>
      <w:r>
        <w:rPr>
          <w:rFonts w:ascii="Times New Roman" w:hAnsi="Times New Roman"/>
          <w:sz w:val="20"/>
        </w:rPr>
        <w:t>1.101 </w:t>
      </w:r>
      <w:r>
        <w:rPr>
          <w:rFonts w:ascii="Times New Roman" w:hAnsi="Times New Roman"/>
          <w:b/>
          <w:sz w:val="20"/>
        </w:rPr>
        <w:t>Option Exercise Date</w:t>
      </w:r>
      <w:r>
        <w:rPr>
          <w:rFonts w:ascii="Times New Roman" w:hAnsi="Times New Roman"/>
          <w:sz w:val="20"/>
        </w:rPr>
        <w:t xml:space="preserve"> is defined in Section 2.2.3 (Option Exercise). </w:t>
      </w:r>
    </w:p>
    <w:p>
      <w:pPr>
        <w:pStyle w:val="TextBody"/>
        <w:bidi w:val="0"/>
        <w:spacing w:before="240" w:after="0"/>
        <w:jc w:val="left"/>
        <w:rPr>
          <w:rFonts w:ascii="Times New Roman" w:hAnsi="Times New Roman"/>
          <w:sz w:val="20"/>
        </w:rPr>
      </w:pPr>
      <w:r>
        <w:rPr>
          <w:rFonts w:ascii="Times New Roman" w:hAnsi="Times New Roman"/>
          <w:sz w:val="20"/>
        </w:rPr>
        <w:t>1.102 </w:t>
      </w:r>
      <w:r>
        <w:rPr>
          <w:rFonts w:ascii="Times New Roman" w:hAnsi="Times New Roman"/>
          <w:b/>
          <w:sz w:val="20"/>
        </w:rPr>
        <w:t>Option Exercise Notice</w:t>
      </w:r>
      <w:r>
        <w:rPr>
          <w:rFonts w:ascii="Times New Roman" w:hAnsi="Times New Roman"/>
          <w:sz w:val="20"/>
        </w:rPr>
        <w:t xml:space="preserve"> is defined in Section 2.2.3 (Option Exercise). </w:t>
      </w:r>
    </w:p>
    <w:p>
      <w:pPr>
        <w:pStyle w:val="TextBody"/>
        <w:bidi w:val="0"/>
        <w:spacing w:before="240" w:after="0"/>
        <w:jc w:val="left"/>
        <w:rPr>
          <w:rFonts w:ascii="Times New Roman" w:hAnsi="Times New Roman"/>
          <w:sz w:val="20"/>
        </w:rPr>
      </w:pPr>
      <w:r>
        <w:rPr>
          <w:rFonts w:ascii="Times New Roman" w:hAnsi="Times New Roman"/>
          <w:sz w:val="20"/>
        </w:rPr>
        <w:t>1.103 </w:t>
      </w:r>
      <w:r>
        <w:rPr>
          <w:rFonts w:ascii="Times New Roman" w:hAnsi="Times New Roman"/>
          <w:b/>
          <w:sz w:val="20"/>
        </w:rPr>
        <w:t>Option Fee</w:t>
      </w:r>
      <w:r>
        <w:rPr>
          <w:rFonts w:ascii="Times New Roman" w:hAnsi="Times New Roman"/>
          <w:sz w:val="20"/>
        </w:rPr>
        <w:t xml:space="preserve"> is defined in Section 6.2 (Option Fee). </w:t>
      </w:r>
    </w:p>
    <w:p>
      <w:pPr>
        <w:pStyle w:val="TextBody"/>
        <w:bidi w:val="0"/>
        <w:spacing w:before="240" w:after="0"/>
        <w:jc w:val="left"/>
        <w:rPr>
          <w:rFonts w:ascii="Times New Roman" w:hAnsi="Times New Roman"/>
          <w:sz w:val="20"/>
        </w:rPr>
      </w:pPr>
      <w:r>
        <w:rPr>
          <w:rFonts w:ascii="Times New Roman" w:hAnsi="Times New Roman"/>
          <w:sz w:val="20"/>
        </w:rPr>
        <w:t>1.104 </w:t>
      </w:r>
      <w:r>
        <w:rPr>
          <w:rFonts w:ascii="Times New Roman" w:hAnsi="Times New Roman"/>
          <w:b/>
          <w:sz w:val="20"/>
        </w:rPr>
        <w:t>Option Period</w:t>
      </w:r>
      <w:r>
        <w:rPr>
          <w:rFonts w:ascii="Times New Roman" w:hAnsi="Times New Roman"/>
          <w:sz w:val="20"/>
        </w:rPr>
        <w:t xml:space="preserve"> is defined in Section 2.2.2 (Option Period). </w:t>
      </w:r>
    </w:p>
    <w:p>
      <w:pPr>
        <w:pStyle w:val="TextBody"/>
        <w:bidi w:val="0"/>
        <w:spacing w:before="240" w:after="0"/>
        <w:jc w:val="left"/>
        <w:rPr>
          <w:rFonts w:ascii="Times New Roman" w:hAnsi="Times New Roman"/>
          <w:sz w:val="20"/>
        </w:rPr>
      </w:pPr>
      <w:r>
        <w:rPr>
          <w:rFonts w:ascii="Times New Roman" w:hAnsi="Times New Roman"/>
          <w:sz w:val="20"/>
        </w:rPr>
        <w:t>1.105 </w:t>
      </w:r>
      <w:r>
        <w:rPr>
          <w:rFonts w:ascii="Times New Roman" w:hAnsi="Times New Roman"/>
          <w:b/>
          <w:sz w:val="20"/>
        </w:rPr>
        <w:t>Patent</w:t>
      </w:r>
      <w:r>
        <w:rPr>
          <w:rFonts w:ascii="Times New Roman" w:hAnsi="Times New Roman"/>
          <w:sz w:val="20"/>
        </w:rPr>
        <w:t xml:space="preserve"> means any national, regional or international patent or patent application, including any provisional application, priority application, division, continuation, continuation-in-part, addition, re-issue, renewal, extension, substitution, re-examination or restoration, registration or revalidation, or any supplementary protection certificate or equivalent to any of the foregoing in any country. </w:t>
      </w:r>
    </w:p>
    <w:p>
      <w:pPr>
        <w:pStyle w:val="TextBody"/>
        <w:bidi w:val="0"/>
        <w:spacing w:before="240" w:after="0"/>
        <w:jc w:val="left"/>
        <w:rPr>
          <w:rFonts w:ascii="Times New Roman" w:hAnsi="Times New Roman"/>
          <w:sz w:val="20"/>
        </w:rPr>
      </w:pPr>
      <w:r>
        <w:rPr>
          <w:rFonts w:ascii="Times New Roman" w:hAnsi="Times New Roman"/>
          <w:sz w:val="20"/>
        </w:rPr>
        <w:t>1.106 </w:t>
      </w:r>
      <w:r>
        <w:rPr>
          <w:rFonts w:ascii="Times New Roman" w:hAnsi="Times New Roman"/>
          <w:b/>
          <w:sz w:val="20"/>
        </w:rPr>
        <w:t>Patent Proceeding</w:t>
      </w:r>
      <w:r>
        <w:rPr>
          <w:rFonts w:ascii="Times New Roman" w:hAnsi="Times New Roman"/>
          <w:sz w:val="20"/>
        </w:rPr>
        <w:t xml:space="preserve"> means any opposition, re-issue or re-examination, or any contested case, including inter partes review, post-grant review, interference, derivation or similar proceeding. </w:t>
      </w:r>
    </w:p>
    <w:p>
      <w:pPr>
        <w:pStyle w:val="TextBody"/>
        <w:bidi w:val="0"/>
        <w:spacing w:before="240" w:after="0"/>
        <w:jc w:val="left"/>
        <w:rPr>
          <w:rFonts w:ascii="Times New Roman" w:hAnsi="Times New Roman"/>
          <w:sz w:val="20"/>
        </w:rPr>
      </w:pPr>
      <w:r>
        <w:rPr>
          <w:rFonts w:ascii="Times New Roman" w:hAnsi="Times New Roman"/>
          <w:sz w:val="20"/>
        </w:rPr>
        <w:t>1.107 </w:t>
      </w:r>
      <w:r>
        <w:rPr>
          <w:rFonts w:ascii="Times New Roman" w:hAnsi="Times New Roman"/>
          <w:b/>
          <w:sz w:val="20"/>
        </w:rPr>
        <w:t>Person</w:t>
      </w:r>
      <w:r>
        <w:rPr>
          <w:rFonts w:ascii="Times New Roman" w:hAnsi="Times New Roman"/>
          <w:sz w:val="20"/>
        </w:rPr>
        <w:t xml:space="preserve">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Governmental Authority or political subdivision, department or agency of a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1.108 [***] </w:t>
      </w:r>
    </w:p>
    <w:p>
      <w:pPr>
        <w:pStyle w:val="TextBody"/>
        <w:bidi w:val="0"/>
        <w:spacing w:before="240" w:after="0"/>
        <w:jc w:val="left"/>
        <w:rPr>
          <w:rFonts w:ascii="Times New Roman" w:hAnsi="Times New Roman"/>
          <w:sz w:val="20"/>
        </w:rPr>
      </w:pPr>
      <w:r>
        <w:rPr>
          <w:rFonts w:ascii="Times New Roman" w:hAnsi="Times New Roman"/>
          <w:sz w:val="20"/>
        </w:rPr>
        <w:t>1.109 </w:t>
      </w:r>
      <w:r>
        <w:rPr>
          <w:rFonts w:ascii="Times New Roman" w:hAnsi="Times New Roman"/>
          <w:b/>
          <w:sz w:val="20"/>
        </w:rPr>
        <w:t>Phase 2/3 Clinical Trial</w:t>
      </w:r>
      <w:r>
        <w:rPr>
          <w:rFonts w:ascii="Times New Roman" w:hAnsi="Times New Roman"/>
          <w:sz w:val="20"/>
        </w:rPr>
        <w:t xml:space="preserve"> means either: </w:t>
      </w:r>
    </w:p>
    <w:p>
      <w:pPr>
        <w:pStyle w:val="TextBody"/>
        <w:bidi w:val="0"/>
        <w:spacing w:before="120" w:after="0"/>
        <w:jc w:val="left"/>
        <w:rPr>
          <w:rFonts w:ascii="Times New Roman" w:hAnsi="Times New Roman"/>
          <w:sz w:val="20"/>
        </w:rPr>
      </w:pPr>
      <w:r>
        <w:rPr>
          <w:rFonts w:ascii="Times New Roman" w:hAnsi="Times New Roman"/>
          <w:sz w:val="20"/>
        </w:rPr>
        <w:t xml:space="preserve">(a) [***]; or </w:t>
      </w:r>
    </w:p>
    <w:p>
      <w:pPr>
        <w:pStyle w:val="TextBody"/>
        <w:bidi w:val="0"/>
        <w:spacing w:before="240" w:after="0"/>
        <w:jc w:val="left"/>
        <w:rPr>
          <w:rFonts w:ascii="Times New Roman" w:hAnsi="Times New Roman"/>
          <w:sz w:val="20"/>
        </w:rPr>
      </w:pPr>
      <w:r>
        <w:rPr>
          <w:rFonts w:ascii="Times New Roman" w:hAnsi="Times New Roman"/>
          <w:sz w:val="20"/>
        </w:rPr>
        <w:t xml:space="preserve">(b) [***]. </w:t>
      </w:r>
    </w:p>
    <w:p>
      <w:pPr>
        <w:pStyle w:val="TextBody"/>
        <w:bidi w:val="0"/>
        <w:spacing w:before="240" w:after="0"/>
        <w:jc w:val="left"/>
        <w:rPr>
          <w:rFonts w:ascii="Times New Roman" w:hAnsi="Times New Roman"/>
          <w:sz w:val="20"/>
        </w:rPr>
      </w:pPr>
      <w:r>
        <w:rPr>
          <w:rFonts w:ascii="Times New Roman" w:hAnsi="Times New Roman"/>
          <w:sz w:val="20"/>
        </w:rPr>
        <w:t>1.110 </w:t>
      </w:r>
      <w:r>
        <w:rPr>
          <w:rFonts w:ascii="Times New Roman" w:hAnsi="Times New Roman"/>
          <w:b/>
          <w:sz w:val="20"/>
        </w:rPr>
        <w:t>Phase 3 Clinical Trial</w:t>
      </w:r>
      <w:r>
        <w:rPr>
          <w:rFonts w:ascii="Times New Roman" w:hAnsi="Times New Roman"/>
          <w:sz w:val="20"/>
        </w:rPr>
        <w:t xml:space="preserve"> means a clinical trial generally consistent with 21 CFR §312.21(c) that [***]. </w:t>
      </w:r>
    </w:p>
    <w:p>
      <w:pPr>
        <w:pStyle w:val="TextBody"/>
        <w:bidi w:val="0"/>
        <w:spacing w:before="240" w:after="0"/>
        <w:jc w:val="left"/>
        <w:rPr>
          <w:rFonts w:ascii="Times New Roman" w:hAnsi="Times New Roman"/>
          <w:sz w:val="20"/>
        </w:rPr>
      </w:pPr>
      <w:r>
        <w:rPr>
          <w:rFonts w:ascii="Times New Roman" w:hAnsi="Times New Roman"/>
          <w:sz w:val="20"/>
        </w:rPr>
        <w:t>1.111 </w:t>
      </w:r>
      <w:r>
        <w:rPr>
          <w:rFonts w:ascii="Times New Roman" w:hAnsi="Times New Roman"/>
          <w:b/>
          <w:sz w:val="20"/>
        </w:rPr>
        <w:t>Primary TARP8 Patent</w:t>
      </w:r>
      <w:r>
        <w:rPr>
          <w:rFonts w:ascii="Times New Roman" w:hAnsi="Times New Roman"/>
          <w:sz w:val="20"/>
        </w:rPr>
        <w:t xml:space="preserve"> means (a) any Scheduled TARP8 Patent other than a Janssen Reserved TARP8 Patent or (b) any Janssen Reserved TARP8 Patent assigned to Licensee pursuant to Section 7.2.4.2 (Assignment to Licensee). </w:t>
      </w:r>
    </w:p>
    <w:p>
      <w:pPr>
        <w:pStyle w:val="TextBody"/>
        <w:bidi w:val="0"/>
        <w:spacing w:before="240" w:after="0"/>
        <w:jc w:val="left"/>
        <w:rPr>
          <w:rFonts w:ascii="Times New Roman" w:hAnsi="Times New Roman"/>
          <w:sz w:val="20"/>
        </w:rPr>
      </w:pPr>
      <w:r>
        <w:rPr>
          <w:rFonts w:ascii="Times New Roman" w:hAnsi="Times New Roman"/>
          <w:sz w:val="20"/>
        </w:rPr>
        <w:t>1.112 </w:t>
      </w:r>
      <w:r>
        <w:rPr>
          <w:rFonts w:ascii="Times New Roman" w:hAnsi="Times New Roman"/>
          <w:b/>
          <w:sz w:val="20"/>
        </w:rPr>
        <w:t>Product</w:t>
      </w:r>
      <w:r>
        <w:rPr>
          <w:rFonts w:ascii="Times New Roman" w:hAnsi="Times New Roman"/>
          <w:sz w:val="20"/>
        </w:rPr>
        <w:t xml:space="preserve"> means (a) any TARP8 Product or (b) any nACh Product. </w:t>
      </w:r>
    </w:p>
    <w:p>
      <w:pPr>
        <w:pStyle w:val="TextBody"/>
        <w:bidi w:val="0"/>
        <w:spacing w:before="240" w:after="0"/>
        <w:jc w:val="left"/>
        <w:rPr>
          <w:rFonts w:ascii="Times New Roman" w:hAnsi="Times New Roman"/>
          <w:sz w:val="20"/>
        </w:rPr>
      </w:pPr>
      <w:r>
        <w:rPr>
          <w:rFonts w:ascii="Times New Roman" w:hAnsi="Times New Roman"/>
          <w:sz w:val="20"/>
        </w:rPr>
        <w:t>1.113 </w:t>
      </w:r>
      <w:r>
        <w:rPr>
          <w:rFonts w:ascii="Times New Roman" w:hAnsi="Times New Roman"/>
          <w:b/>
          <w:sz w:val="20"/>
        </w:rPr>
        <w:t>Receiving Party</w:t>
      </w:r>
      <w:r>
        <w:rPr>
          <w:rFonts w:ascii="Times New Roman" w:hAnsi="Times New Roman"/>
          <w:sz w:val="20"/>
        </w:rPr>
        <w:t xml:space="preserve"> is defined in Section 8.1 (Nondisclosure and Non-Use Obligations). </w:t>
      </w:r>
    </w:p>
    <w:p>
      <w:pPr>
        <w:pStyle w:val="TextBody"/>
        <w:bidi w:val="0"/>
        <w:spacing w:before="240" w:after="0"/>
        <w:jc w:val="left"/>
        <w:rPr>
          <w:rFonts w:ascii="Times New Roman" w:hAnsi="Times New Roman"/>
          <w:sz w:val="20"/>
        </w:rPr>
      </w:pPr>
      <w:r>
        <w:rPr>
          <w:rFonts w:ascii="Times New Roman" w:hAnsi="Times New Roman"/>
          <w:sz w:val="20"/>
        </w:rPr>
        <w:t>1.114 </w:t>
      </w:r>
      <w:r>
        <w:rPr>
          <w:rFonts w:ascii="Times New Roman" w:hAnsi="Times New Roman"/>
          <w:b/>
          <w:sz w:val="20"/>
        </w:rPr>
        <w:t>Regulatory Approval</w:t>
      </w:r>
      <w:r>
        <w:rPr>
          <w:rFonts w:ascii="Times New Roman" w:hAnsi="Times New Roman"/>
          <w:sz w:val="20"/>
        </w:rPr>
        <w:t xml:space="preserve"> means Marketing Approval, together with the grant of any and all approvals (including supplements, amendments, pre- and post-approvals, pricing and reimbursement approvals), licenses, registrations or authorizations of any national, supra-national (e.g., the European Commission or the Council of the European Union), regional, state or local regulatory agency, department, bureau, commission, council or other governmental entity, that are necessary for the manufacture, distribution, use and sale of a Product in a regulatory jurisdiction. </w:t>
      </w:r>
    </w:p>
    <w:p>
      <w:pPr>
        <w:pStyle w:val="TextBody"/>
        <w:bidi w:val="0"/>
        <w:spacing w:before="240" w:after="0"/>
        <w:jc w:val="left"/>
        <w:rPr>
          <w:rFonts w:ascii="Times New Roman" w:hAnsi="Times New Roman"/>
          <w:sz w:val="20"/>
        </w:rPr>
      </w:pPr>
      <w:r>
        <w:rPr>
          <w:rFonts w:ascii="Times New Roman" w:hAnsi="Times New Roman"/>
          <w:sz w:val="20"/>
        </w:rPr>
        <w:t>1.115 </w:t>
      </w:r>
      <w:r>
        <w:rPr>
          <w:rFonts w:ascii="Times New Roman" w:hAnsi="Times New Roman"/>
          <w:b/>
          <w:sz w:val="20"/>
        </w:rPr>
        <w:t>Regulatory Authority</w:t>
      </w:r>
      <w:r>
        <w:rPr>
          <w:rFonts w:ascii="Times New Roman" w:hAnsi="Times New Roman"/>
          <w:sz w:val="20"/>
        </w:rPr>
        <w:t xml:space="preserve"> means any applicable Governmental Authority involved in granting Regulatory Approval in the Territory, including the FDA, EMA and European Commission. </w:t>
      </w:r>
    </w:p>
    <w:p>
      <w:pPr>
        <w:pStyle w:val="TextBody"/>
        <w:bidi w:val="0"/>
        <w:spacing w:before="240" w:after="0"/>
        <w:jc w:val="left"/>
        <w:rPr>
          <w:rFonts w:ascii="Times New Roman" w:hAnsi="Times New Roman"/>
          <w:sz w:val="20"/>
        </w:rPr>
      </w:pPr>
      <w:r>
        <w:rPr>
          <w:rFonts w:ascii="Times New Roman" w:hAnsi="Times New Roman"/>
          <w:sz w:val="20"/>
        </w:rPr>
        <w:t>1.116 </w:t>
      </w:r>
      <w:r>
        <w:rPr>
          <w:rFonts w:ascii="Times New Roman" w:hAnsi="Times New Roman"/>
          <w:b/>
          <w:sz w:val="20"/>
        </w:rPr>
        <w:t>Regulatory Exclusivity</w:t>
      </w:r>
      <w:r>
        <w:rPr>
          <w:rFonts w:ascii="Times New Roman" w:hAnsi="Times New Roman"/>
          <w:sz w:val="20"/>
        </w:rPr>
        <w:t xml:space="preserve"> means any exclusivity marketing rights, new chemical entity protection, data protection or other exclusivity rights conferred by any Regulatory Authority with respect to a pharmaceutical product that prevent such Regulatory Authority from granting any Regulatory Approval of a Third Party product that has a composition that is the same as or substantially identical to the composition of such pharmaceutical product, including orphan drug exclusivity, pediatric exclusivity, rights conferred in the United States under Section 351 of the Public Health Service Act, 42 U.S.C 262, the Drug the Drug Price Competition and Patent Term Restoration Act (21 U.S.C. § 355), the PPACA or in the EU under Directive 2001/83/EC and Regulation (EC) No. 1901/2006 or rights similar thereto in other countries or regulatory jurisdictions. </w:t>
      </w:r>
    </w:p>
    <w:p>
      <w:pPr>
        <w:pStyle w:val="TextBody"/>
        <w:bidi w:val="0"/>
        <w:spacing w:before="240" w:after="0"/>
        <w:jc w:val="left"/>
        <w:rPr>
          <w:rFonts w:ascii="Times New Roman" w:hAnsi="Times New Roman"/>
          <w:sz w:val="20"/>
        </w:rPr>
      </w:pPr>
      <w:r>
        <w:rPr>
          <w:rFonts w:ascii="Times New Roman" w:hAnsi="Times New Roman"/>
          <w:sz w:val="20"/>
        </w:rPr>
        <w:t>1.117 </w:t>
      </w:r>
      <w:r>
        <w:rPr>
          <w:rFonts w:ascii="Times New Roman" w:hAnsi="Times New Roman"/>
          <w:b/>
          <w:sz w:val="20"/>
        </w:rPr>
        <w:t>Research</w:t>
      </w:r>
      <w:r>
        <w:rPr>
          <w:rFonts w:ascii="Times New Roman" w:hAnsi="Times New Roman"/>
          <w:sz w:val="20"/>
        </w:rPr>
        <w:t xml:space="preserve"> means all activities relating to discovery, identification and initial optimization and characterization of therapeutic molecules or compounds before initiation of any GLP study. Research may include chemistry, pharmacology, toxicology, ADME, preliminarily performed in relation to discovery and identification activities. </w:t>
      </w:r>
    </w:p>
    <w:p>
      <w:pPr>
        <w:pStyle w:val="TextBody"/>
        <w:bidi w:val="0"/>
        <w:spacing w:before="240" w:after="0"/>
        <w:jc w:val="left"/>
        <w:rPr>
          <w:rFonts w:ascii="Times New Roman" w:hAnsi="Times New Roman"/>
          <w:sz w:val="20"/>
        </w:rPr>
      </w:pPr>
      <w:r>
        <w:rPr>
          <w:rFonts w:ascii="Times New Roman" w:hAnsi="Times New Roman"/>
          <w:sz w:val="20"/>
        </w:rPr>
        <w:t>1.118 </w:t>
      </w:r>
      <w:r>
        <w:rPr>
          <w:rFonts w:ascii="Times New Roman" w:hAnsi="Times New Roman"/>
          <w:b/>
          <w:sz w:val="20"/>
        </w:rPr>
        <w:t>Royalty Term</w:t>
      </w:r>
      <w:r>
        <w:rPr>
          <w:rFonts w:ascii="Times New Roman" w:hAnsi="Times New Roman"/>
          <w:sz w:val="20"/>
        </w:rPr>
        <w:t xml:space="preserve"> is defined in Section 6.4.2 (Royalty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1.119 </w:t>
      </w:r>
      <w:r>
        <w:rPr>
          <w:rFonts w:ascii="Times New Roman" w:hAnsi="Times New Roman"/>
          <w:b/>
          <w:sz w:val="20"/>
        </w:rPr>
        <w:t>Scheduled nACh Compound</w:t>
      </w:r>
      <w:r>
        <w:rPr>
          <w:rFonts w:ascii="Times New Roman" w:hAnsi="Times New Roman"/>
          <w:sz w:val="20"/>
        </w:rPr>
        <w:t xml:space="preserve"> means any nACh [***] Compound, nACh A6 Compound or nACh A9 Compound. </w:t>
      </w:r>
    </w:p>
    <w:p>
      <w:pPr>
        <w:pStyle w:val="TextBody"/>
        <w:bidi w:val="0"/>
        <w:spacing w:before="240" w:after="0"/>
        <w:jc w:val="left"/>
        <w:rPr>
          <w:rFonts w:ascii="Times New Roman" w:hAnsi="Times New Roman"/>
          <w:sz w:val="20"/>
        </w:rPr>
      </w:pPr>
      <w:r>
        <w:rPr>
          <w:rFonts w:ascii="Times New Roman" w:hAnsi="Times New Roman"/>
          <w:sz w:val="20"/>
        </w:rPr>
        <w:t>1.120 </w:t>
      </w:r>
      <w:r>
        <w:rPr>
          <w:rFonts w:ascii="Times New Roman" w:hAnsi="Times New Roman"/>
          <w:b/>
          <w:sz w:val="20"/>
        </w:rPr>
        <w:t>Scheduled nACh Product</w:t>
      </w:r>
      <w:r>
        <w:rPr>
          <w:rFonts w:ascii="Times New Roman" w:hAnsi="Times New Roman"/>
          <w:sz w:val="20"/>
        </w:rPr>
        <w:t xml:space="preserve"> means any product constituting, incorporating, comprising or containing a Scheduled nACh Compound as an active pharmaceutical ingredient in any finished dosage pharmaceutical form, including all formulations, dosage forms and modes of administration thereof. </w:t>
      </w:r>
    </w:p>
    <w:p>
      <w:pPr>
        <w:pStyle w:val="TextBody"/>
        <w:bidi w:val="0"/>
        <w:spacing w:before="240" w:after="0"/>
        <w:jc w:val="left"/>
        <w:rPr>
          <w:rFonts w:ascii="Times New Roman" w:hAnsi="Times New Roman"/>
          <w:sz w:val="20"/>
        </w:rPr>
      </w:pPr>
      <w:r>
        <w:rPr>
          <w:rFonts w:ascii="Times New Roman" w:hAnsi="Times New Roman"/>
          <w:sz w:val="20"/>
        </w:rPr>
        <w:t>1.121 </w:t>
      </w:r>
      <w:r>
        <w:rPr>
          <w:rFonts w:ascii="Times New Roman" w:hAnsi="Times New Roman"/>
          <w:b/>
          <w:sz w:val="20"/>
        </w:rPr>
        <w:t>Scheduled TARP8 Patent</w:t>
      </w:r>
      <w:r>
        <w:rPr>
          <w:rFonts w:ascii="Times New Roman" w:hAnsi="Times New Roman"/>
          <w:sz w:val="20"/>
        </w:rPr>
        <w:t xml:space="preserve"> means (a) any Patent set forth in Schedule 1.121 (Scheduled TARP8 Patents) or (b) any Patent Controlled by Janssen or its Affiliates during the Term claiming common priority with such Patent described in sub-clause (a). </w:t>
      </w:r>
    </w:p>
    <w:p>
      <w:pPr>
        <w:pStyle w:val="TextBody"/>
        <w:bidi w:val="0"/>
        <w:spacing w:before="240" w:after="0"/>
        <w:jc w:val="left"/>
        <w:rPr>
          <w:rFonts w:ascii="Times New Roman" w:hAnsi="Times New Roman"/>
          <w:sz w:val="20"/>
        </w:rPr>
      </w:pPr>
      <w:r>
        <w:rPr>
          <w:rFonts w:ascii="Times New Roman" w:hAnsi="Times New Roman"/>
          <w:sz w:val="20"/>
        </w:rPr>
        <w:t xml:space="preserve">1.122 [***] </w:t>
      </w:r>
    </w:p>
    <w:p>
      <w:pPr>
        <w:pStyle w:val="TextBody"/>
        <w:bidi w:val="0"/>
        <w:spacing w:before="240" w:after="0"/>
        <w:jc w:val="left"/>
        <w:rPr>
          <w:rFonts w:ascii="Times New Roman" w:hAnsi="Times New Roman"/>
          <w:sz w:val="20"/>
        </w:rPr>
      </w:pPr>
      <w:r>
        <w:rPr>
          <w:rFonts w:ascii="Times New Roman" w:hAnsi="Times New Roman"/>
          <w:sz w:val="20"/>
        </w:rPr>
        <w:t>1.123 </w:t>
      </w:r>
      <w:r>
        <w:rPr>
          <w:rFonts w:ascii="Times New Roman" w:hAnsi="Times New Roman"/>
          <w:b/>
          <w:sz w:val="20"/>
        </w:rPr>
        <w:t>Sublicense</w:t>
      </w:r>
      <w:r>
        <w:rPr>
          <w:rFonts w:ascii="Times New Roman" w:hAnsi="Times New Roman"/>
          <w:sz w:val="20"/>
        </w:rPr>
        <w:t xml:space="preserve"> means a license or sublicense to Exploit a Product within one or more countries in the Territory. </w:t>
      </w:r>
    </w:p>
    <w:p>
      <w:pPr>
        <w:pStyle w:val="TextBody"/>
        <w:bidi w:val="0"/>
        <w:spacing w:before="240" w:after="0"/>
        <w:jc w:val="left"/>
        <w:rPr>
          <w:rFonts w:ascii="Times New Roman" w:hAnsi="Times New Roman"/>
          <w:sz w:val="20"/>
        </w:rPr>
      </w:pPr>
      <w:r>
        <w:rPr>
          <w:rFonts w:ascii="Times New Roman" w:hAnsi="Times New Roman"/>
          <w:sz w:val="20"/>
        </w:rPr>
        <w:t>1.124 </w:t>
      </w:r>
      <w:r>
        <w:rPr>
          <w:rFonts w:ascii="Times New Roman" w:hAnsi="Times New Roman"/>
          <w:b/>
          <w:sz w:val="20"/>
        </w:rPr>
        <w:t>Sublicensee</w:t>
      </w:r>
      <w:r>
        <w:rPr>
          <w:rFonts w:ascii="Times New Roman" w:hAnsi="Times New Roman"/>
          <w:sz w:val="20"/>
        </w:rPr>
        <w:t xml:space="preserve"> means (a) any Third Party to which Licensee or its Affiliate grants a Sublicense or (b) another Third Party to which a Third Party described in sub-clause (a) grants a further Sublicense. </w:t>
      </w:r>
    </w:p>
    <w:p>
      <w:pPr>
        <w:pStyle w:val="TextBody"/>
        <w:bidi w:val="0"/>
        <w:spacing w:before="240" w:after="0"/>
        <w:jc w:val="left"/>
        <w:rPr>
          <w:rFonts w:ascii="Times New Roman" w:hAnsi="Times New Roman"/>
          <w:sz w:val="20"/>
        </w:rPr>
      </w:pPr>
      <w:r>
        <w:rPr>
          <w:rFonts w:ascii="Times New Roman" w:hAnsi="Times New Roman"/>
          <w:sz w:val="20"/>
        </w:rPr>
        <w:t>1.125 </w:t>
      </w:r>
      <w:r>
        <w:rPr>
          <w:rFonts w:ascii="Times New Roman" w:hAnsi="Times New Roman"/>
          <w:b/>
          <w:sz w:val="20"/>
        </w:rPr>
        <w:t>Supplemental Application</w:t>
      </w:r>
      <w:r>
        <w:rPr>
          <w:rFonts w:ascii="Times New Roman" w:hAnsi="Times New Roman"/>
          <w:sz w:val="20"/>
        </w:rPr>
        <w:t xml:space="preserve"> is defined in Section 1.40 (Drug Approval Application). </w:t>
      </w:r>
    </w:p>
    <w:p>
      <w:pPr>
        <w:pStyle w:val="TextBody"/>
        <w:bidi w:val="0"/>
        <w:spacing w:before="240" w:after="0"/>
        <w:jc w:val="left"/>
        <w:rPr>
          <w:rFonts w:ascii="Times New Roman" w:hAnsi="Times New Roman"/>
          <w:sz w:val="20"/>
        </w:rPr>
      </w:pPr>
      <w:r>
        <w:rPr>
          <w:rFonts w:ascii="Times New Roman" w:hAnsi="Times New Roman"/>
          <w:sz w:val="20"/>
        </w:rPr>
        <w:t>1.126 </w:t>
      </w:r>
      <w:r>
        <w:rPr>
          <w:rFonts w:ascii="Times New Roman" w:hAnsi="Times New Roman"/>
          <w:b/>
          <w:sz w:val="20"/>
        </w:rPr>
        <w:t>TARP8</w:t>
      </w:r>
      <w:r>
        <w:rPr>
          <w:rFonts w:ascii="Times New Roman" w:hAnsi="Times New Roman"/>
          <w:sz w:val="20"/>
        </w:rPr>
        <w:t> means transmembrane AMPAR regulatory protein-</w:t>
      </w:r>
      <w:r>
        <w:rPr>
          <w:rFonts w:ascii="SYMBOL" w:hAnsi="SYMBOL"/>
          <w:sz w:val="20"/>
        </w:rPr>
        <w:t>g</w:t>
      </w:r>
      <w:r>
        <w:rPr>
          <w:rFonts w:ascii="Times New Roman" w:hAnsi="Times New Roman"/>
          <w:sz w:val="20"/>
        </w:rPr>
        <w:t xml:space="preserve">8. </w:t>
      </w:r>
    </w:p>
    <w:p>
      <w:pPr>
        <w:pStyle w:val="TextBody"/>
        <w:bidi w:val="0"/>
        <w:spacing w:before="240" w:after="0"/>
        <w:jc w:val="left"/>
        <w:rPr>
          <w:rFonts w:ascii="Times New Roman" w:hAnsi="Times New Roman"/>
          <w:sz w:val="20"/>
        </w:rPr>
      </w:pPr>
      <w:r>
        <w:rPr>
          <w:rFonts w:ascii="Times New Roman" w:hAnsi="Times New Roman"/>
          <w:sz w:val="20"/>
        </w:rPr>
        <w:t>1.127 </w:t>
      </w:r>
      <w:r>
        <w:rPr>
          <w:rFonts w:ascii="Times New Roman" w:hAnsi="Times New Roman"/>
          <w:b/>
          <w:sz w:val="20"/>
        </w:rPr>
        <w:t>TARP8 Backup Candidate</w:t>
      </w:r>
      <w:r>
        <w:rPr>
          <w:rFonts w:ascii="Times New Roman" w:hAnsi="Times New Roman"/>
          <w:sz w:val="20"/>
        </w:rPr>
        <w:t xml:space="preserve"> means (a) any compound set forth in Schedule 1.127 (TARP8 Backup Candidates) or (b) any Compound Equivalent thereof. </w:t>
      </w:r>
    </w:p>
    <w:p>
      <w:pPr>
        <w:pStyle w:val="TextBody"/>
        <w:bidi w:val="0"/>
        <w:spacing w:before="240" w:after="0"/>
        <w:jc w:val="left"/>
        <w:rPr>
          <w:rFonts w:ascii="Times New Roman" w:hAnsi="Times New Roman"/>
          <w:sz w:val="20"/>
        </w:rPr>
      </w:pPr>
      <w:r>
        <w:rPr>
          <w:rFonts w:ascii="Times New Roman" w:hAnsi="Times New Roman"/>
          <w:sz w:val="20"/>
        </w:rPr>
        <w:t>1.128 </w:t>
      </w:r>
      <w:r>
        <w:rPr>
          <w:rFonts w:ascii="Times New Roman" w:hAnsi="Times New Roman"/>
          <w:b/>
          <w:sz w:val="20"/>
        </w:rPr>
        <w:t>TARP8 Compound</w:t>
      </w:r>
      <w:r>
        <w:rPr>
          <w:rFonts w:ascii="Times New Roman" w:hAnsi="Times New Roman"/>
          <w:sz w:val="20"/>
        </w:rPr>
        <w:t xml:space="preserve"> means (a) any compound claimed in a Compound Claim of a Primary TARP8 Patent, as such claims were first filed in the United States, or any Compound Equivalent thereof, or (b) any TARP8 Development Candidate. </w:t>
      </w:r>
    </w:p>
    <w:p>
      <w:pPr>
        <w:pStyle w:val="TextBody"/>
        <w:bidi w:val="0"/>
        <w:spacing w:before="240" w:after="0"/>
        <w:jc w:val="left"/>
        <w:rPr>
          <w:rFonts w:ascii="Times New Roman" w:hAnsi="Times New Roman"/>
          <w:sz w:val="20"/>
        </w:rPr>
      </w:pPr>
      <w:r>
        <w:rPr>
          <w:rFonts w:ascii="Times New Roman" w:hAnsi="Times New Roman"/>
          <w:sz w:val="20"/>
        </w:rPr>
        <w:t>1.129 </w:t>
      </w:r>
      <w:r>
        <w:rPr>
          <w:rFonts w:ascii="Times New Roman" w:hAnsi="Times New Roman"/>
          <w:b/>
          <w:sz w:val="20"/>
        </w:rPr>
        <w:t>TARP8 Development Candidate</w:t>
      </w:r>
      <w:r>
        <w:rPr>
          <w:rFonts w:ascii="Times New Roman" w:hAnsi="Times New Roman"/>
          <w:sz w:val="20"/>
        </w:rPr>
        <w:t xml:space="preserve"> means (a) the [***] Lead Candidate, (b) the [***] Lead Candidate or (c) any TARP8 Backup Candidate. </w:t>
      </w:r>
    </w:p>
    <w:p>
      <w:pPr>
        <w:pStyle w:val="TextBody"/>
        <w:bidi w:val="0"/>
        <w:spacing w:before="240" w:after="0"/>
        <w:jc w:val="left"/>
        <w:rPr>
          <w:rFonts w:ascii="Times New Roman" w:hAnsi="Times New Roman"/>
          <w:sz w:val="20"/>
        </w:rPr>
      </w:pPr>
      <w:r>
        <w:rPr>
          <w:rFonts w:ascii="Times New Roman" w:hAnsi="Times New Roman"/>
          <w:sz w:val="20"/>
        </w:rPr>
        <w:t>1.130 </w:t>
      </w:r>
      <w:r>
        <w:rPr>
          <w:rFonts w:ascii="Times New Roman" w:hAnsi="Times New Roman"/>
          <w:b/>
          <w:sz w:val="20"/>
        </w:rPr>
        <w:t>TARP8 Development Candidate Product</w:t>
      </w:r>
      <w:r>
        <w:rPr>
          <w:rFonts w:ascii="Times New Roman" w:hAnsi="Times New Roman"/>
          <w:sz w:val="20"/>
        </w:rPr>
        <w:t xml:space="preserve"> means any TARP8 Product constituting, incorporating, comprising or containing a TARP8 Development Candidate. </w:t>
      </w:r>
    </w:p>
    <w:p>
      <w:pPr>
        <w:pStyle w:val="TextBody"/>
        <w:bidi w:val="0"/>
        <w:spacing w:before="240" w:after="0"/>
        <w:jc w:val="left"/>
        <w:rPr>
          <w:rFonts w:ascii="Times New Roman" w:hAnsi="Times New Roman"/>
          <w:sz w:val="20"/>
        </w:rPr>
      </w:pPr>
      <w:r>
        <w:rPr>
          <w:rFonts w:ascii="Times New Roman" w:hAnsi="Times New Roman"/>
          <w:sz w:val="20"/>
        </w:rPr>
        <w:t>1.131 </w:t>
      </w:r>
      <w:r>
        <w:rPr>
          <w:rFonts w:ascii="Times New Roman" w:hAnsi="Times New Roman"/>
          <w:b/>
          <w:sz w:val="20"/>
        </w:rPr>
        <w:t>TARP8 Option</w:t>
      </w:r>
      <w:r>
        <w:rPr>
          <w:rFonts w:ascii="Times New Roman" w:hAnsi="Times New Roman"/>
          <w:sz w:val="20"/>
        </w:rPr>
        <w:t xml:space="preserve"> is defined in Section 2.2.1 (Option Grant). </w:t>
      </w:r>
    </w:p>
    <w:p>
      <w:pPr>
        <w:pStyle w:val="TextBody"/>
        <w:bidi w:val="0"/>
        <w:spacing w:before="240" w:after="0"/>
        <w:jc w:val="left"/>
        <w:rPr>
          <w:rFonts w:ascii="Times New Roman" w:hAnsi="Times New Roman"/>
          <w:sz w:val="20"/>
        </w:rPr>
      </w:pPr>
      <w:r>
        <w:rPr>
          <w:rFonts w:ascii="Times New Roman" w:hAnsi="Times New Roman"/>
          <w:sz w:val="20"/>
        </w:rPr>
        <w:t>1.132 </w:t>
      </w:r>
      <w:r>
        <w:rPr>
          <w:rFonts w:ascii="Times New Roman" w:hAnsi="Times New Roman"/>
          <w:b/>
          <w:sz w:val="20"/>
        </w:rPr>
        <w:t>TARP8 Product</w:t>
      </w:r>
      <w:r>
        <w:rPr>
          <w:rFonts w:ascii="Times New Roman" w:hAnsi="Times New Roman"/>
          <w:sz w:val="20"/>
        </w:rPr>
        <w:t xml:space="preserve"> means any product constituting, incorporating, comprising or containing a TARP8 Compound as an active pharmaceutical ingredient, in any finished dosage pharmaceutical form, including all formulations, dosage forms and modes of administration thereof. </w:t>
      </w:r>
    </w:p>
    <w:p>
      <w:pPr>
        <w:pStyle w:val="TextBody"/>
        <w:bidi w:val="0"/>
        <w:spacing w:before="240" w:after="0"/>
        <w:jc w:val="left"/>
        <w:rPr>
          <w:rFonts w:ascii="Times New Roman" w:hAnsi="Times New Roman"/>
          <w:sz w:val="20"/>
        </w:rPr>
      </w:pPr>
      <w:r>
        <w:rPr>
          <w:rFonts w:ascii="Times New Roman" w:hAnsi="Times New Roman"/>
          <w:sz w:val="20"/>
        </w:rPr>
        <w:t>1.133 </w:t>
      </w:r>
      <w:r>
        <w:rPr>
          <w:rFonts w:ascii="Times New Roman" w:hAnsi="Times New Roman"/>
          <w:b/>
          <w:sz w:val="20"/>
        </w:rPr>
        <w:t>TARP8 Threshold Activity</w:t>
      </w:r>
      <w:r>
        <w:rPr>
          <w:rFonts w:ascii="Times New Roman" w:hAnsi="Times New Roman"/>
          <w:sz w:val="20"/>
        </w:rPr>
        <w:t xml:space="preserve"> means [***]. </w:t>
      </w:r>
    </w:p>
    <w:p>
      <w:pPr>
        <w:pStyle w:val="TextBody"/>
        <w:bidi w:val="0"/>
        <w:spacing w:before="240" w:after="0"/>
        <w:jc w:val="left"/>
        <w:rPr>
          <w:rFonts w:ascii="Times New Roman" w:hAnsi="Times New Roman"/>
          <w:sz w:val="20"/>
        </w:rPr>
      </w:pPr>
      <w:r>
        <w:rPr>
          <w:rFonts w:ascii="Times New Roman" w:hAnsi="Times New Roman"/>
          <w:sz w:val="20"/>
        </w:rPr>
        <w:t>1.134 </w:t>
      </w:r>
      <w:r>
        <w:rPr>
          <w:rFonts w:ascii="Times New Roman" w:hAnsi="Times New Roman"/>
          <w:b/>
          <w:sz w:val="20"/>
        </w:rPr>
        <w:t>TARP8 Transfer Period</w:t>
      </w:r>
      <w:r>
        <w:rPr>
          <w:rFonts w:ascii="Times New Roman" w:hAnsi="Times New Roman"/>
          <w:sz w:val="20"/>
        </w:rPr>
        <w:t xml:space="preserve"> is defined in Section 3.1.1.1 (Transfer of TARP8 Know-How).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1.135 </w:t>
      </w:r>
      <w:r>
        <w:rPr>
          <w:rFonts w:ascii="Times New Roman" w:hAnsi="Times New Roman"/>
          <w:b/>
          <w:sz w:val="20"/>
        </w:rPr>
        <w:t>Tax</w:t>
      </w:r>
      <w:r>
        <w:rPr>
          <w:rFonts w:ascii="Times New Roman" w:hAnsi="Times New Roman"/>
          <w:sz w:val="20"/>
        </w:rPr>
        <w:t xml:space="preserve"> means any present or future tax, levy, impost, duty, charge, assessment or fee of any nature (including any interest thereon). </w:t>
      </w:r>
    </w:p>
    <w:p>
      <w:pPr>
        <w:pStyle w:val="TextBody"/>
        <w:bidi w:val="0"/>
        <w:spacing w:before="240" w:after="0"/>
        <w:jc w:val="left"/>
        <w:rPr>
          <w:rFonts w:ascii="Times New Roman" w:hAnsi="Times New Roman"/>
          <w:sz w:val="20"/>
        </w:rPr>
      </w:pPr>
      <w:r>
        <w:rPr>
          <w:rFonts w:ascii="Times New Roman" w:hAnsi="Times New Roman"/>
          <w:sz w:val="20"/>
        </w:rPr>
        <w:t>1.136 </w:t>
      </w:r>
      <w:r>
        <w:rPr>
          <w:rFonts w:ascii="Times New Roman" w:hAnsi="Times New Roman"/>
          <w:b/>
          <w:sz w:val="20"/>
        </w:rPr>
        <w:t>Term</w:t>
      </w:r>
      <w:r>
        <w:rPr>
          <w:rFonts w:ascii="Times New Roman" w:hAnsi="Times New Roman"/>
          <w:sz w:val="20"/>
        </w:rPr>
        <w:t xml:space="preserve"> is defined in Section 11.1 (Term and Expiration). </w:t>
      </w:r>
    </w:p>
    <w:p>
      <w:pPr>
        <w:pStyle w:val="TextBody"/>
        <w:bidi w:val="0"/>
        <w:spacing w:before="240" w:after="0"/>
        <w:jc w:val="left"/>
        <w:rPr>
          <w:rFonts w:ascii="Times New Roman" w:hAnsi="Times New Roman"/>
          <w:sz w:val="20"/>
        </w:rPr>
      </w:pPr>
      <w:r>
        <w:rPr>
          <w:rFonts w:ascii="Times New Roman" w:hAnsi="Times New Roman"/>
          <w:sz w:val="20"/>
        </w:rPr>
        <w:t>1.137 </w:t>
      </w:r>
      <w:r>
        <w:rPr>
          <w:rFonts w:ascii="Times New Roman" w:hAnsi="Times New Roman"/>
          <w:b/>
          <w:sz w:val="20"/>
        </w:rPr>
        <w:t>Termination Effective Date</w:t>
      </w:r>
      <w:r>
        <w:rPr>
          <w:rFonts w:ascii="Times New Roman" w:hAnsi="Times New Roman"/>
          <w:sz w:val="20"/>
        </w:rPr>
        <w:t xml:space="preserve"> is defined in Section 11.6 (Effect of Termination). </w:t>
      </w:r>
    </w:p>
    <w:p>
      <w:pPr>
        <w:pStyle w:val="TextBody"/>
        <w:bidi w:val="0"/>
        <w:spacing w:before="240" w:after="0"/>
        <w:jc w:val="left"/>
        <w:rPr>
          <w:rFonts w:ascii="Times New Roman" w:hAnsi="Times New Roman"/>
          <w:sz w:val="20"/>
        </w:rPr>
      </w:pPr>
      <w:r>
        <w:rPr>
          <w:rFonts w:ascii="Times New Roman" w:hAnsi="Times New Roman"/>
          <w:sz w:val="20"/>
        </w:rPr>
        <w:t>1.138 </w:t>
      </w:r>
      <w:r>
        <w:rPr>
          <w:rFonts w:ascii="Times New Roman" w:hAnsi="Times New Roman"/>
          <w:b/>
          <w:sz w:val="20"/>
        </w:rPr>
        <w:t>Territory</w:t>
      </w:r>
      <w:r>
        <w:rPr>
          <w:rFonts w:ascii="Times New Roman" w:hAnsi="Times New Roman"/>
          <w:sz w:val="20"/>
        </w:rPr>
        <w:t xml:space="preserve"> means all the countries in the world, and their territories and possessions. </w:t>
      </w:r>
    </w:p>
    <w:p>
      <w:pPr>
        <w:pStyle w:val="TextBody"/>
        <w:bidi w:val="0"/>
        <w:spacing w:before="240" w:after="0"/>
        <w:jc w:val="left"/>
        <w:rPr>
          <w:rFonts w:ascii="Times New Roman" w:hAnsi="Times New Roman"/>
          <w:sz w:val="20"/>
        </w:rPr>
      </w:pPr>
      <w:r>
        <w:rPr>
          <w:rFonts w:ascii="Times New Roman" w:hAnsi="Times New Roman"/>
          <w:sz w:val="20"/>
        </w:rPr>
        <w:t>1.139 </w:t>
      </w:r>
      <w:r>
        <w:rPr>
          <w:rFonts w:ascii="Times New Roman" w:hAnsi="Times New Roman"/>
          <w:b/>
          <w:sz w:val="20"/>
        </w:rPr>
        <w:t>Third Party</w:t>
      </w:r>
      <w:r>
        <w:rPr>
          <w:rFonts w:ascii="Times New Roman" w:hAnsi="Times New Roman"/>
          <w:sz w:val="20"/>
        </w:rPr>
        <w:t xml:space="preserve"> means any Person other than Licensee, Janssen and their respective Affiliates. </w:t>
      </w:r>
    </w:p>
    <w:p>
      <w:pPr>
        <w:pStyle w:val="TextBody"/>
        <w:bidi w:val="0"/>
        <w:spacing w:before="240" w:after="0"/>
        <w:jc w:val="left"/>
        <w:rPr>
          <w:rFonts w:ascii="Times New Roman" w:hAnsi="Times New Roman"/>
          <w:sz w:val="20"/>
        </w:rPr>
      </w:pPr>
      <w:r>
        <w:rPr>
          <w:rFonts w:ascii="Times New Roman" w:hAnsi="Times New Roman"/>
          <w:sz w:val="20"/>
        </w:rPr>
        <w:t>1.140 </w:t>
      </w:r>
      <w:r>
        <w:rPr>
          <w:rFonts w:ascii="Times New Roman" w:hAnsi="Times New Roman"/>
          <w:b/>
          <w:sz w:val="20"/>
        </w:rPr>
        <w:t>Third Party Claim</w:t>
      </w:r>
      <w:r>
        <w:rPr>
          <w:rFonts w:ascii="Times New Roman" w:hAnsi="Times New Roman"/>
          <w:sz w:val="20"/>
        </w:rPr>
        <w:t xml:space="preserve"> is defined in Section 10.1 (Indemnification by Janssen). </w:t>
      </w:r>
    </w:p>
    <w:p>
      <w:pPr>
        <w:pStyle w:val="TextBody"/>
        <w:bidi w:val="0"/>
        <w:spacing w:before="240" w:after="0"/>
        <w:jc w:val="left"/>
        <w:rPr>
          <w:rFonts w:ascii="Times New Roman" w:hAnsi="Times New Roman"/>
          <w:sz w:val="20"/>
        </w:rPr>
      </w:pPr>
      <w:r>
        <w:rPr>
          <w:rFonts w:ascii="Times New Roman" w:hAnsi="Times New Roman"/>
          <w:sz w:val="20"/>
        </w:rPr>
        <w:t>1.141 </w:t>
      </w:r>
      <w:r>
        <w:rPr>
          <w:rFonts w:ascii="Times New Roman" w:hAnsi="Times New Roman"/>
          <w:b/>
          <w:sz w:val="20"/>
        </w:rPr>
        <w:t>Third Party Compensation</w:t>
      </w:r>
      <w:r>
        <w:rPr>
          <w:rFonts w:ascii="Times New Roman" w:hAnsi="Times New Roman"/>
          <w:sz w:val="20"/>
        </w:rPr>
        <w:t xml:space="preserve"> is defined in Section 1.32 (Control). </w:t>
      </w:r>
    </w:p>
    <w:p>
      <w:pPr>
        <w:pStyle w:val="TextBody"/>
        <w:bidi w:val="0"/>
        <w:spacing w:before="240" w:after="0"/>
        <w:jc w:val="left"/>
        <w:rPr>
          <w:rFonts w:ascii="Times New Roman" w:hAnsi="Times New Roman"/>
          <w:sz w:val="20"/>
        </w:rPr>
      </w:pPr>
      <w:r>
        <w:rPr>
          <w:rFonts w:ascii="Times New Roman" w:hAnsi="Times New Roman"/>
          <w:sz w:val="20"/>
        </w:rPr>
        <w:t>1.142 </w:t>
      </w:r>
      <w:r>
        <w:rPr>
          <w:rFonts w:ascii="Times New Roman" w:hAnsi="Times New Roman"/>
          <w:b/>
          <w:sz w:val="20"/>
        </w:rPr>
        <w:t>Third Party Licenses</w:t>
      </w:r>
      <w:r>
        <w:rPr>
          <w:rFonts w:ascii="Times New Roman" w:hAnsi="Times New Roman"/>
          <w:sz w:val="20"/>
        </w:rPr>
        <w:t xml:space="preserve"> is defined in Section 6.4.2 (Royalty Term). </w:t>
      </w:r>
    </w:p>
    <w:p>
      <w:pPr>
        <w:pStyle w:val="TextBody"/>
        <w:bidi w:val="0"/>
        <w:spacing w:before="240" w:after="0"/>
        <w:jc w:val="left"/>
        <w:rPr>
          <w:rFonts w:ascii="Times New Roman" w:hAnsi="Times New Roman"/>
          <w:sz w:val="20"/>
        </w:rPr>
      </w:pPr>
      <w:r>
        <w:rPr>
          <w:rFonts w:ascii="Times New Roman" w:hAnsi="Times New Roman"/>
          <w:sz w:val="20"/>
        </w:rPr>
        <w:t>1.143 </w:t>
      </w:r>
      <w:r>
        <w:rPr>
          <w:rFonts w:ascii="Times New Roman" w:hAnsi="Times New Roman"/>
          <w:b/>
          <w:sz w:val="20"/>
        </w:rPr>
        <w:t>Toxicity Package</w:t>
      </w:r>
      <w:r>
        <w:rPr>
          <w:rFonts w:ascii="Times New Roman" w:hAnsi="Times New Roman"/>
          <w:sz w:val="20"/>
        </w:rPr>
        <w:t xml:space="preserve"> means a written report prepared by or on behalf of Janssen or its Affiliates containing a summary of the data and results of the Toxicity Studies, analyses performed in connection with the Toxicity Studies, the results of such analyses and any other data as Janssen reasonably determines to include in such Toxicity Package for the [***] Lead Candidate. </w:t>
      </w:r>
    </w:p>
    <w:p>
      <w:pPr>
        <w:pStyle w:val="TextBody"/>
        <w:bidi w:val="0"/>
        <w:spacing w:before="240" w:after="0"/>
        <w:jc w:val="left"/>
        <w:rPr>
          <w:rFonts w:ascii="Times New Roman" w:hAnsi="Times New Roman"/>
          <w:sz w:val="20"/>
        </w:rPr>
      </w:pPr>
      <w:r>
        <w:rPr>
          <w:rFonts w:ascii="Times New Roman" w:hAnsi="Times New Roman"/>
          <w:sz w:val="20"/>
        </w:rPr>
        <w:t>1.144 </w:t>
      </w:r>
      <w:r>
        <w:rPr>
          <w:rFonts w:ascii="Times New Roman" w:hAnsi="Times New Roman"/>
          <w:b/>
          <w:sz w:val="20"/>
        </w:rPr>
        <w:t>Toxicity Studies</w:t>
      </w:r>
      <w:r>
        <w:rPr>
          <w:rFonts w:ascii="Times New Roman" w:hAnsi="Times New Roman"/>
          <w:sz w:val="20"/>
        </w:rPr>
        <w:t xml:space="preserve"> is defined in Section 2.1.1 (Toxicity Package). </w:t>
      </w:r>
    </w:p>
    <w:p>
      <w:pPr>
        <w:pStyle w:val="TextBody"/>
        <w:bidi w:val="0"/>
        <w:spacing w:before="240" w:after="0"/>
        <w:jc w:val="left"/>
        <w:rPr>
          <w:rFonts w:ascii="Times New Roman" w:hAnsi="Times New Roman"/>
          <w:sz w:val="20"/>
        </w:rPr>
      </w:pPr>
      <w:r>
        <w:rPr>
          <w:rFonts w:ascii="Times New Roman" w:hAnsi="Times New Roman"/>
          <w:sz w:val="20"/>
        </w:rPr>
        <w:t>1.145 </w:t>
      </w:r>
      <w:r>
        <w:rPr>
          <w:rFonts w:ascii="Times New Roman" w:hAnsi="Times New Roman"/>
          <w:b/>
          <w:sz w:val="20"/>
        </w:rPr>
        <w:t>Transferred Janssen Material</w:t>
      </w:r>
      <w:r>
        <w:rPr>
          <w:rFonts w:ascii="Times New Roman" w:hAnsi="Times New Roman"/>
          <w:sz w:val="20"/>
        </w:rPr>
        <w:t xml:space="preserve">s is defined in Section 3.2.1 (Material Transfer). </w:t>
      </w:r>
    </w:p>
    <w:p>
      <w:pPr>
        <w:pStyle w:val="TextBody"/>
        <w:bidi w:val="0"/>
        <w:spacing w:before="240" w:after="0"/>
        <w:jc w:val="left"/>
        <w:rPr>
          <w:rFonts w:ascii="Times New Roman" w:hAnsi="Times New Roman"/>
          <w:sz w:val="20"/>
        </w:rPr>
      </w:pPr>
      <w:r>
        <w:rPr>
          <w:rFonts w:ascii="Times New Roman" w:hAnsi="Times New Roman"/>
          <w:sz w:val="20"/>
        </w:rPr>
        <w:t>1.146 </w:t>
      </w:r>
      <w:r>
        <w:rPr>
          <w:rFonts w:ascii="Times New Roman" w:hAnsi="Times New Roman"/>
          <w:b/>
          <w:sz w:val="20"/>
        </w:rPr>
        <w:t>Transferred nACh Know-How</w:t>
      </w:r>
      <w:r>
        <w:rPr>
          <w:rFonts w:ascii="Times New Roman" w:hAnsi="Times New Roman"/>
          <w:sz w:val="20"/>
        </w:rPr>
        <w:t xml:space="preserve"> is defined in Section 3.1.2 (Transfer of nACh Know-How). </w:t>
      </w:r>
    </w:p>
    <w:p>
      <w:pPr>
        <w:pStyle w:val="TextBody"/>
        <w:bidi w:val="0"/>
        <w:spacing w:before="240" w:after="0"/>
        <w:jc w:val="left"/>
        <w:rPr>
          <w:rFonts w:ascii="Times New Roman" w:hAnsi="Times New Roman"/>
          <w:sz w:val="20"/>
        </w:rPr>
      </w:pPr>
      <w:r>
        <w:rPr>
          <w:rFonts w:ascii="Times New Roman" w:hAnsi="Times New Roman"/>
          <w:sz w:val="20"/>
        </w:rPr>
        <w:t>1.147 </w:t>
      </w:r>
      <w:r>
        <w:rPr>
          <w:rFonts w:ascii="Times New Roman" w:hAnsi="Times New Roman"/>
          <w:b/>
          <w:sz w:val="20"/>
        </w:rPr>
        <w:t>Transferred TARP8 Know-How</w:t>
      </w:r>
      <w:r>
        <w:rPr>
          <w:rFonts w:ascii="Times New Roman" w:hAnsi="Times New Roman"/>
          <w:sz w:val="20"/>
        </w:rPr>
        <w:t xml:space="preserve"> is defined in Section 3.1.1.1 (Transfer of TARP8 Know-How). </w:t>
      </w:r>
    </w:p>
    <w:p>
      <w:pPr>
        <w:pStyle w:val="TextBody"/>
        <w:bidi w:val="0"/>
        <w:spacing w:before="240" w:after="0"/>
        <w:jc w:val="left"/>
        <w:rPr>
          <w:rFonts w:ascii="Times New Roman" w:hAnsi="Times New Roman"/>
          <w:sz w:val="20"/>
        </w:rPr>
      </w:pPr>
      <w:r>
        <w:rPr>
          <w:rFonts w:ascii="Times New Roman" w:hAnsi="Times New Roman"/>
          <w:sz w:val="20"/>
        </w:rPr>
        <w:t>1.148 </w:t>
      </w:r>
      <w:r>
        <w:rPr>
          <w:rFonts w:ascii="Times New Roman" w:hAnsi="Times New Roman"/>
          <w:b/>
          <w:sz w:val="20"/>
        </w:rPr>
        <w:t>Unscheduled Compounds</w:t>
      </w:r>
      <w:r>
        <w:rPr>
          <w:rFonts w:ascii="Times New Roman" w:hAnsi="Times New Roman"/>
          <w:sz w:val="20"/>
        </w:rPr>
        <w:t xml:space="preserve"> is defined in Section 1.77 (Licensed nACh Know-How). </w:t>
      </w:r>
    </w:p>
    <w:p>
      <w:pPr>
        <w:pStyle w:val="TextBody"/>
        <w:bidi w:val="0"/>
        <w:spacing w:before="240" w:after="0"/>
        <w:jc w:val="left"/>
        <w:rPr>
          <w:rFonts w:ascii="Times New Roman" w:hAnsi="Times New Roman"/>
          <w:sz w:val="20"/>
        </w:rPr>
      </w:pPr>
      <w:r>
        <w:rPr>
          <w:rFonts w:ascii="Times New Roman" w:hAnsi="Times New Roman"/>
          <w:sz w:val="20"/>
        </w:rPr>
        <w:t>1.149 </w:t>
      </w:r>
      <w:r>
        <w:rPr>
          <w:rFonts w:ascii="Times New Roman" w:hAnsi="Times New Roman"/>
          <w:b/>
          <w:sz w:val="20"/>
        </w:rPr>
        <w:t>USD</w:t>
      </w:r>
      <w:r>
        <w:rPr>
          <w:rFonts w:ascii="Times New Roman" w:hAnsi="Times New Roman"/>
          <w:sz w:val="20"/>
        </w:rPr>
        <w:t> or </w:t>
      </w:r>
      <w:r>
        <w:rPr>
          <w:rFonts w:ascii="Times New Roman" w:hAnsi="Times New Roman"/>
          <w:b/>
          <w:sz w:val="20"/>
        </w:rPr>
        <w:t>U.S. Dollars</w:t>
      </w:r>
      <w:r>
        <w:rPr>
          <w:rFonts w:ascii="Times New Roman" w:hAnsi="Times New Roman"/>
          <w:sz w:val="20"/>
        </w:rPr>
        <w:t xml:space="preserve"> means United States Dollars. </w:t>
      </w:r>
    </w:p>
    <w:p>
      <w:pPr>
        <w:pStyle w:val="TextBody"/>
        <w:bidi w:val="0"/>
        <w:spacing w:before="240" w:after="0"/>
        <w:jc w:val="left"/>
        <w:rPr>
          <w:rFonts w:ascii="Times New Roman" w:hAnsi="Times New Roman"/>
          <w:sz w:val="20"/>
        </w:rPr>
      </w:pPr>
      <w:r>
        <w:rPr>
          <w:rFonts w:ascii="Times New Roman" w:hAnsi="Times New Roman"/>
          <w:sz w:val="20"/>
        </w:rPr>
        <w:t>1.150 </w:t>
      </w:r>
      <w:r>
        <w:rPr>
          <w:rFonts w:ascii="Times New Roman" w:hAnsi="Times New Roman"/>
          <w:b/>
          <w:sz w:val="20"/>
        </w:rPr>
        <w:t>Valid Claim</w:t>
      </w:r>
      <w:r>
        <w:rPr>
          <w:rFonts w:ascii="Times New Roman" w:hAnsi="Times New Roman"/>
          <w:sz w:val="20"/>
        </w:rPr>
        <w:t xml:space="preserve"> means: (a) any claim of an issued unexpired patent that (i) has not been cancelled, withdrawn, abandoned or rejected by any administrative agency or other body of competent jurisdiction; (ii) has not been revoked, or held invalid by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that has not been pending for longer than [***] from the earliest date to which such claim is entitled to claim priority. </w:t>
      </w:r>
    </w:p>
    <w:p>
      <w:pPr>
        <w:pStyle w:val="TextBody"/>
        <w:bidi w:val="0"/>
        <w:spacing w:before="240" w:after="0"/>
        <w:jc w:val="left"/>
        <w:rPr>
          <w:rFonts w:ascii="Times New Roman" w:hAnsi="Times New Roman"/>
          <w:sz w:val="20"/>
        </w:rPr>
      </w:pPr>
      <w:r>
        <w:rPr>
          <w:rFonts w:ascii="Times New Roman" w:hAnsi="Times New Roman"/>
          <w:sz w:val="20"/>
        </w:rPr>
        <w:t>1.151 </w:t>
      </w:r>
      <w:r>
        <w:rPr>
          <w:rFonts w:ascii="Times New Roman" w:hAnsi="Times New Roman"/>
          <w:b/>
          <w:sz w:val="20"/>
        </w:rPr>
        <w:t>VAT Taxes</w:t>
      </w:r>
      <w:r>
        <w:rPr>
          <w:rFonts w:ascii="Times New Roman" w:hAnsi="Times New Roman"/>
          <w:sz w:val="20"/>
        </w:rPr>
        <w:t xml:space="preserve"> is defined in Section 6.7.5 (Indirect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TOXICITY STUDIES; OPTION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Toxicity Studies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Toxicity Package</w:t>
      </w:r>
      <w:r>
        <w:rPr>
          <w:rFonts w:ascii="Times New Roman" w:hAnsi="Times New Roman"/>
          <w:sz w:val="20"/>
        </w:rPr>
        <w:t>. Janssen will complete the ongoing GLP toxicology studies for the [***] Lead Candidate as described in Schedule 2.1.1 (Toxicity Studies) (the </w:t>
      </w:r>
      <w:r>
        <w:rPr>
          <w:rFonts w:ascii="Times New Roman" w:hAnsi="Times New Roman"/>
          <w:b/>
          <w:sz w:val="20"/>
        </w:rPr>
        <w:t>Toxicity Studies</w:t>
      </w:r>
      <w:r>
        <w:rPr>
          <w:rFonts w:ascii="Times New Roman" w:hAnsi="Times New Roman"/>
          <w:sz w:val="20"/>
        </w:rPr>
        <w:t xml:space="preserve">). On or before [***] following Janssens completion of all Toxicity Studies for the [***] Lead Candidate, Janssen will deliver to Licensee the Toxicity Package in order to permit Licensee to assess whether to exercise the TARP8 Option.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Missing Information</w:t>
      </w:r>
      <w:r>
        <w:rPr>
          <w:rFonts w:ascii="Times New Roman" w:hAnsi="Times New Roman"/>
          <w:sz w:val="20"/>
        </w:rPr>
        <w:t>. Licensee will have [***] following receipt of the Toxicity Package to notify Janssen in writing if Licensee in good faith believes that any required information is missing from the Toxicity Package (a </w:t>
      </w:r>
      <w:r>
        <w:rPr>
          <w:rFonts w:ascii="Times New Roman" w:hAnsi="Times New Roman"/>
          <w:b/>
          <w:sz w:val="20"/>
        </w:rPr>
        <w:t>Missing Information Notice</w:t>
      </w:r>
      <w:r>
        <w:rPr>
          <w:rFonts w:ascii="Times New Roman" w:hAnsi="Times New Roman"/>
          <w:sz w:val="20"/>
        </w:rPr>
        <w:t xml:space="preserve">), which Missing Information Notice will identify with reasonable detail the missing information. If Licensee delivers a Missing Information Notice to Janssen, [***]. If Licensee does not deliver a Missing Information Notice to Janssen, the initial Toxicity Package will be deemed complete on the date it was received by Licensee.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Study Costs</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TARP8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Option Grant</w:t>
      </w:r>
      <w:r>
        <w:rPr>
          <w:rFonts w:ascii="Times New Roman" w:hAnsi="Times New Roman"/>
          <w:sz w:val="20"/>
        </w:rPr>
        <w:t>. Janssen hereby grants to Licensee an exclusive option during the Option Period to (a) obtain the license specified in Section 4.1.1.1 (License under TARP8 Technology) and (b) obtain all rights, title and interests in and to the Primary TARP8 Patents through assignment as specified in Section 4.3 (Assignment of Primary TARP8 Patents), in each case on the terms and conditions specified in this Agreement (the </w:t>
      </w:r>
      <w:r>
        <w:rPr>
          <w:rFonts w:ascii="Times New Roman" w:hAnsi="Times New Roman"/>
          <w:b/>
          <w:sz w:val="20"/>
        </w:rPr>
        <w:t>TARP8</w:t>
      </w:r>
      <w:r>
        <w:rPr>
          <w:rFonts w:ascii="Times New Roman" w:hAnsi="Times New Roman"/>
          <w:sz w:val="20"/>
        </w:rPr>
        <w:t xml:space="preserve"> </w:t>
      </w:r>
      <w:r>
        <w:rPr>
          <w:rFonts w:ascii="Times New Roman" w:hAnsi="Times New Roman"/>
          <w:b/>
          <w:sz w:val="20"/>
        </w:rPr>
        <w:t>Option</w:t>
      </w:r>
      <w:r>
        <w:rPr>
          <w:rFonts w:ascii="Times New Roman" w:hAnsi="Times New Roman"/>
          <w:sz w:val="20"/>
        </w:rPr>
        <w:t xml:space="preserve">), which may be exercised in accordance with Section 2.2.3 (Option Exercise). </w:t>
      </w:r>
    </w:p>
    <w:p>
      <w:pPr>
        <w:pStyle w:val="TextBody"/>
        <w:bidi w:val="0"/>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Option Period</w:t>
      </w:r>
      <w:r>
        <w:rPr>
          <w:rFonts w:ascii="Times New Roman" w:hAnsi="Times New Roman"/>
          <w:sz w:val="20"/>
        </w:rPr>
        <w:t>. The </w:t>
      </w:r>
      <w:r>
        <w:rPr>
          <w:rFonts w:ascii="Times New Roman" w:hAnsi="Times New Roman"/>
          <w:b/>
          <w:sz w:val="20"/>
        </w:rPr>
        <w:t>Option Period</w:t>
      </w:r>
      <w:r>
        <w:rPr>
          <w:rFonts w:ascii="Times New Roman" w:hAnsi="Times New Roman"/>
          <w:sz w:val="20"/>
        </w:rPr>
        <w:t xml:space="preserve"> means the period commencing on the Effective Date and ending on the earlier of (a) [***] after Janssen delivers a complete Toxicity Package to Licensee and (b) the date of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Option Exercise</w:t>
      </w:r>
      <w:r>
        <w:rPr>
          <w:rFonts w:ascii="Times New Roman" w:hAnsi="Times New Roman"/>
          <w:sz w:val="20"/>
        </w:rPr>
        <w:t>. At any time during the Option Period, Licensee may, in its sole discretion, exercise the TARP8 Option by delivery of written notification to Janssen of its decision to exercise the TARP8 Option (the </w:t>
      </w:r>
      <w:r>
        <w:rPr>
          <w:rFonts w:ascii="Times New Roman" w:hAnsi="Times New Roman"/>
          <w:b/>
          <w:sz w:val="20"/>
        </w:rPr>
        <w:t>Option Exercise Notice</w:t>
      </w:r>
      <w:r>
        <w:rPr>
          <w:rFonts w:ascii="Times New Roman" w:hAnsi="Times New Roman"/>
          <w:sz w:val="20"/>
        </w:rPr>
        <w:t>). Following the delivery of the Option Exercise Notice, Licensee shall pay the Option Fee to Janssen as set forth in Section 6.2 (Option Fee). Subject to Licensees compliance with the immediately foregoing sentence and Section 6.2 (Option Fee), the date on which Janssen receives the Option Fee will thereafter be the </w:t>
      </w:r>
      <w:r>
        <w:rPr>
          <w:rFonts w:ascii="Times New Roman" w:hAnsi="Times New Roman"/>
          <w:b/>
          <w:sz w:val="20"/>
        </w:rPr>
        <w:t>Option Exercise Date</w:t>
      </w:r>
      <w:r>
        <w:rPr>
          <w:rFonts w:ascii="Times New Roman" w:hAnsi="Times New Roman"/>
          <w:sz w:val="20"/>
        </w:rPr>
        <w:t xml:space="preser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Option Expiry</w:t>
      </w:r>
      <w:r>
        <w:rPr>
          <w:rFonts w:ascii="Times New Roman" w:hAnsi="Times New Roman"/>
          <w:sz w:val="20"/>
        </w:rPr>
        <w:t xml:space="preserve">. If Licensee fails to exercise the TARP8 Option in accordance with Section 2.2.3 (Option Exercise), Licensee will forfeit its entire rights and option to the Licensed TARP8 Technology as of the date of the expiration of the Option Period (or, if later, the date on which the Option Fee is due and not received by Janssen).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2.2.5 </w:t>
      </w:r>
      <w:r>
        <w:rPr>
          <w:rFonts w:ascii="Times New Roman" w:hAnsi="Times New Roman"/>
          <w:sz w:val="20"/>
          <w:u w:val="single"/>
        </w:rPr>
        <w:t>Activities prior to Option Exercise</w:t>
      </w:r>
      <w:r>
        <w:rPr>
          <w:rFonts w:ascii="Times New Roman" w:hAnsi="Times New Roman"/>
          <w:sz w:val="20"/>
        </w:rPr>
        <w:t xml:space="preserve">. Notwithstanding anything to the contrary herein, the Parties agree that, prior to the Option Exercise Date, Licensee and its Affiliates shall have a limited, non-exclusive right under the Licensed TARP8 Technology to (a) make clinical development plans for any TARP8 Compounds and TARP8 Products, (b) evaluate and determine whether to exercise the TARP8 Option, and (c) conduct Research and other non-clinical Development activities with respect to any TARP8 Compounds, </w:t>
      </w:r>
      <w:r>
        <w:rPr>
          <w:rFonts w:ascii="Times New Roman" w:hAnsi="Times New Roman"/>
          <w:i/>
          <w:sz w:val="20"/>
        </w:rPr>
        <w:t>provided</w:t>
      </w:r>
      <w:r>
        <w:rPr>
          <w:rFonts w:ascii="Times New Roman" w:hAnsi="Times New Roman"/>
          <w:sz w:val="20"/>
        </w:rPr>
        <w:t xml:space="preserve"> that, (i) if Licensee does not exercise the TARP8 Option in accordance with Section 2.2.3 (Option Exercise), then Licensee shall assign and hereby assigns to Janssen, effective upon expiration of the TARP8 Option, any Know-How and inventions (whether or not patentable) specifically related to TARP8 Compounds to the extent generated from such activities, and (ii) Janssen shall have no additional disclosure obligations with respect to any Licensed TARP8 Know-How under the preceding subclause (c).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TECHNOLOGY AND MATERIAL TRANSFER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Technology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TARP8 Technology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3.1.1.1 </w:t>
      </w:r>
      <w:r>
        <w:rPr>
          <w:rFonts w:ascii="Times New Roman" w:hAnsi="Times New Roman"/>
          <w:i/>
          <w:sz w:val="20"/>
        </w:rPr>
        <w:t>Transfer of TARP8 Know-How</w:t>
      </w:r>
      <w:r>
        <w:rPr>
          <w:rFonts w:ascii="Times New Roman" w:hAnsi="Times New Roman"/>
          <w:sz w:val="20"/>
        </w:rPr>
        <w:t>. Within [***] following the Option Exercise Date (the </w:t>
      </w:r>
      <w:r>
        <w:rPr>
          <w:rFonts w:ascii="Times New Roman" w:hAnsi="Times New Roman"/>
          <w:b/>
          <w:sz w:val="20"/>
        </w:rPr>
        <w:t>TARP8 Transfer Period</w:t>
      </w:r>
      <w:r>
        <w:rPr>
          <w:rFonts w:ascii="Times New Roman" w:hAnsi="Times New Roman"/>
          <w:sz w:val="20"/>
        </w:rPr>
        <w:t>), but as soon as practicable, Janssen will use reasonable efforts to (a) deliver to Licensee the Know-How described in Part II of Schedule 3.1.1.1 (Transferred TARP8 Know-How and Materials) (the </w:t>
      </w:r>
      <w:r>
        <w:rPr>
          <w:rFonts w:ascii="Times New Roman" w:hAnsi="Times New Roman"/>
          <w:b/>
          <w:sz w:val="20"/>
        </w:rPr>
        <w:t>Transferred TARP8 Know-How</w:t>
      </w:r>
      <w:r>
        <w:rPr>
          <w:rFonts w:ascii="Times New Roman" w:hAnsi="Times New Roman"/>
          <w:sz w:val="20"/>
        </w:rPr>
        <w:t xml:space="preserve">), in electronic format if it is available in electronic format or a hard copy if not available in electronic format, or in such other format as otherwise mutually agreed by the Parties, and (b) respond to Licensees reasonable requests for additional information, documents, files or assistance with respect to the Transferred TARP8 Know-How during the TARP8 Transfer Period only. If, during the TARP8 Transfer Period, the Parties identify any Know-How Controlled by Janssen or any of its Affiliates that is both (i) within the scope of Licensed TARP8 Know-How and (ii) reasonably necessary for the Exploitation of TARP8 Compounds, the Parties shall cooperate to amend Part II of Schedule 3.1.1.1 (Transferred TARP8 Know-How and Materials) to include such omitted Know-How, and such Know-How shall be included in the Transferred TARP8 Know-How and transferred by Janssen to Licensee in accordance with this Section 3.1.1.1 (Transfer of TARP8 Know-How). For clarity, unless and until the Option Fee is received by Janssen in accordance with this Agreement, Janssen will have no obligation to transfer any Licensed TARP8 Know-How or related materials to Licensee. </w:t>
      </w:r>
    </w:p>
    <w:p>
      <w:pPr>
        <w:pStyle w:val="TextBody"/>
        <w:bidi w:val="0"/>
        <w:spacing w:before="240" w:after="0"/>
        <w:jc w:val="left"/>
        <w:rPr>
          <w:rFonts w:ascii="Times New Roman" w:hAnsi="Times New Roman"/>
          <w:sz w:val="20"/>
        </w:rPr>
      </w:pPr>
      <w:r>
        <w:rPr>
          <w:rFonts w:ascii="Times New Roman" w:hAnsi="Times New Roman"/>
          <w:sz w:val="20"/>
        </w:rPr>
        <w:t xml:space="preserve">3.1.1.2 </w:t>
      </w:r>
      <w:r>
        <w:rPr>
          <w:rFonts w:ascii="Times New Roman" w:hAnsi="Times New Roman"/>
          <w:i/>
          <w:sz w:val="20"/>
        </w:rPr>
        <w:t>Regulatory Assistance</w:t>
      </w:r>
      <w:r>
        <w:rPr>
          <w:rFonts w:ascii="Times New Roman" w:hAnsi="Times New Roman"/>
          <w:sz w:val="20"/>
        </w:rPr>
        <w:t xml:space="preserve">. Upon Licensees written request therefor, Janssen will use reasonable efforts to advise and assist Licensee with [***]. </w:t>
      </w:r>
    </w:p>
    <w:p>
      <w:pPr>
        <w:pStyle w:val="TextBody"/>
        <w:bidi w:val="0"/>
        <w:spacing w:before="240" w:after="0"/>
        <w:jc w:val="left"/>
        <w:rPr>
          <w:rFonts w:ascii="Times New Roman" w:hAnsi="Times New Roman"/>
          <w:sz w:val="20"/>
        </w:rPr>
      </w:pPr>
      <w:r>
        <w:rPr>
          <w:rFonts w:ascii="Times New Roman" w:hAnsi="Times New Roman"/>
          <w:sz w:val="20"/>
        </w:rPr>
        <w:t>3.1.2 Transfer of nACh Know-How. Within [***] following the Effective Date (the </w:t>
      </w:r>
      <w:r>
        <w:rPr>
          <w:rFonts w:ascii="Times New Roman" w:hAnsi="Times New Roman"/>
          <w:b/>
          <w:sz w:val="20"/>
        </w:rPr>
        <w:t>nACh Transfer Period</w:t>
      </w:r>
      <w:r>
        <w:rPr>
          <w:rFonts w:ascii="Times New Roman" w:hAnsi="Times New Roman"/>
          <w:sz w:val="20"/>
        </w:rPr>
        <w:t>), but as soon as practicable, Janssen will use reasonable efforts to (a) deliver to Licensee the Know-How described in Schedule 3.1.2 (Transferred nACh Know-How and Materials) (the </w:t>
      </w:r>
      <w:r>
        <w:rPr>
          <w:rFonts w:ascii="Times New Roman" w:hAnsi="Times New Roman"/>
          <w:b/>
          <w:sz w:val="20"/>
        </w:rPr>
        <w:t>Transferred nACh Know-How</w:t>
      </w:r>
      <w:r>
        <w:rPr>
          <w:rFonts w:ascii="Times New Roman" w:hAnsi="Times New Roman"/>
          <w:sz w:val="20"/>
        </w:rPr>
        <w:t>), in electronic format if it is available in electronic format or a hard copy if not available in electronic format, or in such other format as otherwise mutually agreed by the Parties; and (b) respond to Licensees reasonable requests for additional information, documents, files or assistance with respect to the Transferred nACh Know-</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How during the nACh Transfer Period only. If, during the nACh Transfer Period, the Parties identify any Know-How Controlled by Janssen or any of its Affiliates that is both (i) within the scope of Licensed nACh Know-How and (ii) reasonably necessary for the Exploitation of Scheduled nACh Compounds, the Parties shall cooperate to amend Schedule 3.1.2 (Transferred nACh Know-How and Materials) to include such omitted Know-How, and such Know-How shall be included in the Transferred nACh Know-How and transferred by Janssen to Licensee in accordance with this Section 3.1.2 (Transfer of nACh Know-How)</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Point of Contac</w:t>
      </w:r>
      <w:r>
        <w:rPr>
          <w:rFonts w:ascii="Times New Roman" w:hAnsi="Times New Roman"/>
          <w:sz w:val="20"/>
        </w:rPr>
        <w:t xml:space="preserve">t. Each Party will appoint one individual to have primary responsibility and oversight for, and to serve as the primary point of contact regarding, the transition activities contemplated by Section 3.1.1 (Transfer of TARP8 Know-How) and Section 3.1.2 (Transfer of nACh Know-How).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Costs</w:t>
      </w:r>
      <w:r>
        <w:rPr>
          <w:rFonts w:ascii="Times New Roman" w:hAnsi="Times New Roman"/>
          <w:sz w:val="20"/>
        </w:rPr>
        <w:t xml:space="preserve">. Janssen will bear the costs related to Janssens performance under this Section 3.1 (Technology Transfer), </w:t>
      </w:r>
      <w:r>
        <w:rPr>
          <w:rFonts w:ascii="Times New Roman" w:hAnsi="Times New Roman"/>
          <w:i/>
          <w:sz w:val="20"/>
        </w:rPr>
        <w:t>provided</w:t>
      </w:r>
      <w:r>
        <w:rPr>
          <w:rFonts w:ascii="Times New Roman" w:hAnsi="Times New Roman"/>
          <w:sz w:val="20"/>
        </w:rPr>
        <w:t xml:space="preserve"> that nothing herein will require Janssen or its Affiliates (collectively) to incur more than [***] in connection with the performance of such activities, calculated based on a full-time equivalent (FTE) rate of [***], </w:t>
      </w:r>
      <w:r>
        <w:rPr>
          <w:rFonts w:ascii="Times New Roman" w:hAnsi="Times New Roman"/>
          <w:i/>
          <w:sz w:val="20"/>
        </w:rPr>
        <w:t>provided further</w:t>
      </w:r>
      <w:r>
        <w:rPr>
          <w:rFonts w:ascii="Times New Roman" w:hAnsi="Times New Roman"/>
          <w:sz w:val="20"/>
        </w:rPr>
        <w:t xml:space="preserve"> that the foregoing cost limitation shall not apply to [***].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No Further Obligations</w:t>
      </w:r>
      <w:r>
        <w:rPr>
          <w:rFonts w:ascii="Times New Roman" w:hAnsi="Times New Roman"/>
          <w:sz w:val="20"/>
        </w:rPr>
        <w:t xml:space="preserve">. Janssen will have no obligation to disclose or transfer to Licensee any Licensed TARP8 Know-How or Licensed nACh Know-How other than the Transferred TARP8 Know-How (if Licensee exercises the TARP8 Option) or Transferred nACh Know-How. After expiration of the TARP8 Transfer Period or nACh Transfer Period, as applicable, except as required elsewhere in this Agreement, Janssen will have no further obligation to provide any additional information, documents, electronic files, assistance or support to Licensee with respect to TARP8 Compounds or nACh Compounds, respectively.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Data Room</w:t>
      </w:r>
      <w:r>
        <w:rPr>
          <w:rFonts w:ascii="Times New Roman" w:hAnsi="Times New Roman"/>
          <w:sz w:val="20"/>
        </w:rPr>
        <w:t xml:space="preserve">. Within [***] following the Effective Date, Janssen will provide to Licensee a USB copy of that certain data room hosted by Janssen as of the close of business (New York time) on the Effective Date, to which access was provided to Licensee prior to the Effective Date. Within [***] following receipt of such USB copy, Licensee will notify Janssen whether there are any material issues or inconsistencies with respect to the files on such USB copy of which it becomes aware, following which as soon as reasonably practicable Janssen shall provide an updated USB copy to Licensee.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Material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Transfer of Materials</w:t>
      </w:r>
      <w:r>
        <w:rPr>
          <w:rFonts w:ascii="Times New Roman" w:hAnsi="Times New Roman"/>
          <w:sz w:val="20"/>
        </w:rPr>
        <w:t>. The materials to be transferred by Janssen to Licensee in connection with this Agreement are set forth in Part I of Schedule 3.1.1.1 (Transferred TARP8 Know-How and Materials) and Schedule 3.1.2 (Transferred nACh Know-How and Materials) (collectively, the </w:t>
      </w:r>
      <w:r>
        <w:rPr>
          <w:rFonts w:ascii="Times New Roman" w:hAnsi="Times New Roman"/>
          <w:b/>
          <w:sz w:val="20"/>
        </w:rPr>
        <w:t>Transferred Janssen Materials</w:t>
      </w:r>
      <w:r>
        <w:rPr>
          <w:rFonts w:ascii="Times New Roman" w:hAnsi="Times New Roman"/>
          <w:sz w:val="20"/>
        </w:rPr>
        <w:t xml:space="preserve">). Within [***] after the Effective Date, upon Licensees request, Janssen will deliver the Transferred Janssen Materials (including relevant documentation, if applicable) set forth in (x) Part I of Schedule 3.1.1.1 (Transferred TARP8 Know-How and Materials) and (y) Schedule 3.1.2 (Transferred nACh Know-How and Materials) in each case ((x) and (y)) to Licensee, and within [***] following the Option Exercise Date, Janssen will deliver the Transferred Janssen Materials set forth in Part II of Schedule 3.1.1.1 (Transferred TARP8 Know-How and Materials) to Licensee. If, during the applicable [***]-period,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identify any materials Controlled by Janssen or any of its Affiliates that is within the scope of Transferred Janssen Materials as described in Schedule 3.1.1.1 (Transferred TARP8 Know-How and Materials) or Schedule 3.1.2 (Transferred nACh Know-How and Materials), as applicable, the Parties will cooperate to amend the corresponding schedules and such materials shall be included in the Transferred Janssen Materials and transferred by Janssen to Licensee in accordance with this Section 3.2.1 (Transfer of Materials)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any Transferred Janssen Materials specifically identified in Schedule 3.1.1.1 (Transferred TARP8 Know-How and Materials) or Schedule 3.1.2 (Transferred nACh Know-How and Materials), the foregoing will not be deemed to require Janssen or its Affiliates to transfer any quantities of such specifically identified materials in excess of the amounts specifically set forth in such schedule). All Transferred Janssen Materials will be delivered [***], in the form and quantities set forth in Schedule 3.1.1.1 (Transferred TARP8 Know-How and Materials) and Schedule 3.1.2 (Transferred nACh Know-How and Materials), as applicable, at [***]. Any Transferred Janssen Material not collected by the end of such [***]-period may be stored by Janssen for an additional [***] upon Licensees request, at Licensees costs for such storage (and for clarity, any Transferred Janssen Material not collected by the end of such additional [***] period may, upon the conclusion of such [***] period, be destroyed by Janssen in its sole discretion). Licensee expressly acknowledges and agrees that (a) the Transferred Janssen Materials do not and will not include [***].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Use of Materials</w:t>
      </w:r>
      <w:r>
        <w:rPr>
          <w:rFonts w:ascii="Times New Roman" w:hAnsi="Times New Roman"/>
          <w:sz w:val="20"/>
        </w:rPr>
        <w:t xml:space="preserve">. Any materials transferred by Janssen to Licensee in connection with this Agreement will become the property of Licensee. The Parties agree that such transfer of possession and such transfer of ownership will not convey any licenses or exhaust any intellectual property right of Janssen in such materials. Notwithstanding the foregoing, the materials provided by Janssen to Licensee under this Agreement will be used by Licensee in accordance with terms of this Agreement solely for purposes of exercising its rights and performing its obligations under this Agreement. Licensee will use, and will ensure that its Affiliates (as applicable) use, the Transferred Janssen Materials in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Disclaimer</w:t>
      </w:r>
      <w:r>
        <w:rPr>
          <w:rFonts w:ascii="Times New Roman" w:hAnsi="Times New Roman"/>
          <w:sz w:val="20"/>
        </w:rPr>
        <w:t xml:space="preserve">. EXCEPT AS EXPRESSLY SET FORTH IN THIS AGREEMENT, THE TRANSFERRED JANSSEN MATERIALS ARE PROVIDED AS IS AND WITHOUT ANY REPRESENTATION OR WARRANTY, EXPRESS OR IMPLIED, INCLUDING ANY IMPLIED WARRANTY OF MERCHANTABILITY OR OF FITNESS FOR ANY PARTICULAR PURPOSE OR ANY WARRANTY THAT THE USE OF THE MATERIALS WILL NOT INFRINGE, MISAPPROPRIATE OR VIOLATE ANY PATENT OR OTHER PROPRIETARY RIGHTS OF ANY THIRD PARTY. LICENSEE ACKNOWLEDGES THAT THE TRANSFERRED JANSSEN MATERIALS ARE EXPERIMENTAL IN NATURE AND MAY HAVE UNKNOWN HAZARDOUS CHARACTERISTICS, THAT LICENSEE IS AWARE OF THE RISKS OF WORKING WITH EXPERIMENTAL MATERIAL AND THAT LICENSEE WILL ADHERE TO PROPER LABORATORY PROCEDURES FOR HANDLING TRANSFERRED JANSSEN MATERIALS WITH UNKNOWN HAZARDS.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 Janssen Personnel</w:t>
      </w:r>
      <w:r>
        <w:rPr>
          <w:rFonts w:ascii="Times New Roman" w:hAnsi="Times New Roman"/>
          <w:sz w:val="20"/>
        </w:rPr>
        <w:t xml:space="preserve">.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LICENSE GRANTS; ASSIGNMENT OF CERTAIN PATENTS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License Grants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TARP8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4.1.1.1 </w:t>
      </w:r>
      <w:r>
        <w:rPr>
          <w:rFonts w:ascii="Times New Roman" w:hAnsi="Times New Roman"/>
          <w:i/>
          <w:sz w:val="20"/>
        </w:rPr>
        <w:t>License under TARP8 Technology</w:t>
      </w:r>
      <w:r>
        <w:rPr>
          <w:rFonts w:ascii="Times New Roman" w:hAnsi="Times New Roman"/>
          <w:sz w:val="20"/>
        </w:rPr>
        <w:t xml:space="preserve">. Subject to the terms and conditions of this Agreement (including Section 2.2 (TARP8 Option) and Section 4.2 (Janssen Reserved Rights)), Janssen hereby grants to Licensee an exclusive (even as to Janssen), royalty-bearing, non-transferable (except as otherwise permitted under Section 13.4 (Assignment; Successors)), sublicensable (through multiple tiers, but subject to Section 4.1.4 (Right to Sublicense)) license as of the Option Exercise Date and for the remainder of the Term under the Licensed TARP8 Technology, to Exploit TARP8 Compounds and TARP8 Products, in each case in the Field in the Territory. For clarity, the license granted to Licensee under this Section 4.1.1.1 (License under TARP8 Technology) shall not include any license with respect to any other active pharmaceutical ingredient (either alone or in combination) that is proprietary to Janssen or any of its Affiliates other than TARP8 Compounds. </w:t>
      </w:r>
    </w:p>
    <w:p>
      <w:pPr>
        <w:pStyle w:val="TextBody"/>
        <w:bidi w:val="0"/>
        <w:spacing w:before="240" w:after="0"/>
        <w:jc w:val="left"/>
        <w:rPr>
          <w:rFonts w:ascii="Times New Roman" w:hAnsi="Times New Roman"/>
          <w:sz w:val="20"/>
        </w:rPr>
      </w:pPr>
      <w:r>
        <w:rPr>
          <w:rFonts w:ascii="Times New Roman" w:hAnsi="Times New Roman"/>
          <w:sz w:val="20"/>
        </w:rPr>
        <w:t xml:space="preserve">4.1.1.2 </w:t>
      </w:r>
      <w:r>
        <w:rPr>
          <w:rFonts w:ascii="Times New Roman" w:hAnsi="Times New Roman"/>
          <w:i/>
          <w:sz w:val="20"/>
        </w:rPr>
        <w:t>License Under Primary TARP8 Patents</w:t>
      </w:r>
      <w:r>
        <w:rPr>
          <w:rFonts w:ascii="Times New Roman" w:hAnsi="Times New Roman"/>
          <w:sz w:val="20"/>
        </w:rPr>
        <w:t xml:space="preserve">. Subject to the terms and conditions of this Agreement (including Section 2.2 (TARP8 Option)), Licensee hereby grants to Janssen an exclusive (even as to Licensee), perpetual, irrevocable, royalty-free, non-transferable (except as otherwise permitted under Section 13.4 (Assignment; Successors)), freely sublicensable (through multiple tiers) license as of the Option Exercise Date under the Primary TARP8 Patents, to Exploit Janssen Reserved Compounds, for [***].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nACh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4.1.2.1 </w:t>
      </w:r>
      <w:r>
        <w:rPr>
          <w:rFonts w:ascii="Times New Roman" w:hAnsi="Times New Roman"/>
          <w:i/>
          <w:sz w:val="20"/>
        </w:rPr>
        <w:t>Non-Exclusive License for Scheduled nACh Compounds and Products</w:t>
      </w:r>
      <w:r>
        <w:rPr>
          <w:rFonts w:ascii="Times New Roman" w:hAnsi="Times New Roman"/>
          <w:sz w:val="20"/>
        </w:rPr>
        <w:t xml:space="preserve">. Subject to the terms and conditions of this Agreement, Janssen hereby grants to Licensee a non-exclusive, fully paid up, royalty-free, non-transferable (except as otherwise permitted under Section 13.4 (Assignment; Successors)), sublicensable (subject to Section 4.1.4 (Right to Sublicense)) license during the Term under the Licensed nACh Technology to Exploit (a) Scheduled nACh Compounds and Scheduled nACh Products, (b) the Unscheduled Compounds and (c) any other compounds directed to a nACh Receptor that are not proprietary to Janssen, in each case ((a)-(c)) in the Field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4.1.2.2 </w:t>
      </w:r>
      <w:r>
        <w:rPr>
          <w:rFonts w:ascii="Times New Roman" w:hAnsi="Times New Roman"/>
          <w:i/>
          <w:sz w:val="20"/>
        </w:rPr>
        <w:t>Exclusive License under Joint nACh Patents</w:t>
      </w:r>
      <w:r>
        <w:rPr>
          <w:rFonts w:ascii="Times New Roman" w:hAnsi="Times New Roman"/>
          <w:sz w:val="20"/>
        </w:rPr>
        <w:t xml:space="preserve">. Subject to the terms and conditions of this Agreement, Janssen hereby grants to Licensee an exclusive (even as to Janssen, but subject to Section 11.6.2 (Non-Exclusive License Under Joint nACh Patents)), fully paid up, royalty-free, non-transferable (except as otherwise permitted under Section 13.4 (Assignment; Successors)), sublicensable (subject to Section 4.1.4 (Right to Sublicense)) license during the Term under Janssens interest in the Joint nACh Patents to Exploit Joint nACh Compounds and Joint nACh Products, in each case in the Field in the Territory,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license would be non-exclusive solely with respect to any Scheduled nACh Compound.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Non-Exclusive Know-How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4.1.3.1 </w:t>
      </w:r>
      <w:r>
        <w:rPr>
          <w:rFonts w:ascii="Times New Roman" w:hAnsi="Times New Roman"/>
          <w:i/>
          <w:sz w:val="20"/>
        </w:rPr>
        <w:t>License to Janssen</w:t>
      </w:r>
      <w:r>
        <w:rPr>
          <w:rFonts w:ascii="Times New Roman" w:hAnsi="Times New Roman"/>
          <w:sz w:val="20"/>
        </w:rPr>
        <w:t xml:space="preserve">. Subject to the terms and conditions of this Agreement (including the confidentiality obligations under ARTICLE 8 (Confidentiality and Publication)), Licensee hereby grants to Janssen a non-exclusive, worldwide, irrevocable, royalty-free, perpetual, sublicensable (subject to Section 4.1.4 (Right to Sublicense)) license to use for all purposes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technical Know-How Controlled by Licensee that is disclosed to Janssen in research discussions, or technical transfers in each case under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license does not include (a) a grant of any rights to Janssen for any Exploitation of any Compound or Product, (b) a right to practice any Patents Controlled by Licensee or its Affiliates, or (c) any information disclosed by Licensee outside this Agreement (including communications with its shareholders (including any Affiliate of Janssen) or board members as required by Applicable Law or in accordance with Licensees bylaws or other corporate policies). </w:t>
      </w:r>
    </w:p>
    <w:p>
      <w:pPr>
        <w:pStyle w:val="TextBody"/>
        <w:bidi w:val="0"/>
        <w:spacing w:before="240" w:after="0"/>
        <w:jc w:val="left"/>
        <w:rPr>
          <w:rFonts w:ascii="Times New Roman" w:hAnsi="Times New Roman"/>
          <w:sz w:val="20"/>
        </w:rPr>
      </w:pPr>
      <w:r>
        <w:rPr>
          <w:rFonts w:ascii="Times New Roman" w:hAnsi="Times New Roman"/>
          <w:sz w:val="20"/>
        </w:rPr>
        <w:t xml:space="preserve">4.1.3.2 </w:t>
      </w:r>
      <w:r>
        <w:rPr>
          <w:rFonts w:ascii="Times New Roman" w:hAnsi="Times New Roman"/>
          <w:i/>
          <w:sz w:val="20"/>
        </w:rPr>
        <w:t>License to Licensee</w:t>
      </w:r>
      <w:r>
        <w:rPr>
          <w:rFonts w:ascii="Times New Roman" w:hAnsi="Times New Roman"/>
          <w:sz w:val="20"/>
        </w:rPr>
        <w:t xml:space="preserve">. Subject to the terms and conditions of this Agreement (including the confidentiality obligations under Section ARTICLE 8 (Confidentiality and Publication)), Janssen hereby grants to Licensee a non-exclusive, worldwide, irrevocable, royalty-free, perpetual, sublicensable (subject to Section 4.1.4 (Right to Sublicense)) license to use for all purposes any technical Know-How Controlled by Janssen that is disclosed to Licensee in research discussions or technical transfers in each case under this Agreement (including any Licensed TARP8 Know-How and Licensed nACh Know-How) and any Transferred Janssen Materials;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license does not include (a) a grant of any rights to Licensee for any Exploitation of any Compound or Product, or (b) a right to practice any Patents Controlled by Janssen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Right to Sublicense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4.1.4.1 </w:t>
      </w:r>
      <w:r>
        <w:rPr>
          <w:rFonts w:ascii="Times New Roman" w:hAnsi="Times New Roman"/>
          <w:i/>
          <w:sz w:val="20"/>
        </w:rPr>
        <w:t xml:space="preserve">Licensee Right to Sublicense. </w:t>
      </w:r>
      <w:r>
        <w:rPr>
          <w:rFonts w:ascii="Times New Roman" w:hAnsi="Times New Roman"/>
          <w:sz w:val="20"/>
        </w:rPr>
        <w:t xml:space="preserve">The rights granted to Licensee in Section 4.1.1.1 (License under TARP8 Technology), Section 4.1.2 (nACh Licenses) and Section 4.1.3 (Non-Exclusive Know-How Licenses) include the right to grant sublicenses, in multiple tiers, to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Janssen will be notified by Licensee in writing within [***] after the grant of any permitted sublicense to a Third Party not working under the direction and control of Licensee. Such notification will include [***]. </w:t>
      </w:r>
    </w:p>
    <w:p>
      <w:pPr>
        <w:pStyle w:val="TextBody"/>
        <w:bidi w:val="0"/>
        <w:spacing w:before="240" w:after="0"/>
        <w:jc w:val="left"/>
        <w:rPr>
          <w:rFonts w:ascii="Times New Roman" w:hAnsi="Times New Roman"/>
          <w:sz w:val="20"/>
        </w:rPr>
      </w:pPr>
      <w:r>
        <w:rPr>
          <w:rFonts w:ascii="Times New Roman" w:hAnsi="Times New Roman"/>
          <w:sz w:val="20"/>
        </w:rPr>
        <w:t xml:space="preserve">4.1.4.2 </w:t>
      </w:r>
      <w:r>
        <w:rPr>
          <w:rFonts w:ascii="Times New Roman" w:hAnsi="Times New Roman"/>
          <w:i/>
          <w:sz w:val="20"/>
        </w:rPr>
        <w:t xml:space="preserve">Janssen Right to Sublicense. </w:t>
      </w:r>
      <w:r>
        <w:rPr>
          <w:rFonts w:ascii="Times New Roman" w:hAnsi="Times New Roman"/>
          <w:sz w:val="20"/>
        </w:rPr>
        <w:t xml:space="preserve">The rights granted to Janssen in Section 4.1.3 (Non-Exclusive Know-How Licenses) include the right to grant sublicenses to [***]. </w:t>
      </w:r>
    </w:p>
    <w:p>
      <w:pPr>
        <w:pStyle w:val="TextBody"/>
        <w:bidi w:val="0"/>
        <w:spacing w:before="240" w:after="0"/>
        <w:jc w:val="left"/>
        <w:rPr>
          <w:rFonts w:ascii="Times New Roman" w:hAnsi="Times New Roman"/>
          <w:sz w:val="20"/>
        </w:rPr>
      </w:pPr>
      <w:r>
        <w:rPr>
          <w:rFonts w:ascii="Times New Roman" w:hAnsi="Times New Roman"/>
          <w:sz w:val="20"/>
        </w:rPr>
        <w:t xml:space="preserve">4.1.4.3 </w:t>
      </w:r>
      <w:r>
        <w:rPr>
          <w:rFonts w:ascii="Times New Roman" w:hAnsi="Times New Roman"/>
          <w:i/>
          <w:sz w:val="20"/>
        </w:rPr>
        <w:t xml:space="preserve">Sublicense Requirements. </w:t>
      </w:r>
      <w:r>
        <w:rPr>
          <w:rFonts w:ascii="Times New Roman" w:hAnsi="Times New Roman"/>
          <w:sz w:val="20"/>
        </w:rPr>
        <w:t xml:space="preserve">Each sublicense hereunder will (a) be subject and subordinate to the terms and conditions of this Agreement; (b) contain terms and conditions which are consistent with the terms and conditions of this Agreement; (c) not in any way diminish, reduce or eliminate any of Licensees obligations under this Agreement; (d) impose on the sublicensee all applicable obligations under the terms of this Agreement, including the confidentiality and restricted use, intellectual property assignment, reporting, audit, inspection and confidentiality provisions hereunder; and (e) not be a bare license of intellectual property but rather be solely for the purpose of cooperative Exploitation of products. The sublicensing Party will be entirely and directly responsible to the other Party for (x) all payments due to the other Party due to activities performed by the sublicensing Party or any of its Affiliates or Sublicensees and (y) any damages suffered by the other Party as a result of actions or omissions by any sublicensees that would, if such actions or omissions had been those of the sublicensing Party, have caused the sublicensing Party to be in breach of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Janssen Reserved Rights; No Collaboration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Janssen Reserved Rights</w:t>
      </w:r>
      <w:r>
        <w:rPr>
          <w:rFonts w:ascii="Times New Roman" w:hAnsi="Times New Roman"/>
          <w:sz w:val="20"/>
        </w:rPr>
        <w:t>. Janssen and its Affiliates retain a non-exclusive right (with right to grant licenses to Third Parties) under the Licensed TARP8 Technology to conduct the following activities during Term in the Territory (such right, the </w:t>
      </w:r>
      <w:r>
        <w:rPr>
          <w:rFonts w:ascii="Times New Roman" w:hAnsi="Times New Roman"/>
          <w:b/>
          <w:sz w:val="20"/>
        </w:rPr>
        <w:t>Janssen Reserved Rights</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No Collaboration</w:t>
      </w:r>
      <w:r>
        <w:rPr>
          <w:rFonts w:ascii="Times New Roman" w:hAnsi="Times New Roman"/>
          <w:sz w:val="20"/>
        </w:rPr>
        <w:t xml:space="preserve">. It is understood that any work conducted by or on behalf of Janssen and its Affiliates under the Janssen Reserved Rights will be conducted independent of and without collaboration with Licensee, unless Janssen elects to enter into a collaboration or license agreement with Licensee.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Assignment of Primary TARP8 Patents</w:t>
      </w:r>
      <w:r>
        <w:rPr>
          <w:rFonts w:ascii="Times New Roman" w:hAnsi="Times New Roman"/>
          <w:sz w:val="20"/>
        </w:rPr>
        <w:t xml:space="preserve">. Subject to the terms and conditions of this Agreement, upon exercise of the TARP8 Option in accordance with the terms of this Agreement, Janssen hereby assigns, on behalf itself and its Affiliates (and will assign and cause its Affiliates to promptly assign to the extent such assignment can only be made in the future), to Licensee all of its and their rights, title, and interests in and to the Primary TARP8 Patents (including all rights to sue or recover and retain any damages, costs and attorneys fees for past, present and future infringement of any Primary TARP8 Patent). For clarity, notwithstanding anything herein to the contrary, any Primary TARP8 Patent assigned under this Section 4.3 (Assignment of Primary TARP8 Patents) to Licensee will be deemed to be a Licensed TARP8 Patent for the purposes of determining the Royalty Term under Section 6.4.2 (Royalty Term).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Exclusivity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4.4.1 </w:t>
      </w:r>
      <w:r>
        <w:rPr>
          <w:rFonts w:ascii="Times New Roman" w:hAnsi="Times New Roman"/>
          <w:sz w:val="20"/>
          <w:u w:val="single"/>
        </w:rPr>
        <w:t>TARP8 Program</w:t>
      </w:r>
      <w:r>
        <w:rPr>
          <w:rFonts w:ascii="Times New Roman" w:hAnsi="Times New Roman"/>
          <w:sz w:val="20"/>
        </w:rPr>
        <w:t xml:space="preserve">. For the period beginning on [***] and ending on [***], except for activities under this Agreement or as otherwise provided in Section 4.4.4 (Acquisitions) and Section 4.4.5 (Other Exceptions), neither Janssen nor any of its Affiliates will, directly or indirectly, alone or with any Third Party,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restriction will not apply to [***]. </w:t>
      </w:r>
    </w:p>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sz w:val="20"/>
          <w:u w:val="single"/>
        </w:rPr>
        <w:t>nACh Program</w:t>
      </w:r>
      <w:r>
        <w:rPr>
          <w:rFonts w:ascii="Times New Roman" w:hAnsi="Times New Roman"/>
          <w:sz w:val="20"/>
        </w:rPr>
        <w:t xml:space="preserve">. For the period beginning on [***] and ending on [***], and except as otherwise provided in Section 4.4.4 (Acquisitions) and Section 4.4.5 (Other Exceptions), neither Janssen nor any of its Affiliates will, directly or indirectly, alone or with any Third Party,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restriction will not apply to [***]. </w:t>
      </w:r>
    </w:p>
    <w:p>
      <w:pPr>
        <w:pStyle w:val="TextBody"/>
        <w:bidi w:val="0"/>
        <w:spacing w:before="240" w:after="0"/>
        <w:jc w:val="left"/>
        <w:rPr>
          <w:rFonts w:ascii="Times New Roman" w:hAnsi="Times New Roman"/>
          <w:sz w:val="20"/>
        </w:rPr>
      </w:pPr>
      <w:r>
        <w:rPr>
          <w:rFonts w:ascii="Times New Roman" w:hAnsi="Times New Roman"/>
          <w:sz w:val="20"/>
        </w:rPr>
        <w:t xml:space="preserve">4.4.3 </w:t>
      </w:r>
      <w:r>
        <w:rPr>
          <w:rFonts w:ascii="Times New Roman" w:hAnsi="Times New Roman"/>
          <w:sz w:val="20"/>
          <w:u w:val="single"/>
        </w:rPr>
        <w:t>Janssen Reserved Compounds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4.4.3.1 Upon exercise of the TARP8 Option by Licensee, beginning on [***] and for [***], neither Janssen nor any of its Affiliates will, directly or indirectly, alone or with any Third Party (or grant any license, option or other right to a Third Party to), [***]. </w:t>
      </w:r>
    </w:p>
    <w:p>
      <w:pPr>
        <w:pStyle w:val="TextBody"/>
        <w:bidi w:val="0"/>
        <w:spacing w:before="240" w:after="0"/>
        <w:jc w:val="left"/>
        <w:rPr>
          <w:rFonts w:ascii="Times New Roman" w:hAnsi="Times New Roman"/>
          <w:sz w:val="20"/>
        </w:rPr>
      </w:pPr>
      <w:r>
        <w:rPr>
          <w:rFonts w:ascii="Times New Roman" w:hAnsi="Times New Roman"/>
          <w:sz w:val="20"/>
        </w:rPr>
        <w:t xml:space="preserve">4.4.3.2 Upon exercise of the TARP8 Option by Licensee, beginning on the Option Exercise Date and for the remainder of the Term of this Agreement, neither Licensee nor any of its Affiliates will, directly or indirectly, alone or with any Third Party (or grant any license, option or other right to a Third Party to),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4.4.4 </w:t>
      </w:r>
      <w:r>
        <w:rPr>
          <w:rFonts w:ascii="Times New Roman" w:hAnsi="Times New Roman"/>
          <w:sz w:val="20"/>
          <w:u w:val="single"/>
        </w:rPr>
        <w:t>Acquisitions</w:t>
      </w:r>
      <w:r>
        <w:rPr>
          <w:rFonts w:ascii="Times New Roman" w:hAnsi="Times New Roman"/>
          <w:sz w:val="20"/>
        </w:rPr>
        <w:t>. Notwithstanding anything herein to the contrary, if Janssen or one of its Affiliates undergoes a Change of Control with a Third Party or acquires a Third Party, and in each case, such Third Party is performing the activities prior to the closing of such transaction that would have been prohibited by Section 4.4.1 (Exclusivity; TARP8 Program) or Section 4.4.2 (Exclusivity; nACh Program) if performed by Janssen (</w:t>
      </w:r>
      <w:r>
        <w:rPr>
          <w:rFonts w:ascii="Times New Roman" w:hAnsi="Times New Roman"/>
          <w:b/>
          <w:sz w:val="20"/>
        </w:rPr>
        <w:t>Competitive Activities</w:t>
      </w:r>
      <w:r>
        <w:rPr>
          <w:rFonts w:ascii="Times New Roman" w:hAnsi="Times New Roman"/>
          <w:sz w:val="20"/>
        </w:rPr>
        <w:t xml:space="preserve">), then Janssen will not be in breach of the restrictions set forth in Section 4.4.1 (Exclusivity; TARP8 Program) or 4.4.2 (Exclusivity; nACh Program) due to such transaction with such Third Party and such Third Party may continue to perform the applicable Competitive Activities as long as [***]. </w:t>
      </w:r>
    </w:p>
    <w:p>
      <w:pPr>
        <w:pStyle w:val="TextBody"/>
        <w:bidi w:val="0"/>
        <w:spacing w:before="240" w:after="0"/>
        <w:jc w:val="left"/>
        <w:rPr>
          <w:rFonts w:ascii="Times New Roman" w:hAnsi="Times New Roman"/>
          <w:sz w:val="20"/>
        </w:rPr>
      </w:pPr>
      <w:r>
        <w:rPr>
          <w:rFonts w:ascii="Times New Roman" w:hAnsi="Times New Roman"/>
          <w:sz w:val="20"/>
        </w:rPr>
        <w:t xml:space="preserve">4.4.5 </w:t>
      </w:r>
      <w:r>
        <w:rPr>
          <w:rFonts w:ascii="Times New Roman" w:hAnsi="Times New Roman"/>
          <w:sz w:val="20"/>
          <w:u w:val="single"/>
        </w:rPr>
        <w:t>Other Exceptions</w:t>
      </w:r>
      <w:r>
        <w:rPr>
          <w:rFonts w:ascii="Times New Roman" w:hAnsi="Times New Roman"/>
          <w:sz w:val="20"/>
        </w:rPr>
        <w:t xml:space="preserve">. Notwithstanding anything herein to the contrary, the restrictions set forth in Section 4.4.1 (Exclusivity; TARP8 Program) and Section 4.4.2 (Exclusivity; nACh Program) shall not apply to [***].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 Implied Licenses</w:t>
      </w:r>
      <w:r>
        <w:rPr>
          <w:rFonts w:ascii="Times New Roman" w:hAnsi="Times New Roman"/>
          <w:sz w:val="20"/>
        </w:rPr>
        <w:t xml:space="preserve">. Only those licenses expressly granted in this Agreement have effect. No license or other intellectual property interest is granted by implication or any method that is not express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LICENSEE OBLIGATIONS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Reporting</w:t>
      </w:r>
      <w:r>
        <w:rPr>
          <w:rFonts w:ascii="Times New Roman" w:hAnsi="Times New Roman"/>
          <w:sz w:val="20"/>
        </w:rPr>
        <w:t xml:space="preserve">. Beginning on the Option Exercise Date with respect to the TARP8 Compounds or the TARP8 Products, Licensee will provide annual written progress reports to Janssen summarizing (a) [***]. Within [***] following Janssens receipt of such annual report, Janssen may request additional, reasonable details with respect to such report, and within [***] following receipt of Janssens request therefor, Licensee will provide such additional, reasonable details regarding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Records</w:t>
      </w:r>
      <w:r>
        <w:rPr>
          <w:rFonts w:ascii="Times New Roman" w:hAnsi="Times New Roman"/>
          <w:sz w:val="20"/>
        </w:rPr>
        <w:t xml:space="preserve">. Licensee will maintain records, in sufficient detail and in good scientific manner in compliance with Applicable Laws and in accordance with the standards used in the pharmaceutical industry for drug discovery, Research, Development, patent and regulatory purposes which will fully and properly reflect all work done and results achieved in the performance of this Agreement by them. The records will be kept at Licensees place of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PAYMENTS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Upfront Payment</w:t>
      </w:r>
      <w:r>
        <w:rPr>
          <w:rFonts w:ascii="Times New Roman" w:hAnsi="Times New Roman"/>
          <w:sz w:val="20"/>
        </w:rPr>
        <w:t xml:space="preserve">. Licensee will pay to Janssen a non-refundable, non-creditable one-time payment in the amount of one million U.S. Dollars ($1,000,000) no later than [***] from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Option Fee</w:t>
      </w:r>
      <w:r>
        <w:rPr>
          <w:rFonts w:ascii="Times New Roman" w:hAnsi="Times New Roman"/>
          <w:sz w:val="20"/>
        </w:rPr>
        <w:t>. Following Licensees delivery of the Option Exercise Notice to Janssen in accordance with Section 2.2.3 (Option Exercise), Licensee will pay to Janssen a non-refundable, non-creditable, one-time payment in the amount of four million U.S. Dollars ($4,000,000) (</w:t>
      </w:r>
      <w:r>
        <w:rPr>
          <w:rFonts w:ascii="Times New Roman" w:hAnsi="Times New Roman"/>
          <w:b/>
          <w:sz w:val="20"/>
        </w:rPr>
        <w:t>Option Fee</w:t>
      </w:r>
      <w:r>
        <w:rPr>
          <w:rFonts w:ascii="Times New Roman" w:hAnsi="Times New Roman"/>
          <w:sz w:val="20"/>
        </w:rPr>
        <w:t xml:space="preserve">) no later than [***] from the date of Janssens receipt of the Option Exercise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Milestone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6.3.1 </w:t>
      </w:r>
      <w:r>
        <w:rPr>
          <w:rFonts w:ascii="Times New Roman" w:hAnsi="Times New Roman"/>
          <w:sz w:val="20"/>
          <w:u w:val="single"/>
        </w:rPr>
        <w:t>Milestone Payments for TARP8 Products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6.3.1.1 </w:t>
      </w:r>
      <w:r>
        <w:rPr>
          <w:rFonts w:ascii="Times New Roman" w:hAnsi="Times New Roman"/>
          <w:i/>
          <w:sz w:val="20"/>
        </w:rPr>
        <w:t>Development Milestone Events</w:t>
      </w:r>
      <w:r>
        <w:rPr>
          <w:rFonts w:ascii="Times New Roman" w:hAnsi="Times New Roman"/>
          <w:sz w:val="20"/>
        </w:rPr>
        <w:t xml:space="preserve">. Subject to the terms and conditions of this Agreement, if Licensee exercises the TARP8 Option pursuant to Section 2.2.3 (Option Exercise), Licensee will pay to Janssen each of the applicable milestone payments set forth in the table below upon the first (1st) achievement of the applicable development milestone event of a TARP8 Product. For clarity, each development milestone payment in this Section 6.3.1.1 (Development Milestone Events) will be payable only once and will be non-refundable and non-creditable.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2"/>
        <w:gridCol w:w="186"/>
        <w:gridCol w:w="3374"/>
        <w:gridCol w:w="186"/>
        <w:gridCol w:w="3507"/>
      </w:tblGrid>
      <w:tr>
        <w:trPr/>
        <w:tc>
          <w:tcPr>
            <w:tcW w:w="502"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50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7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Development Milestone Event</w:t>
            </w:r>
          </w:p>
        </w:tc>
        <w:tc>
          <w:tcPr>
            <w:tcW w:w="186" w:type="dxa"/>
            <w:tcBorders/>
            <w:vAlign w:val="bottom"/>
          </w:tcPr>
          <w:p>
            <w:pPr>
              <w:pStyle w:val="TableContents"/>
              <w:bidi w:val="0"/>
              <w:spacing w:before="0" w:after="283"/>
              <w:jc w:val="left"/>
              <w:rPr/>
            </w:pPr>
            <w:r>
              <w:rPr/>
              <w:t>  </w:t>
            </w:r>
          </w:p>
        </w:tc>
        <w:tc>
          <w:tcPr>
            <w:tcW w:w="350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Development Milestone Payment (USD)</w:t>
            </w:r>
          </w:p>
        </w:tc>
      </w:tr>
      <w:tr>
        <w:trPr/>
        <w:tc>
          <w:tcPr>
            <w:tcW w:w="7755" w:type="dxa"/>
            <w:gridSpan w:val="5"/>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Any [***] Lead Candidate Product</w:t>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86"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t>
            </w:r>
          </w:p>
        </w:tc>
        <w:tc>
          <w:tcPr>
            <w:tcW w:w="186" w:type="dxa"/>
            <w:tcBorders/>
            <w:vAlign w:val="bottom"/>
          </w:tcPr>
          <w:p>
            <w:pPr>
              <w:pStyle w:val="TableContents"/>
              <w:bidi w:val="0"/>
              <w:spacing w:before="0" w:after="283"/>
              <w:jc w:val="left"/>
              <w:rPr/>
            </w:pPr>
            <w:r>
              <w:rPr/>
              <w:t>  </w:t>
            </w:r>
          </w:p>
        </w:tc>
        <w:tc>
          <w:tcPr>
            <w:tcW w:w="3507" w:type="dxa"/>
            <w:tcBorders/>
            <w:vAlign w:val="bottom"/>
          </w:tcPr>
          <w:p>
            <w:pPr>
              <w:pStyle w:val="TableContents"/>
              <w:bidi w:val="0"/>
              <w:spacing w:before="0" w:after="283"/>
              <w:jc w:val="left"/>
              <w:rPr/>
            </w:pPr>
            <w:r>
              <w:rPr/>
              <w:t>$[***]</w:t>
            </w:r>
          </w:p>
        </w:tc>
      </w:tr>
      <w:tr>
        <w:trPr/>
        <w:tc>
          <w:tcPr>
            <w:tcW w:w="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86" w:type="dxa"/>
            <w:tcBorders/>
            <w:shd w:fill="CCEEFF" w:val="clear"/>
            <w:vAlign w:val="bottom"/>
          </w:tcPr>
          <w:p>
            <w:pPr>
              <w:pStyle w:val="TableContents"/>
              <w:bidi w:val="0"/>
              <w:spacing w:before="0" w:after="283"/>
              <w:jc w:val="left"/>
              <w:rPr/>
            </w:pPr>
            <w:r>
              <w:rPr/>
              <w:t>  </w:t>
            </w:r>
          </w:p>
        </w:tc>
        <w:tc>
          <w:tcPr>
            <w:tcW w:w="3374" w:type="dxa"/>
            <w:tcBorders/>
            <w:shd w:fill="CCEEFF" w:val="clear"/>
            <w:vAlign w:val="bottom"/>
          </w:tcPr>
          <w:p>
            <w:pPr>
              <w:pStyle w:val="TableContents"/>
              <w:bidi w:val="0"/>
              <w:spacing w:before="0" w:after="283"/>
              <w:jc w:val="left"/>
              <w:rPr/>
            </w:pPr>
            <w:r>
              <w:rPr/>
              <w:t>[***]</w:t>
            </w:r>
          </w:p>
        </w:tc>
        <w:tc>
          <w:tcPr>
            <w:tcW w:w="186" w:type="dxa"/>
            <w:tcBorders/>
            <w:shd w:fill="CCEEFF" w:val="clear"/>
            <w:vAlign w:val="bottom"/>
          </w:tcPr>
          <w:p>
            <w:pPr>
              <w:pStyle w:val="TableContents"/>
              <w:bidi w:val="0"/>
              <w:spacing w:before="0" w:after="283"/>
              <w:jc w:val="left"/>
              <w:rPr/>
            </w:pPr>
            <w:r>
              <w:rPr/>
              <w:t>  </w:t>
            </w:r>
          </w:p>
        </w:tc>
        <w:tc>
          <w:tcPr>
            <w:tcW w:w="3507" w:type="dxa"/>
            <w:tcBorders/>
            <w:shd w:fill="CCEEFF" w:val="clear"/>
            <w:vAlign w:val="bottom"/>
          </w:tcPr>
          <w:p>
            <w:pPr>
              <w:pStyle w:val="TableContents"/>
              <w:bidi w:val="0"/>
              <w:spacing w:before="0" w:after="283"/>
              <w:jc w:val="left"/>
              <w:rPr/>
            </w:pPr>
            <w:r>
              <w:rPr/>
              <w:t>$[***]</w:t>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86"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t>
            </w:r>
          </w:p>
        </w:tc>
        <w:tc>
          <w:tcPr>
            <w:tcW w:w="186" w:type="dxa"/>
            <w:tcBorders/>
            <w:vAlign w:val="bottom"/>
          </w:tcPr>
          <w:p>
            <w:pPr>
              <w:pStyle w:val="TableContents"/>
              <w:bidi w:val="0"/>
              <w:spacing w:before="0" w:after="283"/>
              <w:jc w:val="left"/>
              <w:rPr/>
            </w:pPr>
            <w:r>
              <w:rPr/>
              <w:t>  </w:t>
            </w:r>
          </w:p>
        </w:tc>
        <w:tc>
          <w:tcPr>
            <w:tcW w:w="3507" w:type="dxa"/>
            <w:tcBorders/>
            <w:vAlign w:val="bottom"/>
          </w:tcPr>
          <w:p>
            <w:pPr>
              <w:pStyle w:val="TableContents"/>
              <w:bidi w:val="0"/>
              <w:spacing w:before="0" w:after="283"/>
              <w:jc w:val="left"/>
              <w:rPr/>
            </w:pPr>
            <w:r>
              <w:rPr/>
              <w:t>$[***]</w:t>
            </w:r>
          </w:p>
        </w:tc>
      </w:tr>
      <w:tr>
        <w:trPr/>
        <w:tc>
          <w:tcPr>
            <w:tcW w:w="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86" w:type="dxa"/>
            <w:tcBorders/>
            <w:shd w:fill="CCEEFF" w:val="clear"/>
            <w:vAlign w:val="bottom"/>
          </w:tcPr>
          <w:p>
            <w:pPr>
              <w:pStyle w:val="TableContents"/>
              <w:bidi w:val="0"/>
              <w:spacing w:before="0" w:after="283"/>
              <w:jc w:val="left"/>
              <w:rPr/>
            </w:pPr>
            <w:r>
              <w:rPr/>
              <w:t>  </w:t>
            </w:r>
          </w:p>
        </w:tc>
        <w:tc>
          <w:tcPr>
            <w:tcW w:w="3374" w:type="dxa"/>
            <w:tcBorders/>
            <w:shd w:fill="CCEEFF" w:val="clear"/>
            <w:vAlign w:val="bottom"/>
          </w:tcPr>
          <w:p>
            <w:pPr>
              <w:pStyle w:val="TableContents"/>
              <w:bidi w:val="0"/>
              <w:spacing w:before="0" w:after="283"/>
              <w:jc w:val="left"/>
              <w:rPr/>
            </w:pPr>
            <w:r>
              <w:rPr/>
              <w:t>[***]</w:t>
            </w:r>
          </w:p>
        </w:tc>
        <w:tc>
          <w:tcPr>
            <w:tcW w:w="186" w:type="dxa"/>
            <w:tcBorders/>
            <w:shd w:fill="CCEEFF" w:val="clear"/>
            <w:vAlign w:val="bottom"/>
          </w:tcPr>
          <w:p>
            <w:pPr>
              <w:pStyle w:val="TableContents"/>
              <w:bidi w:val="0"/>
              <w:spacing w:before="0" w:after="283"/>
              <w:jc w:val="left"/>
              <w:rPr/>
            </w:pPr>
            <w:r>
              <w:rPr/>
              <w:t>  </w:t>
            </w:r>
          </w:p>
        </w:tc>
        <w:tc>
          <w:tcPr>
            <w:tcW w:w="3507" w:type="dxa"/>
            <w:tcBorders/>
            <w:shd w:fill="CCEEFF" w:val="clear"/>
            <w:vAlign w:val="bottom"/>
          </w:tcPr>
          <w:p>
            <w:pPr>
              <w:pStyle w:val="TableContents"/>
              <w:bidi w:val="0"/>
              <w:spacing w:before="0" w:after="283"/>
              <w:jc w:val="left"/>
              <w:rPr/>
            </w:pPr>
            <w:r>
              <w:rPr/>
              <w:t>$[***]</w:t>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86"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t>
            </w:r>
          </w:p>
        </w:tc>
        <w:tc>
          <w:tcPr>
            <w:tcW w:w="186" w:type="dxa"/>
            <w:tcBorders/>
            <w:vAlign w:val="bottom"/>
          </w:tcPr>
          <w:p>
            <w:pPr>
              <w:pStyle w:val="TableContents"/>
              <w:bidi w:val="0"/>
              <w:spacing w:before="0" w:after="283"/>
              <w:jc w:val="left"/>
              <w:rPr/>
            </w:pPr>
            <w:r>
              <w:rPr/>
              <w:t>  </w:t>
            </w:r>
          </w:p>
        </w:tc>
        <w:tc>
          <w:tcPr>
            <w:tcW w:w="3507" w:type="dxa"/>
            <w:tcBorders/>
            <w:vAlign w:val="bottom"/>
          </w:tcPr>
          <w:p>
            <w:pPr>
              <w:pStyle w:val="TableContents"/>
              <w:bidi w:val="0"/>
              <w:spacing w:before="0" w:after="283"/>
              <w:jc w:val="left"/>
              <w:rPr/>
            </w:pPr>
            <w:r>
              <w:rPr/>
              <w:t>$[***]</w:t>
            </w:r>
          </w:p>
        </w:tc>
      </w:tr>
      <w:tr>
        <w:trPr/>
        <w:tc>
          <w:tcPr>
            <w:tcW w:w="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86" w:type="dxa"/>
            <w:tcBorders/>
            <w:shd w:fill="CCEEFF" w:val="clear"/>
            <w:vAlign w:val="bottom"/>
          </w:tcPr>
          <w:p>
            <w:pPr>
              <w:pStyle w:val="TableContents"/>
              <w:bidi w:val="0"/>
              <w:spacing w:before="0" w:after="283"/>
              <w:jc w:val="left"/>
              <w:rPr/>
            </w:pPr>
            <w:r>
              <w:rPr/>
              <w:t>  </w:t>
            </w:r>
          </w:p>
        </w:tc>
        <w:tc>
          <w:tcPr>
            <w:tcW w:w="3374" w:type="dxa"/>
            <w:tcBorders/>
            <w:shd w:fill="CCEEFF" w:val="clear"/>
            <w:vAlign w:val="bottom"/>
          </w:tcPr>
          <w:p>
            <w:pPr>
              <w:pStyle w:val="TableContents"/>
              <w:bidi w:val="0"/>
              <w:spacing w:before="0" w:after="283"/>
              <w:jc w:val="left"/>
              <w:rPr/>
            </w:pPr>
            <w:r>
              <w:rPr/>
              <w:t>[***]</w:t>
            </w:r>
          </w:p>
        </w:tc>
        <w:tc>
          <w:tcPr>
            <w:tcW w:w="186" w:type="dxa"/>
            <w:tcBorders/>
            <w:shd w:fill="CCEEFF" w:val="clear"/>
            <w:vAlign w:val="bottom"/>
          </w:tcPr>
          <w:p>
            <w:pPr>
              <w:pStyle w:val="TableContents"/>
              <w:bidi w:val="0"/>
              <w:spacing w:before="0" w:after="283"/>
              <w:jc w:val="left"/>
              <w:rPr/>
            </w:pPr>
            <w:r>
              <w:rPr/>
              <w:t>  </w:t>
            </w:r>
          </w:p>
        </w:tc>
        <w:tc>
          <w:tcPr>
            <w:tcW w:w="3507" w:type="dxa"/>
            <w:tcBorders/>
            <w:shd w:fill="CCEEFF" w:val="clear"/>
            <w:vAlign w:val="bottom"/>
          </w:tcPr>
          <w:p>
            <w:pPr>
              <w:pStyle w:val="TableContents"/>
              <w:bidi w:val="0"/>
              <w:spacing w:before="0" w:after="283"/>
              <w:jc w:val="left"/>
              <w:rPr/>
            </w:pPr>
            <w:r>
              <w:rPr/>
              <w:t>$[***]</w:t>
            </w:r>
          </w:p>
        </w:tc>
      </w:tr>
      <w:tr>
        <w:trPr/>
        <w:tc>
          <w:tcPr>
            <w:tcW w:w="50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b/>
              </w:rPr>
            </w:pPr>
            <w:r>
              <w:rPr>
                <w:b/>
              </w:rPr>
              <w:t>Total</w:t>
            </w:r>
          </w:p>
        </w:tc>
        <w:tc>
          <w:tcPr>
            <w:tcW w:w="186" w:type="dxa"/>
            <w:tcBorders/>
            <w:vAlign w:val="bottom"/>
          </w:tcPr>
          <w:p>
            <w:pPr>
              <w:pStyle w:val="TableContents"/>
              <w:bidi w:val="0"/>
              <w:spacing w:before="0" w:after="283"/>
              <w:jc w:val="left"/>
              <w:rPr/>
            </w:pPr>
            <w:r>
              <w:rPr/>
              <w:t>  </w:t>
            </w:r>
          </w:p>
        </w:tc>
        <w:tc>
          <w:tcPr>
            <w:tcW w:w="3507" w:type="dxa"/>
            <w:tcBorders/>
            <w:vAlign w:val="bottom"/>
          </w:tcPr>
          <w:p>
            <w:pPr>
              <w:pStyle w:val="TableContents"/>
              <w:bidi w:val="0"/>
              <w:spacing w:before="0" w:after="283"/>
              <w:jc w:val="left"/>
              <w:rPr>
                <w:b/>
              </w:rPr>
            </w:pPr>
            <w:r>
              <w:rPr>
                <w:b/>
              </w:rPr>
              <w:t>$76,000,000</w:t>
            </w:r>
          </w:p>
        </w:tc>
      </w:tr>
      <w:tr>
        <w:trPr/>
        <w:tc>
          <w:tcPr>
            <w:tcW w:w="7755" w:type="dxa"/>
            <w:gridSpan w:val="5"/>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Any TARP8 Development Candidate Product other than a [***] Lead Candidate Product</w:t>
            </w:r>
          </w:p>
        </w:tc>
      </w:tr>
      <w:tr>
        <w:trPr/>
        <w:tc>
          <w:tcPr>
            <w:tcW w:w="502" w:type="dxa"/>
            <w:tcBorders/>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86"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t>
            </w:r>
          </w:p>
        </w:tc>
        <w:tc>
          <w:tcPr>
            <w:tcW w:w="186" w:type="dxa"/>
            <w:tcBorders/>
            <w:vAlign w:val="bottom"/>
          </w:tcPr>
          <w:p>
            <w:pPr>
              <w:pStyle w:val="TableContents"/>
              <w:bidi w:val="0"/>
              <w:spacing w:before="0" w:after="283"/>
              <w:jc w:val="left"/>
              <w:rPr/>
            </w:pPr>
            <w:r>
              <w:rPr/>
              <w:t>  </w:t>
            </w:r>
          </w:p>
        </w:tc>
        <w:tc>
          <w:tcPr>
            <w:tcW w:w="3507" w:type="dxa"/>
            <w:tcBorders/>
            <w:vAlign w:val="bottom"/>
          </w:tcPr>
          <w:p>
            <w:pPr>
              <w:pStyle w:val="TableContents"/>
              <w:bidi w:val="0"/>
              <w:spacing w:before="0" w:after="283"/>
              <w:jc w:val="left"/>
              <w:rPr/>
            </w:pPr>
            <w:r>
              <w:rPr/>
              <w:t>$[***]</w:t>
            </w:r>
          </w:p>
        </w:tc>
      </w:tr>
      <w:tr>
        <w:trPr/>
        <w:tc>
          <w:tcPr>
            <w:tcW w:w="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w:t>
            </w:r>
          </w:p>
        </w:tc>
        <w:tc>
          <w:tcPr>
            <w:tcW w:w="186" w:type="dxa"/>
            <w:tcBorders/>
            <w:shd w:fill="CCEEFF" w:val="clear"/>
            <w:vAlign w:val="bottom"/>
          </w:tcPr>
          <w:p>
            <w:pPr>
              <w:pStyle w:val="TableContents"/>
              <w:bidi w:val="0"/>
              <w:spacing w:before="0" w:after="283"/>
              <w:jc w:val="left"/>
              <w:rPr/>
            </w:pPr>
            <w:r>
              <w:rPr/>
              <w:t>  </w:t>
            </w:r>
          </w:p>
        </w:tc>
        <w:tc>
          <w:tcPr>
            <w:tcW w:w="3374" w:type="dxa"/>
            <w:tcBorders/>
            <w:shd w:fill="CCEEFF" w:val="clear"/>
            <w:vAlign w:val="bottom"/>
          </w:tcPr>
          <w:p>
            <w:pPr>
              <w:pStyle w:val="TableContents"/>
              <w:bidi w:val="0"/>
              <w:spacing w:before="0" w:after="283"/>
              <w:jc w:val="left"/>
              <w:rPr/>
            </w:pPr>
            <w:r>
              <w:rPr/>
              <w:t>[***]</w:t>
            </w:r>
          </w:p>
        </w:tc>
        <w:tc>
          <w:tcPr>
            <w:tcW w:w="186" w:type="dxa"/>
            <w:tcBorders/>
            <w:shd w:fill="CCEEFF" w:val="clear"/>
            <w:vAlign w:val="bottom"/>
          </w:tcPr>
          <w:p>
            <w:pPr>
              <w:pStyle w:val="TableContents"/>
              <w:bidi w:val="0"/>
              <w:spacing w:before="0" w:after="283"/>
              <w:jc w:val="left"/>
              <w:rPr/>
            </w:pPr>
            <w:r>
              <w:rPr/>
              <w:t>  </w:t>
            </w:r>
          </w:p>
        </w:tc>
        <w:tc>
          <w:tcPr>
            <w:tcW w:w="3507" w:type="dxa"/>
            <w:tcBorders/>
            <w:shd w:fill="CCEEFF" w:val="clear"/>
            <w:vAlign w:val="bottom"/>
          </w:tcPr>
          <w:p>
            <w:pPr>
              <w:pStyle w:val="TableContents"/>
              <w:bidi w:val="0"/>
              <w:spacing w:before="0" w:after="283"/>
              <w:jc w:val="left"/>
              <w:rPr/>
            </w:pPr>
            <w:r>
              <w:rPr/>
              <w:t>$[***]</w:t>
            </w:r>
          </w:p>
        </w:tc>
      </w:tr>
      <w:tr>
        <w:trPr/>
        <w:tc>
          <w:tcPr>
            <w:tcW w:w="50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b/>
              </w:rPr>
            </w:pPr>
            <w:r>
              <w:rPr>
                <w:b/>
              </w:rPr>
              <w:t>Total</w:t>
            </w:r>
          </w:p>
        </w:tc>
        <w:tc>
          <w:tcPr>
            <w:tcW w:w="186" w:type="dxa"/>
            <w:tcBorders/>
            <w:vAlign w:val="bottom"/>
          </w:tcPr>
          <w:p>
            <w:pPr>
              <w:pStyle w:val="TableContents"/>
              <w:bidi w:val="0"/>
              <w:spacing w:before="0" w:after="283"/>
              <w:jc w:val="left"/>
              <w:rPr/>
            </w:pPr>
            <w:r>
              <w:rPr/>
              <w:t>  </w:t>
            </w:r>
          </w:p>
        </w:tc>
        <w:tc>
          <w:tcPr>
            <w:tcW w:w="3507" w:type="dxa"/>
            <w:tcBorders/>
            <w:vAlign w:val="bottom"/>
          </w:tcPr>
          <w:p>
            <w:pPr>
              <w:pStyle w:val="TableContents"/>
              <w:bidi w:val="0"/>
              <w:spacing w:before="0" w:after="283"/>
              <w:jc w:val="left"/>
              <w:rPr>
                <w:b/>
              </w:rPr>
            </w:pPr>
            <w:r>
              <w:rPr>
                <w:b/>
              </w:rPr>
              <w:t>$25,000,000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Licensee will provide Janssen with written notice of the first achievement of each development milestone event for each TARP8 Product within [***]. Licensee will make the corresponding development milestone payments to Janssen within [***].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6.3.1.2 </w:t>
      </w:r>
      <w:r>
        <w:rPr>
          <w:rFonts w:ascii="Times New Roman" w:hAnsi="Times New Roman"/>
          <w:i/>
          <w:sz w:val="20"/>
        </w:rPr>
        <w:t xml:space="preserve">Sales Milestone Events. </w:t>
      </w:r>
      <w:r>
        <w:rPr>
          <w:rFonts w:ascii="Times New Roman" w:hAnsi="Times New Roman"/>
          <w:sz w:val="20"/>
        </w:rPr>
        <w:t xml:space="preserve">Subject to the terms and conditions of this Agreement, if Licensee exercises the TARP8 Option pursuant to Section 2.2.3 (Option Exercise), on a TARP8 Product-by-TARP8 Product basis, Licensee will pay to Janssen the applicable sales milestone payments set forth in the table below upon the first achievement of each of the sales milestone event in the Territory. For clarity, each sales milestone payment under this Section 6.3.1.2 (Sales Milestone Events) will be payable only one time and will be non-refundable and non-creditable.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
        <w:gridCol w:w="187"/>
        <w:gridCol w:w="3311"/>
        <w:gridCol w:w="187"/>
        <w:gridCol w:w="3567"/>
      </w:tblGrid>
      <w:tr>
        <w:trPr/>
        <w:tc>
          <w:tcPr>
            <w:tcW w:w="503"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50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3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Sales Milestone Event</w:t>
            </w:r>
          </w:p>
        </w:tc>
        <w:tc>
          <w:tcPr>
            <w:tcW w:w="187" w:type="dxa"/>
            <w:tcBorders/>
            <w:vAlign w:val="bottom"/>
          </w:tcPr>
          <w:p>
            <w:pPr>
              <w:pStyle w:val="TableContents"/>
              <w:bidi w:val="0"/>
              <w:spacing w:before="0" w:after="283"/>
              <w:jc w:val="left"/>
              <w:rPr/>
            </w:pPr>
            <w:r>
              <w:rPr/>
              <w:t>  </w:t>
            </w:r>
          </w:p>
        </w:tc>
        <w:tc>
          <w:tcPr>
            <w:tcW w:w="356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Sales Milestone Payment (USD)</w:t>
            </w:r>
          </w:p>
        </w:tc>
      </w:tr>
      <w:tr>
        <w:trPr/>
        <w:tc>
          <w:tcPr>
            <w:tcW w:w="7755" w:type="dxa"/>
            <w:gridSpan w:val="5"/>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Any [***] Lead Candidate Product</w:t>
            </w:r>
          </w:p>
        </w:tc>
      </w:tr>
      <w:tr>
        <w:trPr/>
        <w:tc>
          <w:tcPr>
            <w:tcW w:w="503"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87" w:type="dxa"/>
            <w:tcBorders/>
            <w:vAlign w:val="bottom"/>
          </w:tcPr>
          <w:p>
            <w:pPr>
              <w:pStyle w:val="TableContents"/>
              <w:bidi w:val="0"/>
              <w:spacing w:before="0" w:after="283"/>
              <w:jc w:val="left"/>
              <w:rPr/>
            </w:pPr>
            <w:r>
              <w:rPr/>
              <w:t>  </w:t>
            </w:r>
          </w:p>
        </w:tc>
        <w:tc>
          <w:tcPr>
            <w:tcW w:w="3311" w:type="dxa"/>
            <w:tcBorders/>
            <w:vAlign w:val="bottom"/>
          </w:tcPr>
          <w:p>
            <w:pPr>
              <w:pStyle w:val="TableContents"/>
              <w:bidi w:val="0"/>
              <w:spacing w:before="0" w:after="283"/>
              <w:jc w:val="left"/>
              <w:rPr/>
            </w:pPr>
            <w:r>
              <w:rPr/>
              <w:t>[***]</w:t>
            </w:r>
          </w:p>
        </w:tc>
        <w:tc>
          <w:tcPr>
            <w:tcW w:w="187"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283"/>
              <w:jc w:val="left"/>
              <w:rPr/>
            </w:pPr>
            <w:r>
              <w:rPr/>
              <w:t>$[***]</w:t>
            </w:r>
          </w:p>
        </w:tc>
      </w:tr>
      <w:tr>
        <w:trPr/>
        <w:tc>
          <w:tcPr>
            <w:tcW w:w="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87" w:type="dxa"/>
            <w:tcBorders/>
            <w:shd w:fill="CCEEFF" w:val="clear"/>
            <w:vAlign w:val="bottom"/>
          </w:tcPr>
          <w:p>
            <w:pPr>
              <w:pStyle w:val="TableContents"/>
              <w:bidi w:val="0"/>
              <w:spacing w:before="0" w:after="283"/>
              <w:jc w:val="left"/>
              <w:rPr/>
            </w:pPr>
            <w:r>
              <w:rPr/>
              <w:t>  </w:t>
            </w:r>
          </w:p>
        </w:tc>
        <w:tc>
          <w:tcPr>
            <w:tcW w:w="3311" w:type="dxa"/>
            <w:tcBorders/>
            <w:shd w:fill="CCEEFF" w:val="clear"/>
            <w:vAlign w:val="bottom"/>
          </w:tcPr>
          <w:p>
            <w:pPr>
              <w:pStyle w:val="TableContents"/>
              <w:bidi w:val="0"/>
              <w:spacing w:before="0" w:after="283"/>
              <w:jc w:val="left"/>
              <w:rPr/>
            </w:pPr>
            <w:r>
              <w:rPr/>
              <w:t>[***]</w:t>
            </w:r>
          </w:p>
        </w:tc>
        <w:tc>
          <w:tcPr>
            <w:tcW w:w="187" w:type="dxa"/>
            <w:tcBorders/>
            <w:shd w:fill="CCEEFF" w:val="clear"/>
            <w:vAlign w:val="bottom"/>
          </w:tcPr>
          <w:p>
            <w:pPr>
              <w:pStyle w:val="TableContents"/>
              <w:bidi w:val="0"/>
              <w:spacing w:before="0" w:after="283"/>
              <w:jc w:val="left"/>
              <w:rPr/>
            </w:pPr>
            <w:r>
              <w:rPr/>
              <w:t>  </w:t>
            </w:r>
          </w:p>
        </w:tc>
        <w:tc>
          <w:tcPr>
            <w:tcW w:w="3567" w:type="dxa"/>
            <w:tcBorders/>
            <w:shd w:fill="CCEEFF" w:val="clear"/>
            <w:vAlign w:val="bottom"/>
          </w:tcPr>
          <w:p>
            <w:pPr>
              <w:pStyle w:val="TableContents"/>
              <w:bidi w:val="0"/>
              <w:spacing w:before="0" w:after="283"/>
              <w:jc w:val="left"/>
              <w:rPr/>
            </w:pPr>
            <w:r>
              <w:rPr/>
              <w:t>$[***]</w:t>
            </w:r>
          </w:p>
        </w:tc>
      </w:tr>
      <w:tr>
        <w:trPr/>
        <w:tc>
          <w:tcPr>
            <w:tcW w:w="503"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3311" w:type="dxa"/>
            <w:tcBorders/>
            <w:vAlign w:val="bottom"/>
          </w:tcPr>
          <w:p>
            <w:pPr>
              <w:pStyle w:val="TableContents"/>
              <w:bidi w:val="0"/>
              <w:spacing w:before="0" w:after="283"/>
              <w:jc w:val="left"/>
              <w:rPr>
                <w:b/>
              </w:rPr>
            </w:pPr>
            <w:r>
              <w:rPr>
                <w:b/>
              </w:rPr>
              <w:t>Total</w:t>
            </w:r>
          </w:p>
        </w:tc>
        <w:tc>
          <w:tcPr>
            <w:tcW w:w="187"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283"/>
              <w:jc w:val="left"/>
              <w:rPr>
                <w:b/>
              </w:rPr>
            </w:pPr>
            <w:r>
              <w:rPr>
                <w:b/>
              </w:rPr>
              <w:t>$40,000,000</w:t>
            </w:r>
          </w:p>
        </w:tc>
      </w:tr>
      <w:tr>
        <w:trPr/>
        <w:tc>
          <w:tcPr>
            <w:tcW w:w="7755" w:type="dxa"/>
            <w:gridSpan w:val="5"/>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Any TARP8 Development Candidate Product other than a [***] Lead Candidate Product</w:t>
            </w:r>
          </w:p>
        </w:tc>
      </w:tr>
      <w:tr>
        <w:trPr/>
        <w:tc>
          <w:tcPr>
            <w:tcW w:w="503"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87" w:type="dxa"/>
            <w:tcBorders/>
            <w:vAlign w:val="bottom"/>
          </w:tcPr>
          <w:p>
            <w:pPr>
              <w:pStyle w:val="TableContents"/>
              <w:bidi w:val="0"/>
              <w:spacing w:before="0" w:after="283"/>
              <w:jc w:val="left"/>
              <w:rPr/>
            </w:pPr>
            <w:r>
              <w:rPr/>
              <w:t>  </w:t>
            </w:r>
          </w:p>
        </w:tc>
        <w:tc>
          <w:tcPr>
            <w:tcW w:w="3311" w:type="dxa"/>
            <w:tcBorders/>
            <w:vAlign w:val="bottom"/>
          </w:tcPr>
          <w:p>
            <w:pPr>
              <w:pStyle w:val="TableContents"/>
              <w:bidi w:val="0"/>
              <w:spacing w:before="0" w:after="283"/>
              <w:jc w:val="left"/>
              <w:rPr/>
            </w:pPr>
            <w:r>
              <w:rPr/>
              <w:t>[***]</w:t>
            </w:r>
          </w:p>
        </w:tc>
        <w:tc>
          <w:tcPr>
            <w:tcW w:w="187"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283"/>
              <w:jc w:val="left"/>
              <w:rPr/>
            </w:pPr>
            <w:r>
              <w:rPr/>
              <w:t>$[***]</w:t>
            </w:r>
          </w:p>
        </w:tc>
      </w:tr>
      <w:tr>
        <w:trPr/>
        <w:tc>
          <w:tcPr>
            <w:tcW w:w="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87" w:type="dxa"/>
            <w:tcBorders/>
            <w:shd w:fill="CCEEFF" w:val="clear"/>
            <w:vAlign w:val="bottom"/>
          </w:tcPr>
          <w:p>
            <w:pPr>
              <w:pStyle w:val="TableContents"/>
              <w:bidi w:val="0"/>
              <w:spacing w:before="0" w:after="283"/>
              <w:jc w:val="left"/>
              <w:rPr/>
            </w:pPr>
            <w:r>
              <w:rPr/>
              <w:t>  </w:t>
            </w:r>
          </w:p>
        </w:tc>
        <w:tc>
          <w:tcPr>
            <w:tcW w:w="3311" w:type="dxa"/>
            <w:tcBorders/>
            <w:shd w:fill="CCEEFF" w:val="clear"/>
            <w:vAlign w:val="bottom"/>
          </w:tcPr>
          <w:p>
            <w:pPr>
              <w:pStyle w:val="TableContents"/>
              <w:bidi w:val="0"/>
              <w:spacing w:before="0" w:after="283"/>
              <w:jc w:val="left"/>
              <w:rPr/>
            </w:pPr>
            <w:r>
              <w:rPr/>
              <w:t>[***]</w:t>
            </w:r>
          </w:p>
        </w:tc>
        <w:tc>
          <w:tcPr>
            <w:tcW w:w="187" w:type="dxa"/>
            <w:tcBorders/>
            <w:shd w:fill="CCEEFF" w:val="clear"/>
            <w:vAlign w:val="bottom"/>
          </w:tcPr>
          <w:p>
            <w:pPr>
              <w:pStyle w:val="TableContents"/>
              <w:bidi w:val="0"/>
              <w:spacing w:before="0" w:after="283"/>
              <w:jc w:val="left"/>
              <w:rPr/>
            </w:pPr>
            <w:r>
              <w:rPr/>
              <w:t>  </w:t>
            </w:r>
          </w:p>
        </w:tc>
        <w:tc>
          <w:tcPr>
            <w:tcW w:w="3567" w:type="dxa"/>
            <w:tcBorders/>
            <w:shd w:fill="CCEEFF" w:val="clear"/>
            <w:vAlign w:val="bottom"/>
          </w:tcPr>
          <w:p>
            <w:pPr>
              <w:pStyle w:val="TableContents"/>
              <w:bidi w:val="0"/>
              <w:spacing w:before="0" w:after="283"/>
              <w:jc w:val="left"/>
              <w:rPr/>
            </w:pPr>
            <w:r>
              <w:rPr/>
              <w:t>$[***]</w:t>
            </w:r>
          </w:p>
        </w:tc>
      </w:tr>
      <w:tr>
        <w:trPr/>
        <w:tc>
          <w:tcPr>
            <w:tcW w:w="503"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3311" w:type="dxa"/>
            <w:tcBorders/>
            <w:vAlign w:val="bottom"/>
          </w:tcPr>
          <w:p>
            <w:pPr>
              <w:pStyle w:val="TableContents"/>
              <w:bidi w:val="0"/>
              <w:spacing w:before="0" w:after="283"/>
              <w:jc w:val="left"/>
              <w:rPr>
                <w:b/>
              </w:rPr>
            </w:pPr>
            <w:r>
              <w:rPr>
                <w:b/>
              </w:rPr>
              <w:t>Total</w:t>
            </w:r>
          </w:p>
        </w:tc>
        <w:tc>
          <w:tcPr>
            <w:tcW w:w="187" w:type="dxa"/>
            <w:tcBorders/>
            <w:vAlign w:val="bottom"/>
          </w:tcPr>
          <w:p>
            <w:pPr>
              <w:pStyle w:val="TableContents"/>
              <w:bidi w:val="0"/>
              <w:spacing w:before="0" w:after="283"/>
              <w:jc w:val="left"/>
              <w:rPr/>
            </w:pPr>
            <w:r>
              <w:rPr/>
              <w:t>  </w:t>
            </w:r>
          </w:p>
        </w:tc>
        <w:tc>
          <w:tcPr>
            <w:tcW w:w="3567" w:type="dxa"/>
            <w:tcBorders/>
            <w:vAlign w:val="bottom"/>
          </w:tcPr>
          <w:p>
            <w:pPr>
              <w:pStyle w:val="TableContents"/>
              <w:bidi w:val="0"/>
              <w:spacing w:before="0" w:after="283"/>
              <w:jc w:val="left"/>
              <w:rPr>
                <w:b/>
              </w:rPr>
            </w:pPr>
            <w:r>
              <w:rPr>
                <w:b/>
              </w:rPr>
              <w:t>$42,000,000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Licensee will provide Janssen with written notice of the achievement of each sales milestone event within [***]. Licensee will make the corresponding sales milestone payments to Janssen within [***]. For clarity, if multiple sales milestone events are first achieved in a single Calendar Quarter within the same Calendar Year, the sales milestone payments corresponding to all of such achieved sales milestone events will be payable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6.3.2 </w:t>
      </w:r>
      <w:r>
        <w:rPr>
          <w:rFonts w:ascii="Times New Roman" w:hAnsi="Times New Roman"/>
          <w:sz w:val="20"/>
          <w:u w:val="single"/>
        </w:rPr>
        <w:t>Limit on Number of Milestone Payments; Milestone Payment Timing</w:t>
      </w:r>
      <w:r>
        <w:rPr>
          <w:rFonts w:ascii="Times New Roman" w:hAnsi="Times New Roman"/>
          <w:sz w:val="20"/>
        </w:rPr>
        <w:t xml:space="preserve">. If Janssen believes any development milestone payment or sales milestone payment is due in spite of not having received notice from Licensee, it will so notify Licensee and provide to Licensee the data and information supporting its belief. Licensee will have [***] after receipt of the data and information from Janssen to address Janssens notification. If Licensee disagrees with Janssens notice, then the Parties will resolve the dispute in accordance with the dispute resolution procedure set forth in ARTICLE 12 (Dispute Resolution) as their sole method to resolve the issue.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Royalties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6.4.1 </w:t>
      </w:r>
      <w:r>
        <w:rPr>
          <w:rFonts w:ascii="Times New Roman" w:hAnsi="Times New Roman"/>
          <w:sz w:val="20"/>
          <w:u w:val="single"/>
        </w:rPr>
        <w:t>Royalty Rates</w:t>
      </w:r>
      <w:r>
        <w:rPr>
          <w:rFonts w:ascii="Times New Roman" w:hAnsi="Times New Roman"/>
          <w:sz w:val="20"/>
        </w:rPr>
        <w:t xml:space="preserve">. Subject to the terms and conditions of this Agreement (including this Section 6.4 (Royalties)), if Licensee exercises the TARP8 Option pursuant to Section 2.2.3 (Option Exercise), during the applicable Royalty Term, Licensee will pay to Janssen royalty payments, on a TARP8 Product-by-TARP8 Product basis, based on Annual Net Sales of a TARP8 Product by or on behalf of Licensee, its Affiliates and its and their Sublicensees in the Field in the Territory during each Calendar Year at the applicable rates set forth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00"/>
        <w:gridCol w:w="171"/>
        <w:gridCol w:w="2657"/>
        <w:gridCol w:w="172"/>
        <w:gridCol w:w="2572"/>
      </w:tblGrid>
      <w:tr>
        <w:trPr/>
        <w:tc>
          <w:tcPr>
            <w:tcW w:w="300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300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Portion of Annual Net Sales in a</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Calendar Year</w:t>
            </w:r>
          </w:p>
        </w:tc>
        <w:tc>
          <w:tcPr>
            <w:tcW w:w="171" w:type="dxa"/>
            <w:tcBorders/>
            <w:vAlign w:val="bottom"/>
          </w:tcPr>
          <w:p>
            <w:pPr>
              <w:pStyle w:val="TableContents"/>
              <w:bidi w:val="0"/>
              <w:spacing w:before="0" w:after="283"/>
              <w:jc w:val="left"/>
              <w:rPr/>
            </w:pPr>
            <w:r>
              <w:rPr/>
              <w:t>  </w:t>
            </w:r>
          </w:p>
        </w:tc>
        <w:tc>
          <w:tcPr>
            <w:tcW w:w="26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Royalty Rate (%) for [***]</w:t>
            </w:r>
          </w:p>
        </w:tc>
        <w:tc>
          <w:tcPr>
            <w:tcW w:w="172" w:type="dxa"/>
            <w:tcBorders/>
            <w:vAlign w:val="bottom"/>
          </w:tcPr>
          <w:p>
            <w:pPr>
              <w:pStyle w:val="TableContents"/>
              <w:bidi w:val="0"/>
              <w:spacing w:before="0" w:after="283"/>
              <w:jc w:val="left"/>
              <w:rPr/>
            </w:pPr>
            <w:r>
              <w:rPr/>
              <w:t>  </w:t>
            </w:r>
          </w:p>
        </w:tc>
        <w:tc>
          <w:tcPr>
            <w:tcW w:w="25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Royalty Rate (%) for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 w:type="dxa"/>
            <w:tcBorders/>
            <w:shd w:fill="CCEEFF" w:val="clear"/>
            <w:vAlign w:val="bottom"/>
          </w:tcPr>
          <w:p>
            <w:pPr>
              <w:pStyle w:val="TableContents"/>
              <w:bidi w:val="0"/>
              <w:spacing w:before="0" w:after="283"/>
              <w:jc w:val="left"/>
              <w:rPr/>
            </w:pPr>
            <w:r>
              <w:rPr/>
              <w:t>  </w:t>
            </w:r>
          </w:p>
        </w:tc>
        <w:tc>
          <w:tcPr>
            <w:tcW w:w="2657" w:type="dxa"/>
            <w:tcBorders/>
            <w:shd w:fill="CCEEFF" w:val="clear"/>
            <w:vAlign w:val="bottom"/>
          </w:tcPr>
          <w:p>
            <w:pPr>
              <w:pStyle w:val="TableContents"/>
              <w:bidi w:val="0"/>
              <w:spacing w:before="0" w:after="283"/>
              <w:jc w:val="center"/>
              <w:rPr/>
            </w:pPr>
            <w:r>
              <w:rPr/>
              <w:t>[***]%</w:t>
            </w:r>
          </w:p>
        </w:tc>
        <w:tc>
          <w:tcPr>
            <w:tcW w:w="172" w:type="dxa"/>
            <w:tcBorders/>
            <w:shd w:fill="CCEEFF" w:val="clear"/>
            <w:vAlign w:val="bottom"/>
          </w:tcPr>
          <w:p>
            <w:pPr>
              <w:pStyle w:val="TableContents"/>
              <w:bidi w:val="0"/>
              <w:spacing w:before="0" w:after="283"/>
              <w:jc w:val="left"/>
              <w:rPr/>
            </w:pPr>
            <w:r>
              <w:rPr/>
              <w:t>  </w:t>
            </w:r>
          </w:p>
        </w:tc>
        <w:tc>
          <w:tcPr>
            <w:tcW w:w="2572" w:type="dxa"/>
            <w:tcBorders/>
            <w:shd w:fill="CCEEFF" w:val="clear"/>
            <w:vAlign w:val="bottom"/>
          </w:tcPr>
          <w:p>
            <w:pPr>
              <w:pStyle w:val="TableContents"/>
              <w:bidi w:val="0"/>
              <w:spacing w:before="0" w:after="283"/>
              <w:jc w:val="center"/>
              <w:rPr/>
            </w:pPr>
            <w:r>
              <w:rPr/>
              <w:t>[***]%</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 w:type="dxa"/>
            <w:tcBorders/>
            <w:vAlign w:val="bottom"/>
          </w:tcPr>
          <w:p>
            <w:pPr>
              <w:pStyle w:val="TableContents"/>
              <w:bidi w:val="0"/>
              <w:spacing w:before="0" w:after="283"/>
              <w:jc w:val="left"/>
              <w:rPr/>
            </w:pPr>
            <w:r>
              <w:rPr/>
              <w:t>  </w:t>
            </w:r>
          </w:p>
        </w:tc>
        <w:tc>
          <w:tcPr>
            <w:tcW w:w="2657" w:type="dxa"/>
            <w:tcBorders/>
            <w:vAlign w:val="bottom"/>
          </w:tcPr>
          <w:p>
            <w:pPr>
              <w:pStyle w:val="TableContents"/>
              <w:bidi w:val="0"/>
              <w:spacing w:before="0" w:after="283"/>
              <w:jc w:val="center"/>
              <w:rPr/>
            </w:pPr>
            <w:r>
              <w:rPr/>
              <w:t>[***]%</w:t>
            </w:r>
          </w:p>
        </w:tc>
        <w:tc>
          <w:tcPr>
            <w:tcW w:w="172" w:type="dxa"/>
            <w:tcBorders/>
            <w:vAlign w:val="bottom"/>
          </w:tcPr>
          <w:p>
            <w:pPr>
              <w:pStyle w:val="TableContents"/>
              <w:bidi w:val="0"/>
              <w:spacing w:before="0" w:after="283"/>
              <w:jc w:val="left"/>
              <w:rPr/>
            </w:pPr>
            <w:r>
              <w:rPr/>
              <w:t>  </w:t>
            </w:r>
          </w:p>
        </w:tc>
        <w:tc>
          <w:tcPr>
            <w:tcW w:w="2572" w:type="dxa"/>
            <w:tcBorders/>
            <w:vAlign w:val="bottom"/>
          </w:tcPr>
          <w:p>
            <w:pPr>
              <w:pStyle w:val="TableContents"/>
              <w:bidi w:val="0"/>
              <w:spacing w:before="0" w:after="283"/>
              <w:jc w:val="center"/>
              <w:rPr/>
            </w:pPr>
            <w:r>
              <w:rPr/>
              <w:t>[***]%</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 w:type="dxa"/>
            <w:tcBorders/>
            <w:shd w:fill="CCEEFF" w:val="clear"/>
            <w:vAlign w:val="bottom"/>
          </w:tcPr>
          <w:p>
            <w:pPr>
              <w:pStyle w:val="TableContents"/>
              <w:bidi w:val="0"/>
              <w:spacing w:before="0" w:after="283"/>
              <w:jc w:val="left"/>
              <w:rPr/>
            </w:pPr>
            <w:r>
              <w:rPr/>
              <w:t>  </w:t>
            </w:r>
          </w:p>
        </w:tc>
        <w:tc>
          <w:tcPr>
            <w:tcW w:w="2657" w:type="dxa"/>
            <w:tcBorders/>
            <w:shd w:fill="CCEEFF" w:val="clear"/>
            <w:vAlign w:val="bottom"/>
          </w:tcPr>
          <w:p>
            <w:pPr>
              <w:pStyle w:val="TableContents"/>
              <w:bidi w:val="0"/>
              <w:spacing w:before="0" w:after="283"/>
              <w:jc w:val="center"/>
              <w:rPr/>
            </w:pPr>
            <w:r>
              <w:rPr/>
              <w:t>[***]%</w:t>
            </w:r>
          </w:p>
        </w:tc>
        <w:tc>
          <w:tcPr>
            <w:tcW w:w="172" w:type="dxa"/>
            <w:tcBorders/>
            <w:shd w:fill="CCEEFF" w:val="clear"/>
            <w:vAlign w:val="bottom"/>
          </w:tcPr>
          <w:p>
            <w:pPr>
              <w:pStyle w:val="TableContents"/>
              <w:bidi w:val="0"/>
              <w:spacing w:before="0" w:after="283"/>
              <w:jc w:val="left"/>
              <w:rPr/>
            </w:pPr>
            <w:r>
              <w:rPr/>
              <w:t>  </w:t>
            </w:r>
          </w:p>
        </w:tc>
        <w:tc>
          <w:tcPr>
            <w:tcW w:w="2572" w:type="dxa"/>
            <w:tcBorders/>
            <w:shd w:fill="CCEEFF" w:val="clear"/>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Royalties on the Annual Net Sales of each TARP8 Product in the Territory in a Calendar Year will be paid at the rate applicable to the portion of Annual Net Sales within each of the Net Sales tiers during such Calendar Year. [***] </w:t>
      </w:r>
    </w:p>
    <w:p>
      <w:pPr>
        <w:pStyle w:val="TextBody"/>
        <w:bidi w:val="0"/>
        <w:spacing w:before="240" w:after="0"/>
        <w:jc w:val="left"/>
        <w:rPr>
          <w:rFonts w:ascii="Times New Roman" w:hAnsi="Times New Roman"/>
          <w:sz w:val="20"/>
        </w:rPr>
      </w:pPr>
      <w:r>
        <w:rPr>
          <w:rFonts w:ascii="Times New Roman" w:hAnsi="Times New Roman"/>
          <w:sz w:val="20"/>
        </w:rPr>
        <w:t xml:space="preserve">6.4.2 </w:t>
      </w:r>
      <w:r>
        <w:rPr>
          <w:rFonts w:ascii="Times New Roman" w:hAnsi="Times New Roman"/>
          <w:sz w:val="20"/>
          <w:u w:val="single"/>
        </w:rPr>
        <w:t>Royalty Term</w:t>
      </w:r>
      <w:r>
        <w:rPr>
          <w:rFonts w:ascii="Times New Roman" w:hAnsi="Times New Roman"/>
          <w:sz w:val="20"/>
        </w:rPr>
        <w:t>. If Licensee exercises the TARP8 Option pursuant to Section 2.2.3 (Option Exercise), the period in which royalties are payable for a TARP8 Product commences with the First Commercial Sale of such TARP8 Product in a country and ends upon the latest to occur of (a) the date on which there is no Valid Claim of a Licensed TARP8 Patent (including any Primary TARP8 Patent) in such country that Covers the [***] of a TARP8 Compound within such TARP8 Product or [***] of such TARP8 Product, (b) the expiration of any Regulatory Exclusivity for such TARP8 Product in such country, and (c) the [***] anniversary of such date of First Commercial Sale of such TARP8 Product in such country (such period, the </w:t>
      </w:r>
      <w:r>
        <w:rPr>
          <w:rFonts w:ascii="Times New Roman" w:hAnsi="Times New Roman"/>
          <w:b/>
          <w:sz w:val="20"/>
        </w:rPr>
        <w:t>Royalty Term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6.4.3 </w:t>
      </w:r>
      <w:r>
        <w:rPr>
          <w:rFonts w:ascii="Times New Roman" w:hAnsi="Times New Roman"/>
          <w:sz w:val="20"/>
          <w:u w:val="single"/>
        </w:rPr>
        <w:t>Royalty Reductions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6.4.3.1 </w:t>
      </w:r>
      <w:r>
        <w:rPr>
          <w:rFonts w:ascii="Times New Roman" w:hAnsi="Times New Roman"/>
          <w:i/>
          <w:sz w:val="20"/>
        </w:rPr>
        <w:t>No Valid Claim or Regulatory Exclusivity</w:t>
      </w:r>
      <w:r>
        <w:rPr>
          <w:rFonts w:ascii="Times New Roman" w:hAnsi="Times New Roman"/>
          <w:sz w:val="20"/>
        </w:rPr>
        <w:t xml:space="preserve">. On a TARP8 Product-by-TARP8 Product and country-by-country basis, if [***] is no longer covered by a Valid Claim of a Licensed TARP8 Patent in such country, and if there is no longer any Regulatory Exclusivity for such TARP8 Product in such country, then the royalties payable with respect to such TARP8 Product pursuant to Section 6.4.1 (Royalty Rates) in such country will be reduced by [***]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6.4.3.2 </w:t>
      </w:r>
      <w:r>
        <w:rPr>
          <w:rFonts w:ascii="Times New Roman" w:hAnsi="Times New Roman"/>
          <w:i/>
          <w:sz w:val="20"/>
        </w:rPr>
        <w:t>Generic Competition</w:t>
      </w:r>
      <w:r>
        <w:rPr>
          <w:rFonts w:ascii="Times New Roman" w:hAnsi="Times New Roman"/>
          <w:sz w:val="20"/>
        </w:rPr>
        <w:t xml:space="preserve">. On a TARP8 Product-by-TARP8 Product and country-by-country basis, if a TARP8 Product is sold in a country during the applicable Royalty Term at a time when [***], then, from and after, [***], the royalties payable on Net Sales of such TARP8 Product pursuant to Section 6.4.1 (Royalty Rates) in such country in any Calendar Quarter during the applicable Royalty Term will be reduced to an amount equal to [***] of the royalties that would otherwise be payable on Net Sales of such TARP8 Product in such country in such Calendar Quarter under Section 6.4.1 (Royalty Rates). </w:t>
      </w:r>
    </w:p>
    <w:p>
      <w:pPr>
        <w:pStyle w:val="TextBody"/>
        <w:bidi w:val="0"/>
        <w:spacing w:before="240" w:after="0"/>
        <w:jc w:val="left"/>
        <w:rPr>
          <w:rFonts w:ascii="Times New Roman" w:hAnsi="Times New Roman"/>
          <w:sz w:val="20"/>
        </w:rPr>
      </w:pPr>
      <w:r>
        <w:rPr>
          <w:rFonts w:ascii="Times New Roman" w:hAnsi="Times New Roman"/>
          <w:sz w:val="20"/>
        </w:rPr>
        <w:t xml:space="preserve">6.4.3.3 </w:t>
      </w:r>
      <w:r>
        <w:rPr>
          <w:rFonts w:ascii="Times New Roman" w:hAnsi="Times New Roman"/>
          <w:i/>
          <w:sz w:val="20"/>
        </w:rPr>
        <w:t>Anti-Stacking</w:t>
      </w:r>
      <w:r>
        <w:rPr>
          <w:rFonts w:ascii="Times New Roman" w:hAnsi="Times New Roman"/>
          <w:sz w:val="20"/>
        </w:rPr>
        <w:t>. In the event that Licensee or its Affiliate or Sublicensee (as applicable) obtains one or more licenses under [***] of Third Parties (excluding Sublicensees) that [***] (</w:t>
      </w:r>
      <w:r>
        <w:rPr>
          <w:rFonts w:ascii="Times New Roman" w:hAnsi="Times New Roman"/>
          <w:b/>
          <w:sz w:val="20"/>
        </w:rPr>
        <w:t>Third Party License</w:t>
      </w:r>
      <w:r>
        <w:rPr>
          <w:rFonts w:ascii="Times New Roman" w:hAnsi="Times New Roman"/>
          <w:sz w:val="20"/>
        </w:rPr>
        <w:t xml:space="preserve">), then Licensee may credit against the applicable royalties payable under Section 6.4.1 (Royalty Rates) by Licensee to Janssen with respect to Net Sales of such TARP8 Product in such country for a Calendar Quarter [***] of the royalties actually paid by Licensee or such Affiliate or Sublicensee (as applicable) under such Third Party License with respect to sales of such TARP8 Product in such country for such Calendar Quarter, to the extent specifically attributable to such [***] of such Third Parties that [***]. Notwithstanding the foregoing, in no event will the royalties payable by Licensee to Janssen hereunder with respect to Net Sales of such TARP8 Product in such country for such Calendar Quarter be reduced by more than [***] as a result of any and all such credits in the aggregate, but [***]. </w:t>
      </w:r>
    </w:p>
    <w:p>
      <w:pPr>
        <w:pStyle w:val="TextBody"/>
        <w:bidi w:val="0"/>
        <w:spacing w:before="240" w:after="0"/>
        <w:jc w:val="left"/>
        <w:rPr>
          <w:rFonts w:ascii="Times New Roman" w:hAnsi="Times New Roman"/>
          <w:sz w:val="20"/>
        </w:rPr>
      </w:pPr>
      <w:r>
        <w:rPr>
          <w:rFonts w:ascii="Times New Roman" w:hAnsi="Times New Roman"/>
          <w:sz w:val="20"/>
        </w:rPr>
        <w:t xml:space="preserve">6.4.4 </w:t>
      </w:r>
      <w:r>
        <w:rPr>
          <w:rFonts w:ascii="Times New Roman" w:hAnsi="Times New Roman"/>
          <w:sz w:val="20"/>
          <w:u w:val="single"/>
        </w:rPr>
        <w:t>Royalty Floor</w:t>
      </w:r>
      <w:r>
        <w:rPr>
          <w:rFonts w:ascii="Times New Roman" w:hAnsi="Times New Roman"/>
          <w:sz w:val="20"/>
        </w:rPr>
        <w:t xml:space="preserve">. Notwithstanding the foregoing, in no event will the total deductions and reductions under Section 6.4.3 (Royalty reductions) reduce the royalties payable to Janssen under Section 6.4.1 (Royalty Rates) with respect to a given TARP8 Product in any given country in any Calendar Quarter by more than [***].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6.5 Sales Reports and Payment Methods. </w:t>
      </w:r>
    </w:p>
    <w:p>
      <w:pPr>
        <w:pStyle w:val="TextBody"/>
        <w:bidi w:val="0"/>
        <w:spacing w:before="24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Sales Reports</w:t>
      </w:r>
      <w:r>
        <w:rPr>
          <w:rFonts w:ascii="Times New Roman" w:hAnsi="Times New Roman"/>
          <w:sz w:val="20"/>
        </w:rPr>
        <w:t xml:space="preserve">. During the Term following the First Commercial Sale of a TARP8 Product in any country, Licensee will furnish to Janssen a written report, as of the end of each Calendar Quarter, showing [***]. Licensee will provide such reports to Janssen, together with payment, no later than the [***]. Licensee will keep complete and accurate records in sufficient detail to enable the royalties payable to be determined and the information provided to be verified by Janssens accounting firm pursuant to Section 6.6 (Audits).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Currency Conversion</w:t>
      </w:r>
      <w:r>
        <w:rPr>
          <w:rFonts w:ascii="Times New Roman" w:hAnsi="Times New Roman"/>
          <w:sz w:val="20"/>
        </w:rPr>
        <w:t xml:space="preserve">. With respect to Net Sales of TARP8 Products reported in a currency other than U.S. Dollars, such amounts and the royalty amounts payable under this Agreement will be expressed in their U.S. Dollar equivalent calculated using [***].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Audits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6.6.1 </w:t>
      </w:r>
      <w:r>
        <w:rPr>
          <w:rFonts w:ascii="Times New Roman" w:hAnsi="Times New Roman"/>
          <w:sz w:val="20"/>
          <w:u w:val="single"/>
        </w:rPr>
        <w:t>Audits</w:t>
      </w:r>
      <w:r>
        <w:rPr>
          <w:rFonts w:ascii="Times New Roman" w:hAnsi="Times New Roman"/>
          <w:sz w:val="20"/>
        </w:rPr>
        <w:t xml:space="preserve">. Upon the written request of Janssen, with at least [***] prior written notice to Licensee, and not more than once in each Calendar Year, Licensee will permit an independent certified public accounting firm of nationally recognized standing selected by Janssen and reasonably acceptable to Licensee, at Janssens expense, to have reasonable access during normal business hours to such of the records of Licensee and its Affiliates as may be reasonably necessary to verify the accuracy of the royalty reports under this Agreement. Those records will include gross sales of each TARP8 Product on a country-by-country basis, as well as all deductions taken from gross sales in that country to arrive at Net Sales in that country. Janssen will instruct the accounting firm to disclose to Janssen only whether the royalty reports are correct or incorrect and the specific details concerning any discrepancies. </w:t>
      </w:r>
    </w:p>
    <w:p>
      <w:pPr>
        <w:pStyle w:val="TextBody"/>
        <w:bidi w:val="0"/>
        <w:spacing w:before="240" w:after="0"/>
        <w:jc w:val="left"/>
        <w:rPr>
          <w:rFonts w:ascii="Times New Roman" w:hAnsi="Times New Roman"/>
          <w:sz w:val="20"/>
        </w:rPr>
      </w:pPr>
      <w:r>
        <w:rPr>
          <w:rFonts w:ascii="Times New Roman" w:hAnsi="Times New Roman"/>
          <w:sz w:val="20"/>
        </w:rPr>
        <w:t xml:space="preserve">6.6.2 </w:t>
      </w:r>
      <w:r>
        <w:rPr>
          <w:rFonts w:ascii="Times New Roman" w:hAnsi="Times New Roman"/>
          <w:sz w:val="20"/>
          <w:u w:val="single"/>
        </w:rPr>
        <w:t>Underpayments; Overpayments</w:t>
      </w:r>
      <w:r>
        <w:rPr>
          <w:rFonts w:ascii="Times New Roman" w:hAnsi="Times New Roman"/>
          <w:sz w:val="20"/>
        </w:rPr>
        <w:t xml:space="preserve">. If such independent accountants review of Licensees royalty reports shows an underpayment, Licensee will remit or cause its Affiliates or Sublicensees to remit to Janssen within [***] after Licensees receipt of the report: (a) the amount of such underpayment and (b) if such underpayment exceeds [***] of the total amount owed for the period being audited, the fees and expenses of Janssen of the independent accountant to perform the audit. Any overpayments will be credited against amounts payable in the immediately subsequent payment period(s). </w:t>
      </w:r>
    </w:p>
    <w:p>
      <w:pPr>
        <w:pStyle w:val="TextBody"/>
        <w:bidi w:val="0"/>
        <w:spacing w:before="240" w:after="0"/>
        <w:jc w:val="left"/>
        <w:rPr>
          <w:rFonts w:ascii="Times New Roman" w:hAnsi="Times New Roman"/>
          <w:sz w:val="20"/>
        </w:rPr>
      </w:pPr>
      <w:r>
        <w:rPr>
          <w:rFonts w:ascii="Times New Roman" w:hAnsi="Times New Roman"/>
          <w:sz w:val="20"/>
        </w:rPr>
        <w:t xml:space="preserve">6.6.3 </w:t>
      </w:r>
      <w:r>
        <w:rPr>
          <w:rFonts w:ascii="Times New Roman" w:hAnsi="Times New Roman"/>
          <w:sz w:val="20"/>
          <w:u w:val="single"/>
        </w:rPr>
        <w:t>Confidentiality</w:t>
      </w:r>
      <w:r>
        <w:rPr>
          <w:rFonts w:ascii="Times New Roman" w:hAnsi="Times New Roman"/>
          <w:sz w:val="20"/>
        </w:rPr>
        <w:t xml:space="preserve">. Janssen will treat all information subject to review or under any Sublicense as Confidential Information of Licensee and such information will be subject to the confidentiality and non-use provisions of this Agreement, including ARTICLE 8 (Confidentiality and Publication), and will cause its accounting firm to enter into a reasonably acceptable confidentiality agreement with Licensee or its Affiliate or Sublicensee obligating it to retain all such information in confidence.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Withholding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6.7.1 </w:t>
      </w:r>
      <w:r>
        <w:rPr>
          <w:rFonts w:ascii="Times New Roman" w:hAnsi="Times New Roman"/>
          <w:sz w:val="20"/>
          <w:u w:val="single"/>
        </w:rPr>
        <w:t>No Deduction or Withholding</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6.7.2 </w:t>
      </w:r>
      <w:r>
        <w:rPr>
          <w:rFonts w:ascii="Times New Roman" w:hAnsi="Times New Roman"/>
          <w:sz w:val="20"/>
          <w:u w:val="single"/>
        </w:rPr>
        <w:t>Payment of Withholding Tax</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6.7.3 </w:t>
      </w:r>
      <w:r>
        <w:rPr>
          <w:rFonts w:ascii="Times New Roman" w:hAnsi="Times New Roman"/>
          <w:sz w:val="20"/>
          <w:u w:val="single"/>
        </w:rPr>
        <w:t>Cooperation</w:t>
      </w:r>
      <w:r>
        <w:rPr>
          <w:rFonts w:ascii="Times New Roman" w:hAnsi="Times New Roman"/>
          <w:sz w:val="20"/>
        </w:rPr>
        <w:t xml:space="preserve">. Licensee and Janssen will cooperate with respect to all documentation required by any taxing authority or reasonably requested by Licensee to secure a reduction in the rate of applicable withholding Taxes. As soon as practicable after the Effective Date, [***]. </w:t>
      </w:r>
    </w:p>
    <w:p>
      <w:pPr>
        <w:pStyle w:val="TextBody"/>
        <w:bidi w:val="0"/>
        <w:spacing w:before="240" w:after="0"/>
        <w:jc w:val="left"/>
        <w:rPr>
          <w:rFonts w:ascii="Times New Roman" w:hAnsi="Times New Roman"/>
          <w:sz w:val="20"/>
        </w:rPr>
      </w:pPr>
      <w:r>
        <w:rPr>
          <w:rFonts w:ascii="Times New Roman" w:hAnsi="Times New Roman"/>
          <w:sz w:val="20"/>
        </w:rPr>
        <w:t xml:space="preserve">6.7.4 </w:t>
      </w:r>
      <w:r>
        <w:rPr>
          <w:rFonts w:ascii="Times New Roman" w:hAnsi="Times New Roman"/>
          <w:sz w:val="20"/>
          <w:u w:val="single"/>
        </w:rPr>
        <w:t>Assignment</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6.7.5 </w:t>
      </w:r>
      <w:r>
        <w:rPr>
          <w:rFonts w:ascii="Times New Roman" w:hAnsi="Times New Roman"/>
          <w:sz w:val="20"/>
          <w:u w:val="single"/>
        </w:rPr>
        <w:t>Indirect Taxes</w:t>
      </w:r>
      <w:r>
        <w:rPr>
          <w:rFonts w:ascii="Times New Roman" w:hAnsi="Times New Roman"/>
          <w:sz w:val="20"/>
        </w:rPr>
        <w:t>. Amounts payable under this Agreement do not include any sales, use, excise, value added or other applicable taxes, tariffs or duties. If any taxing authority imposes a VAT, GST, sales, use, service, consumption, business or similar tax (</w:t>
      </w:r>
      <w:r>
        <w:rPr>
          <w:rFonts w:ascii="Times New Roman" w:hAnsi="Times New Roman"/>
          <w:b/>
          <w:sz w:val="20"/>
        </w:rPr>
        <w:t>VAT Taxes</w:t>
      </w:r>
      <w:r>
        <w:rPr>
          <w:rFonts w:ascii="Times New Roman" w:hAnsi="Times New Roman"/>
          <w:sz w:val="20"/>
        </w:rPr>
        <w:t xml:space="preserve">) with respect to the work undertaken under this Agreement, Licensee agrees to pay that amount if specified in a valid invoice or supply exemption documentation. The Parties will cooperate in good faith to minimize taxes to the extent legally permissible.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Currency Restrictions</w:t>
      </w:r>
      <w:r>
        <w:rPr>
          <w:rFonts w:ascii="Times New Roman" w:hAnsi="Times New Roman"/>
          <w:sz w:val="20"/>
        </w:rPr>
        <w:t xml:space="preserve">. If any restrictions prevent conversion into U.S. Dollars or the prompt remittance of part of or all of any payments due hereunder with respect to any country where TARP8 Products are sold, Licensee will take all reasonable steps to obtain a waiver of such restrictions or otherwise enable Licensee to make such payments, failing which Licensee may make such payments to Janssen by depositing the amount thereof in local currency to Janssens account in a bank or other depository designated by Janssen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Interest</w:t>
      </w:r>
      <w:r>
        <w:rPr>
          <w:rFonts w:ascii="Times New Roman" w:hAnsi="Times New Roman"/>
          <w:sz w:val="20"/>
        </w:rPr>
        <w:t xml:space="preserve">. Any sums owing but unpaid pursuant to this Agreement will bear interest calculated on a daily basis from the date due until the date paid at a rate per annum equal to [***] in excess of the prime rate as published by [***].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Payment Methods</w:t>
      </w:r>
      <w:r>
        <w:rPr>
          <w:rFonts w:ascii="Times New Roman" w:hAnsi="Times New Roman"/>
          <w:sz w:val="20"/>
        </w:rPr>
        <w:t xml:space="preserve">. All payments to be made by Licensee to Janssen under this Agreement will be made in U.S. Dollars and will be paid by bank wire transfer in immediately available funds to such bank account in the United States or elsewhere as may be designated in writing by Janssen from time to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MATTERS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Ownership of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Inventorship</w:t>
      </w:r>
      <w:r>
        <w:rPr>
          <w:rFonts w:ascii="Times New Roman" w:hAnsi="Times New Roman"/>
          <w:sz w:val="20"/>
        </w:rPr>
        <w:t xml:space="preserve">. The Parties agree that ownership of Patents, including all intellectual property rights therein, will be consistent in the Territory with ownership as determined by application of United States patent laws pertaining to inventorship. Except as otherwise provided in Section 4.1.1 (TARP8 Licenses) and Section 4.1.2.2 (Exclusive License under Joint nACh Patents), and subject to Licensees payment, reporting and accounting obligations with respect to Products under this Agreement, each Party will have the right to practice and use, and to grant licenses under, such Partys own joint ownership interest in Joint Technology without the other Partys consent, and will have no duty to account to the other Party for such practice, use or license, and each Party hereby waives any right it may have under the laws of any country to require such consent or accounting.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Background IP Rights</w:t>
      </w:r>
      <w:r>
        <w:rPr>
          <w:rFonts w:ascii="Times New Roman" w:hAnsi="Times New Roman"/>
          <w:sz w:val="20"/>
        </w:rPr>
        <w:t xml:space="preserve">. Subject only to the rights expressly granted to the other Party under this Agreement (including Section 2.2.3 (Option Exercise)Section 4.3 (Assignment of Primary TARP8 Patents) and Section 7.2.4.2 (Assignment to Licensee)), each Party will retain all rights, title and interests in and to any intellectual property rights that are owned by or licensed or sublicensed to such Party before or independently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Filing, Prosecution and Maintenance of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7.2.1 </w:t>
      </w:r>
      <w:r>
        <w:rPr>
          <w:rFonts w:ascii="Times New Roman" w:hAnsi="Times New Roman"/>
          <w:sz w:val="20"/>
          <w:u w:val="single"/>
        </w:rPr>
        <w:t>Prosecution of Solely Controlled Patents</w:t>
      </w:r>
      <w:r>
        <w:rPr>
          <w:rFonts w:ascii="Times New Roman" w:hAnsi="Times New Roman"/>
          <w:sz w:val="20"/>
        </w:rPr>
        <w:t xml:space="preserve">. Except as otherwise provided in this Section 7.2 (Filing, Prosecution and Maintenance of Patents), each Party will have the sole responsibility to file, prosecute and maintain any Patent that it solely Controls, as between the Parties, in its sole discretion and its sole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7.2.2 </w:t>
      </w:r>
      <w:r>
        <w:rPr>
          <w:rFonts w:ascii="Times New Roman" w:hAnsi="Times New Roman"/>
          <w:sz w:val="20"/>
          <w:u w:val="single"/>
        </w:rPr>
        <w:t>Prosecution of Primary TARP8 Patents</w:t>
      </w:r>
      <w:r>
        <w:rPr>
          <w:rFonts w:ascii="Times New Roman" w:hAnsi="Times New Roman"/>
          <w:sz w:val="20"/>
        </w:rPr>
        <w:t xml:space="preserve">. Prior to assignment of the Primary TARP8 Patents to Licensee in accordance with Section 4.3 (Assignment of Primary TARP8 Patents), Janssen will have the primary responsibility to file, prosecute and maintain the Primary TARP8 Patents through use of Janssens counsel or outside patent attorney at [***] expense. Janssen will keep Licensee reasonably informed of the prosecution status of the Primary TARP8 Patents by [***]. Following the Option Exercise Date, Licensee shall have the sole right and responsibility to file, prosecute and maintain any Primary TARP8 Patent at [***] sole cost, </w:t>
      </w:r>
      <w:r>
        <w:rPr>
          <w:rFonts w:ascii="Times New Roman" w:hAnsi="Times New Roman"/>
          <w:i/>
          <w:sz w:val="20"/>
        </w:rPr>
        <w:t>except</w:t>
      </w:r>
      <w:r>
        <w:rPr>
          <w:rFonts w:ascii="Times New Roman" w:hAnsi="Times New Roman"/>
          <w:sz w:val="20"/>
        </w:rPr>
        <w:t xml:space="preserve"> that Janssen will have the sole right and responsibility to file, prosecute and maintain (a) any Primary TARP8 Patent that is assigned to Licensee in accordance with Section 7.2.4.2 (Assignment to Licensee) and (b) any Scheduled TARP8 Patent (i) filed in the United States and (ii) containing only one or more Janssen Reserved Compound Claims set forth in Part II of Schedule 1.64 (Janssen Reserved Compound Claims) ((a) and (b), </w:t>
      </w:r>
      <w:r>
        <w:rPr>
          <w:rFonts w:ascii="Times New Roman" w:hAnsi="Times New Roman"/>
          <w:b/>
          <w:sz w:val="20"/>
        </w:rPr>
        <w:t>Janssen-Prosecuted TARP8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7.2.3 </w:t>
      </w:r>
      <w:r>
        <w:rPr>
          <w:rFonts w:ascii="Times New Roman" w:hAnsi="Times New Roman"/>
          <w:sz w:val="20"/>
          <w:u w:val="single"/>
        </w:rPr>
        <w:t>Prosecution of Joint Patents</w:t>
      </w:r>
      <w:r>
        <w:rPr>
          <w:rFonts w:ascii="Times New Roman" w:hAnsi="Times New Roman"/>
          <w:sz w:val="20"/>
        </w:rPr>
        <w:t>. Licensee will have the primary responsibility to file, prosecute, maintain and enforce any Patent Covering a Joint Invention (</w:t>
      </w:r>
      <w:r>
        <w:rPr>
          <w:rFonts w:ascii="Times New Roman" w:hAnsi="Times New Roman"/>
          <w:b/>
          <w:sz w:val="20"/>
        </w:rPr>
        <w:t>Joint Patents</w:t>
      </w:r>
      <w:r>
        <w:rPr>
          <w:rFonts w:ascii="Times New Roman" w:hAnsi="Times New Roman"/>
          <w:sz w:val="20"/>
        </w:rPr>
        <w:t xml:space="preserve">) through use of Licensees counsel or outside patent attorney at [***] expense. Licensee will keep Janssen reasonably informed of the prosecution status of the Joint Patents by [***]. </w:t>
      </w:r>
    </w:p>
    <w:p>
      <w:pPr>
        <w:pStyle w:val="TextBody"/>
        <w:bidi w:val="0"/>
        <w:spacing w:before="240" w:after="0"/>
        <w:jc w:val="left"/>
        <w:rPr>
          <w:rFonts w:ascii="Times New Roman" w:hAnsi="Times New Roman"/>
          <w:sz w:val="20"/>
        </w:rPr>
      </w:pPr>
      <w:r>
        <w:rPr>
          <w:rFonts w:ascii="Times New Roman" w:hAnsi="Times New Roman"/>
          <w:sz w:val="20"/>
        </w:rPr>
        <w:t xml:space="preserve">7.2.4 </w:t>
      </w:r>
      <w:r>
        <w:rPr>
          <w:rFonts w:ascii="Times New Roman" w:hAnsi="Times New Roman"/>
          <w:sz w:val="20"/>
          <w:u w:val="single"/>
        </w:rPr>
        <w:t>Prosecution of Certain Continuation and Divisional Applications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7.2.4.1 </w:t>
      </w:r>
      <w:r>
        <w:rPr>
          <w:rFonts w:ascii="Times New Roman" w:hAnsi="Times New Roman"/>
          <w:sz w:val="20"/>
          <w:u w:val="single"/>
        </w:rPr>
        <w:t>Janssen Reserved TARP8 Patents</w:t>
      </w:r>
      <w:r>
        <w:rPr>
          <w:rFonts w:ascii="Times New Roman" w:hAnsi="Times New Roman"/>
          <w:sz w:val="20"/>
        </w:rPr>
        <w:t xml:space="preserve">. The Parties will cooperate with one another, at [***] sole expense, to file continuation or divisional patent applications that are Janssen Reserved TARP8 Patents, from any Scheduled TARP8 Patent. Except as otherwise provided in Section 7.2.4.2 (Assignment to Licensee), Janssen will retain ownership of the Janssen Reserved TARP8 Patents, and to the extent that Licensee or its Affiliates obtain any right, title and interest therein, Licensee hereby assigns, on behalf itself and its Affiliates (and will assign and cause its Affiliates to promptly assign to the extent such assignment can only be made in the future), to Janssen all of its and their rights, title, and interests in and to the Janssen Reserved TARP8 Patents (including all rights to sue or recover and retain any damages, costs and attorneys fees for past, present and future infringement of any Janssen Reserved TARP8 Patent). For clarity, Janssen will have the sole right and responsibility to prosecute and maintain any Janssen Reserved TARP8 Patent in its sole discretion and [***] sole cost, and Licensee will, at [***] costs, cooperate and provide any reasonable assistance to Janssen so that Janssen may file and obtain Patents containing claims of equivalent scope to the Janssen Reserved Compound Claims, subject to Section 7.2.4.2 (Assignment to Licensee). </w:t>
      </w:r>
    </w:p>
    <w:p>
      <w:pPr>
        <w:pStyle w:val="TextBody"/>
        <w:bidi w:val="0"/>
        <w:spacing w:before="240" w:after="0"/>
        <w:jc w:val="left"/>
        <w:rPr>
          <w:rFonts w:ascii="Times New Roman" w:hAnsi="Times New Roman"/>
          <w:sz w:val="20"/>
        </w:rPr>
      </w:pPr>
      <w:r>
        <w:rPr>
          <w:rFonts w:ascii="Times New Roman" w:hAnsi="Times New Roman"/>
          <w:sz w:val="20"/>
        </w:rPr>
        <w:t xml:space="preserve">7.2.4.2 </w:t>
      </w:r>
      <w:r>
        <w:rPr>
          <w:rFonts w:ascii="Times New Roman" w:hAnsi="Times New Roman"/>
          <w:sz w:val="20"/>
          <w:u w:val="single"/>
        </w:rPr>
        <w:t>Assignment to Licensee</w:t>
      </w:r>
      <w:r>
        <w:rPr>
          <w:rFonts w:ascii="Times New Roman" w:hAnsi="Times New Roman"/>
          <w:sz w:val="20"/>
        </w:rPr>
        <w:t xml:space="preserve">. Notwithstanding anything herein to the contrary, [***].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Patent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7.3.1 </w:t>
      </w:r>
      <w:r>
        <w:rPr>
          <w:rFonts w:ascii="Times New Roman" w:hAnsi="Times New Roman"/>
          <w:sz w:val="20"/>
          <w:u w:val="single"/>
        </w:rPr>
        <w:t>Notice of Patent Proceedings</w:t>
      </w:r>
      <w:r>
        <w:rPr>
          <w:rFonts w:ascii="Times New Roman" w:hAnsi="Times New Roman"/>
          <w:sz w:val="20"/>
        </w:rPr>
        <w:t xml:space="preserve">. Each Party will promptly notify the other Party but in any case, within [***] of learning of any request for, or filing or declaration of, any Patent Proceeding relating to any Primary TARP8 Patent (other than a Janssen-Prosecuted TARP8 Patent) or Joint Patent. Licensee and Janssen will thereafter consult and cooperate fully to determine a course of action with respect to any such Patent Proceeding, </w:t>
      </w:r>
      <w:r>
        <w:rPr>
          <w:rFonts w:ascii="Times New Roman" w:hAnsi="Times New Roman"/>
          <w:i/>
          <w:sz w:val="20"/>
        </w:rPr>
        <w:t>provided</w:t>
      </w:r>
      <w:r>
        <w:rPr>
          <w:rFonts w:ascii="Times New Roman" w:hAnsi="Times New Roman"/>
          <w:sz w:val="20"/>
        </w:rPr>
        <w:t xml:space="preserve"> that, unless otherwise agreed by the Parties in writing, Licensee shall have the sole right to respond 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 any Patent Proceeding with respect to any Primary TARP8 Patent (other than a Janssen-Prosecuted TARP8 Patent) after the Option Exercise Date. Each Party has the right to [***], </w:t>
      </w:r>
      <w:r>
        <w:rPr>
          <w:rFonts w:ascii="Times New Roman" w:hAnsi="Times New Roman"/>
          <w:i/>
          <w:sz w:val="20"/>
        </w:rPr>
        <w:t>provided</w:t>
      </w:r>
      <w:r>
        <w:rPr>
          <w:rFonts w:ascii="Times New Roman" w:hAnsi="Times New Roman"/>
          <w:sz w:val="20"/>
        </w:rPr>
        <w:t xml:space="preserve"> that, with respect to a Patent Proceeding for a Primary TARP8 Patent (other than a Janssen-Prosecuted TARP8 Patent) after the Option Exercise Date, the foregoing shall not apply and Licensee shall have sole decision-making authority with respect to any such Patent Proceeding. Janssen will have the sole right to respond to and control any Patent Proceeding with respect to any Janssen-Prosecuted TARP8 Patent, Janssen Reserved TARP8 Patent, Licensed TARP8 Patent (other than any Joint Patent) or Licensed nACh Assay Patent. </w:t>
      </w:r>
    </w:p>
    <w:p>
      <w:pPr>
        <w:pStyle w:val="TextBody"/>
        <w:bidi w:val="0"/>
        <w:spacing w:before="240" w:after="0"/>
        <w:jc w:val="left"/>
        <w:rPr>
          <w:rFonts w:ascii="Times New Roman" w:hAnsi="Times New Roman"/>
          <w:sz w:val="20"/>
        </w:rPr>
      </w:pPr>
      <w:r>
        <w:rPr>
          <w:rFonts w:ascii="Times New Roman" w:hAnsi="Times New Roman"/>
          <w:sz w:val="20"/>
        </w:rPr>
        <w:t xml:space="preserve">7.3.2 </w:t>
      </w:r>
      <w:r>
        <w:rPr>
          <w:rFonts w:ascii="Times New Roman" w:hAnsi="Times New Roman"/>
          <w:sz w:val="20"/>
          <w:u w:val="single"/>
        </w:rPr>
        <w:t>Notice of Initiation</w:t>
      </w:r>
      <w:r>
        <w:rPr>
          <w:rFonts w:ascii="Times New Roman" w:hAnsi="Times New Roman"/>
          <w:sz w:val="20"/>
        </w:rPr>
        <w:t xml:space="preserve">. Janssen will provide Licensee with written notice as soon as practicable before initiating any Patent Proceeding relating to a Patent for which Janssen is responsible for prosecuting and maintaining under Section 7.2 (Filing, Prosecution and Maintenance of Patents). Licensee will provide Janssen with written notice as soon as practicable before initiating any Patent Proceeding relating to a Patent for which Licensee is responsible is responsible for prosecuting and maintaining under Section 7.2 (Filing, Prosecution and Maintenance of Patents). </w:t>
      </w:r>
    </w:p>
    <w:p>
      <w:pPr>
        <w:pStyle w:val="TextBody"/>
        <w:bidi w:val="0"/>
        <w:spacing w:before="240" w:after="0"/>
        <w:jc w:val="left"/>
        <w:rPr>
          <w:rFonts w:ascii="Times New Roman" w:hAnsi="Times New Roman"/>
          <w:sz w:val="20"/>
        </w:rPr>
      </w:pPr>
      <w:r>
        <w:rPr>
          <w:rFonts w:ascii="Times New Roman" w:hAnsi="Times New Roman"/>
          <w:sz w:val="20"/>
        </w:rPr>
        <w:t xml:space="preserve">7.3.3 </w:t>
      </w:r>
      <w:r>
        <w:rPr>
          <w:rFonts w:ascii="Times New Roman" w:hAnsi="Times New Roman"/>
          <w:sz w:val="20"/>
          <w:u w:val="single"/>
        </w:rPr>
        <w:t>Cooperation</w:t>
      </w:r>
      <w:r>
        <w:rPr>
          <w:rFonts w:ascii="Times New Roman" w:hAnsi="Times New Roman"/>
          <w:sz w:val="20"/>
        </w:rPr>
        <w:t xml:space="preserve">. In connection with any Patent Proceeding relating to a Primary TARP8 Patent (other than a Janssen-Prosecuted TARP8 Patent) or Joint Patent, Licensee and Janssen will cooperate fully and will provide each other with any information or assistance that either Party may reasonably request. Each Party will keep the other Party informed of developments in any such action or proceeding, including, to the extent permissible by law, consultation regarding any settlement, the status of any settlement negotiations and the terms of any related offer.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Enforcement and Defense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7.4.1 </w:t>
      </w:r>
      <w:r>
        <w:rPr>
          <w:rFonts w:ascii="Times New Roman" w:hAnsi="Times New Roman"/>
          <w:sz w:val="20"/>
          <w:u w:val="single"/>
        </w:rPr>
        <w:t>Notice</w:t>
      </w:r>
      <w:r>
        <w:rPr>
          <w:rFonts w:ascii="Times New Roman" w:hAnsi="Times New Roman"/>
          <w:sz w:val="20"/>
        </w:rPr>
        <w:t xml:space="preserve">. During the Term, each Party will promptly give the other Party notice of (a) any infringement of any Primary TARP8 Patent (other than a Janssen-Prosecuted TARP8 Patent) or Joint Patent, or (b) any misappropriation or misuse of any Licensed TARP8 Know-How, in each case ((a) and (b)) that may come to a Partys attention. </w:t>
      </w:r>
    </w:p>
    <w:p>
      <w:pPr>
        <w:pStyle w:val="TextBody"/>
        <w:bidi w:val="0"/>
        <w:spacing w:before="240" w:after="0"/>
        <w:jc w:val="left"/>
        <w:rPr>
          <w:rFonts w:ascii="Times New Roman" w:hAnsi="Times New Roman"/>
          <w:sz w:val="20"/>
        </w:rPr>
      </w:pPr>
      <w:r>
        <w:rPr>
          <w:rFonts w:ascii="Times New Roman" w:hAnsi="Times New Roman"/>
          <w:sz w:val="20"/>
        </w:rPr>
        <w:t xml:space="preserve">7.4.2 </w:t>
      </w:r>
      <w:r>
        <w:rPr>
          <w:rFonts w:ascii="Times New Roman" w:hAnsi="Times New Roman"/>
          <w:sz w:val="20"/>
          <w:u w:val="single"/>
        </w:rPr>
        <w:t>Enforcement</w:t>
      </w:r>
      <w:r>
        <w:rPr>
          <w:rFonts w:ascii="Times New Roman" w:hAnsi="Times New Roman"/>
          <w:sz w:val="20"/>
        </w:rPr>
        <w:t xml:space="preserve">. Each Party will have the sole right but not the obligation to initiate and prosecute any such legal action related to any Third Party infringement of a Licensed TARP8 Patent, Licensed nACh Assay Patent, Primary TARP8 Patent, Joint Patent, Janssen-Prosecuted TARP8 Patent or Janssen Reserved TARP8 Patent, in each case that such Party is responsible for prosecuting and maintaining in accordance with Section 7.2 (Filing, Prosecution and Maintenance of Patents), at such Partys sole expense, or to control the defense of any declaratory judgment action relating to such Patent. With respect to any Patent controlled by Janssen or its Affiliates containing a Janssen Reserved Compound Claim, then Janssen will have the sole right but not the obligation to initiate and prosecute any legal action related to any Third Party infringement of any such Janssen Reserved Compound Claim in regard to Exploitation of the respective Janssen Reserved Compound as contemplated hereunder and no other compounds, and Licensee agrees to be joined as a party at Janssens expense as required for such legal action, except as otherwise mutually agreed by the Parties. Janssen will consult and cooperate with Licensee on any issues that arise in the course of such legal action that are not specific only to the Exploitation of such Janssen Reserved Compound.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7.4.3 </w:t>
      </w:r>
      <w:r>
        <w:rPr>
          <w:rFonts w:ascii="Times New Roman" w:hAnsi="Times New Roman"/>
          <w:sz w:val="20"/>
          <w:u w:val="single"/>
        </w:rPr>
        <w:t>Cooperation</w:t>
      </w:r>
      <w:r>
        <w:rPr>
          <w:rFonts w:ascii="Times New Roman" w:hAnsi="Times New Roman"/>
          <w:sz w:val="20"/>
        </w:rPr>
        <w:t xml:space="preserve">. During the Term, for any action to terminate any infringement of any Licensed TARP8 Patent, Primary TARP8 Patent or Joint Patent, if a Party (the initiating Party) is unable to initiate or prosecute such action solely in its own name, the other Party (the non-initiating Party) will join such action and will execute and cause its Affiliates to execute all documents necessary for the initiating Party to initiate litigation to prosecute and maintain such action. Licensee will bear all costs in such instance. In connection with any action, the Parties will cooperate fully and will provide each other with any information or assistance that either Party may reasonably request. Each Party will keep the other informed of developments in any action or proceeding, including, to the extent permissible by law, the consultation and approval of any settlement negotiations and the terms of any offer related thereto. In any event, the non-initiating Party may voluntarily participate and advise in all aspects of any action at its sole expense. </w:t>
      </w:r>
    </w:p>
    <w:p>
      <w:pPr>
        <w:pStyle w:val="TextBody"/>
        <w:bidi w:val="0"/>
        <w:spacing w:before="240" w:after="0"/>
        <w:jc w:val="left"/>
        <w:rPr>
          <w:rFonts w:ascii="Times New Roman" w:hAnsi="Times New Roman"/>
          <w:sz w:val="20"/>
        </w:rPr>
      </w:pPr>
      <w:r>
        <w:rPr>
          <w:rFonts w:ascii="Times New Roman" w:hAnsi="Times New Roman"/>
          <w:sz w:val="20"/>
        </w:rPr>
        <w:t xml:space="preserve">7.4.4 </w:t>
      </w:r>
      <w:r>
        <w:rPr>
          <w:rFonts w:ascii="Times New Roman" w:hAnsi="Times New Roman"/>
          <w:sz w:val="20"/>
          <w:u w:val="single"/>
        </w:rPr>
        <w:t>Recoveries</w:t>
      </w:r>
      <w:r>
        <w:rPr>
          <w:rFonts w:ascii="Times New Roman" w:hAnsi="Times New Roman"/>
          <w:sz w:val="20"/>
        </w:rPr>
        <w:t xml:space="preserve">. Any recovery obtained by either or both Licensee and Janssen in connection with or as a result of any action contemplated by this Section 7.4 (Enforcement and Defense) other than a Licensed nACh Assay Patent, whether by settlement or otherwise, will be shared in order as follows: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Patent Term Restoration and Extension</w:t>
      </w:r>
      <w:r>
        <w:rPr>
          <w:rFonts w:ascii="Times New Roman" w:hAnsi="Times New Roman"/>
          <w:sz w:val="20"/>
        </w:rPr>
        <w:t xml:space="preserve">. The Parties will cooperate with each other in obtaining patent term extension, patent term restoration or supplemental protection certificates or their equivalents in any country in the Territory where applicable to any Primary TARP8 Patent or Joint Patent, </w:t>
      </w:r>
      <w:r>
        <w:rPr>
          <w:rFonts w:ascii="Times New Roman" w:hAnsi="Times New Roman"/>
          <w:i/>
          <w:sz w:val="20"/>
        </w:rPr>
        <w:t>provided</w:t>
      </w:r>
      <w:r>
        <w:rPr>
          <w:rFonts w:ascii="Times New Roman" w:hAnsi="Times New Roman"/>
          <w:sz w:val="20"/>
        </w:rPr>
        <w:t xml:space="preserve"> that, after the Option Exercise Date, Licensee shall have the sole right to determine the foregoing with respect to any Primary TARP8 Patent (other than a Janssen-Prosecuted TARP8 Patent) or Joint Patent.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Third 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7.6.1 </w:t>
      </w:r>
      <w:r>
        <w:rPr>
          <w:rFonts w:ascii="Times New Roman" w:hAnsi="Times New Roman"/>
          <w:sz w:val="20"/>
          <w:u w:val="single"/>
        </w:rPr>
        <w:t>Right to Defend</w:t>
      </w:r>
      <w:r>
        <w:rPr>
          <w:rFonts w:ascii="Times New Roman" w:hAnsi="Times New Roman"/>
          <w:sz w:val="20"/>
        </w:rPr>
        <w:t xml:space="preserve">. If any action, suit or proceeding is brought against Licensee or Janssen or any Affiliate or sublicensee of either Party alleging the infringement of the intellectual property rights of a Third Party by reason of the Exploitation of a Product in the Territory by Licensee or any of its Affiliates or Sublicensees, each of the Parties will have the right but not the obligation to defend itself in such action, suit or proceeding (including any counterclaims or affirmative defenses asserted) at such Partys own cost and expense, subject to ARTICLE 10 (Indemnification). The Parties will cooperate with each other in any defense of any such suit, action or proceeding. The Parties will give each other prompt written notice of the commencement of any such suit, action or proceeding, or receipt of any claim of infringement, and will furnish each other a copy of each communication relating to the alleged infringement. </w:t>
      </w:r>
    </w:p>
    <w:p>
      <w:pPr>
        <w:pStyle w:val="TextBody"/>
        <w:bidi w:val="0"/>
        <w:spacing w:before="240" w:after="0"/>
        <w:jc w:val="left"/>
        <w:rPr>
          <w:rFonts w:ascii="Times New Roman" w:hAnsi="Times New Roman"/>
          <w:sz w:val="20"/>
        </w:rPr>
      </w:pPr>
      <w:r>
        <w:rPr>
          <w:rFonts w:ascii="Times New Roman" w:hAnsi="Times New Roman"/>
          <w:sz w:val="20"/>
        </w:rPr>
        <w:t xml:space="preserve">7.6.2 </w:t>
      </w:r>
      <w:r>
        <w:rPr>
          <w:rFonts w:ascii="Times New Roman" w:hAnsi="Times New Roman"/>
          <w:sz w:val="20"/>
          <w:u w:val="single"/>
        </w:rPr>
        <w:t>Settlement</w:t>
      </w:r>
      <w:r>
        <w:rPr>
          <w:rFonts w:ascii="Times New Roman" w:hAnsi="Times New Roman"/>
          <w:sz w:val="20"/>
        </w:rPr>
        <w:t xml:space="preserve">. Neither Party will compromise, litigate, settle or otherwise dispose of any such suit, action or proceeding without the other Partys advice and prior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 Notwithstanding the foregoing, Licensee may seek to obtain a license at its sole cost and expense from the Third Party for Licensees use of the Third Party intellectual property rights allegedly infringed,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 </w:t>
      </w:r>
    </w:p>
    <w:p>
      <w:pPr>
        <w:pStyle w:val="TextBody"/>
        <w:bidi w:val="0"/>
        <w:spacing w:before="240" w:after="0"/>
        <w:jc w:val="left"/>
        <w:rPr>
          <w:rFonts w:ascii="Times New Roman" w:hAnsi="Times New Roman"/>
          <w:sz w:val="20"/>
        </w:rPr>
      </w:pPr>
      <w:r>
        <w:rPr>
          <w:rFonts w:ascii="Times New Roman" w:hAnsi="Times New Roman"/>
          <w:sz w:val="20"/>
        </w:rPr>
        <w:t xml:space="preserve">7.6.3 </w:t>
      </w:r>
      <w:r>
        <w:rPr>
          <w:rFonts w:ascii="Times New Roman" w:hAnsi="Times New Roman"/>
          <w:sz w:val="20"/>
          <w:u w:val="single"/>
        </w:rPr>
        <w:t>Notice</w:t>
      </w:r>
      <w:r>
        <w:rPr>
          <w:rFonts w:ascii="Times New Roman" w:hAnsi="Times New Roman"/>
          <w:sz w:val="20"/>
        </w:rPr>
        <w:t xml:space="preserve">. The Party first having actual notice of any claim, action or proceeding referenced in Section 7.6.1 (Right to Defend) above will promptly notify the other Party in writing, setting forth in reasonable detail, to its knowledge, the facts related to any such claim, action or proceeding. The Parties will promptly discuss proposed responses to any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Use of Names</w:t>
      </w:r>
      <w:r>
        <w:rPr>
          <w:rFonts w:ascii="Times New Roman" w:hAnsi="Times New Roman"/>
          <w:sz w:val="20"/>
        </w:rPr>
        <w:t xml:space="preserve">. Neither Party will use the name, trademarks or service marks of the other Party for any purpose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this Section 7.7 (Use of Names) does not prevent a Party from using the name of the other Party for purposes of preparing necessary filings with the United States Securities and Exchange Commission or complying with its regulations, or other regulations applicable to the public sale of securities, including preparing proxy statements or prospectuses (</w:t>
      </w:r>
      <w:r>
        <w:rPr>
          <w:rFonts w:ascii="Times New Roman" w:hAnsi="Times New Roman"/>
          <w:i/>
          <w:sz w:val="20"/>
        </w:rPr>
        <w:t>provided</w:t>
      </w:r>
      <w:r>
        <w:rPr>
          <w:rFonts w:ascii="Times New Roman" w:hAnsi="Times New Roman"/>
          <w:sz w:val="20"/>
        </w:rPr>
        <w:t xml:space="preserve"> that such first Party provides prior written notice thereof to the other Party to the extent legally permissible).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CONFIDENTIALITY AND PUBLICATION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Nondisclosure and Non-Use Obligations</w:t>
      </w:r>
      <w:r>
        <w:rPr>
          <w:rFonts w:ascii="Times New Roman" w:hAnsi="Times New Roman"/>
          <w:sz w:val="20"/>
        </w:rPr>
        <w:t>. Each Party agrees that, during the Term and for a period of [***] thereafter, the Party (the </w:t>
      </w:r>
      <w:r>
        <w:rPr>
          <w:rFonts w:ascii="Times New Roman" w:hAnsi="Times New Roman"/>
          <w:b/>
          <w:sz w:val="20"/>
        </w:rPr>
        <w:t>Receiving Party</w:t>
      </w:r>
      <w:r>
        <w:rPr>
          <w:rFonts w:ascii="Times New Roman" w:hAnsi="Times New Roman"/>
          <w:sz w:val="20"/>
        </w:rPr>
        <w:t>) receiving Confidential Information of the other Party (the </w:t>
      </w:r>
      <w:r>
        <w:rPr>
          <w:rFonts w:ascii="Times New Roman" w:hAnsi="Times New Roman"/>
          <w:b/>
          <w:sz w:val="20"/>
        </w:rPr>
        <w:t>Disclosing Party</w:t>
      </w:r>
      <w:r>
        <w:rPr>
          <w:rFonts w:ascii="Times New Roman" w:hAnsi="Times New Roman"/>
          <w:sz w:val="20"/>
        </w:rPr>
        <w:t xml:space="preserve">) will: (a) maintain in confidence such Confidential Information using not less than the efforts such Receiving Party uses to maintain in confidence its own confidential or proprietary information of similar kind and value (but no less than reasonable efforts); (b) not disclose such Confidential Information to any Third Party without the prior written consent of the Disclosing Party, except for disclosures expressly permitted in Section 8.3 (Authorized Disclosure) and Section 8.4 (Terms of This Agreement); and (c) not use such Confidential Information for any purpose except those permitted by this Agreement or any agreement between an Affiliate of the Receiving Party and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Exceptions</w:t>
      </w:r>
      <w:r>
        <w:rPr>
          <w:rFonts w:ascii="Times New Roman" w:hAnsi="Times New Roman"/>
          <w:sz w:val="20"/>
        </w:rPr>
        <w:t xml:space="preserve">. The obligations in Section 8.1 (Nondisclosure and Non-Use Obligations) will not apply to the extent of any portion of the Confidential Information that the Receiving Party can show by competent evidence: </w:t>
      </w:r>
    </w:p>
    <w:p>
      <w:pPr>
        <w:pStyle w:val="TextBody"/>
        <w:bidi w:val="0"/>
        <w:spacing w:before="120" w:after="0"/>
        <w:jc w:val="left"/>
        <w:rPr>
          <w:rFonts w:ascii="Times New Roman" w:hAnsi="Times New Roman"/>
          <w:sz w:val="20"/>
        </w:rPr>
      </w:pPr>
      <w:r>
        <w:rPr>
          <w:rFonts w:ascii="Times New Roman" w:hAnsi="Times New Roman"/>
          <w:sz w:val="20"/>
        </w:rPr>
        <w:t xml:space="preserve">(a) is publicly disclosed by the Disclosing Party, either before or after it is disclosed to the Receiving Party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is known to the Receiving Party or any of its Affiliates, without any obligation to the Disclosing Party to keep it confidential or any restriction on its use, prior to disclosure to the Receiving Party or any of its Affiliates by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(c) is subsequently disclosed to the Receiving Party or any of its Affiliates on a non-confidential basis by a Third Party that, to the Receiving Partys knowledge, is not bound by a similar duty of confidentiality or restriction on its use to the Disclosing Party; </w:t>
      </w:r>
    </w:p>
    <w:p>
      <w:pPr>
        <w:pStyle w:val="TextBody"/>
        <w:bidi w:val="0"/>
        <w:spacing w:before="240" w:after="0"/>
        <w:jc w:val="left"/>
        <w:rPr>
          <w:rFonts w:ascii="Times New Roman" w:hAnsi="Times New Roman"/>
          <w:sz w:val="20"/>
        </w:rPr>
      </w:pPr>
      <w:r>
        <w:rPr>
          <w:rFonts w:ascii="Times New Roman" w:hAnsi="Times New Roman"/>
          <w:sz w:val="20"/>
        </w:rPr>
        <w:t xml:space="preserve">(d) is now, or hereafter becomes, through no act or failure to act on the part of the Receiving Party or any of its Affiliates in violation of this Agreement, generally known or available, either before or after it is disclosed to the Receiving Party by the Disclosing Party; or </w:t>
      </w:r>
    </w:p>
    <w:p>
      <w:pPr>
        <w:pStyle w:val="TextBody"/>
        <w:bidi w:val="0"/>
        <w:spacing w:before="240" w:after="0"/>
        <w:jc w:val="left"/>
        <w:rPr>
          <w:rFonts w:ascii="Times New Roman" w:hAnsi="Times New Roman"/>
          <w:sz w:val="20"/>
        </w:rPr>
      </w:pPr>
      <w:r>
        <w:rPr>
          <w:rFonts w:ascii="Times New Roman" w:hAnsi="Times New Roman"/>
          <w:sz w:val="20"/>
        </w:rPr>
        <w:t xml:space="preserve">(e) is independently discovered or developed by or on behalf of the Receiving Party or any of its Affiliates without the use of or reference to the Confidential Information of the Disclosing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Authorized Disclosure</w:t>
      </w:r>
      <w:r>
        <w:rPr>
          <w:rFonts w:ascii="Times New Roman" w:hAnsi="Times New Roman"/>
          <w:sz w:val="20"/>
        </w:rPr>
        <w:t xml:space="preserve">. The Receiving Party may disclose Confidential Information of the Disclosing Party only to the extent such disclosure is reasonably necessary in the following instances, or to the extent expressly permitted under another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filing, prosecuting, maintaining, enforcing or defending Patents as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reasonably required in generating documentation with or for Regulatory Authorities and obtaining Marketing Approvals and any other Regulatory Approvals for Products; </w:t>
      </w:r>
    </w:p>
    <w:p>
      <w:pPr>
        <w:pStyle w:val="TextBody"/>
        <w:bidi w:val="0"/>
        <w:spacing w:before="240" w:after="0"/>
        <w:jc w:val="left"/>
        <w:rPr>
          <w:rFonts w:ascii="Times New Roman" w:hAnsi="Times New Roman"/>
          <w:sz w:val="20"/>
        </w:rPr>
      </w:pPr>
      <w:r>
        <w:rPr>
          <w:rFonts w:ascii="Times New Roman" w:hAnsi="Times New Roman"/>
          <w:sz w:val="20"/>
        </w:rPr>
        <w:t xml:space="preserve">(c) prosecuting or defending litigation, including responding to a subpoena in a Third Party litigation; </w:t>
      </w:r>
    </w:p>
    <w:p>
      <w:pPr>
        <w:pStyle w:val="TextBody"/>
        <w:bidi w:val="0"/>
        <w:spacing w:before="240" w:after="0"/>
        <w:jc w:val="left"/>
        <w:rPr>
          <w:rFonts w:ascii="Times New Roman" w:hAnsi="Times New Roman"/>
          <w:sz w:val="20"/>
        </w:rPr>
      </w:pPr>
      <w:r>
        <w:rPr>
          <w:rFonts w:ascii="Times New Roman" w:hAnsi="Times New Roman"/>
          <w:sz w:val="20"/>
        </w:rPr>
        <w:t xml:space="preserve">(d) subject to Section 8.4 (Terms of This Agreement), complying with Applicable Law or court or administrative orders; </w:t>
      </w:r>
    </w:p>
    <w:p>
      <w:pPr>
        <w:pStyle w:val="TextBody"/>
        <w:bidi w:val="0"/>
        <w:spacing w:before="240" w:after="0"/>
        <w:jc w:val="left"/>
        <w:rPr>
          <w:rFonts w:ascii="Times New Roman" w:hAnsi="Times New Roman"/>
          <w:sz w:val="20"/>
        </w:rPr>
      </w:pPr>
      <w:r>
        <w:rPr>
          <w:rFonts w:ascii="Times New Roman" w:hAnsi="Times New Roman"/>
          <w:sz w:val="20"/>
        </w:rPr>
        <w:t xml:space="preserve">(e) complying with any of its obligations or exercising any of its rights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to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Receiving Party will remain responsible for any violation of such confidentiality provisions by any person who receives Confidential Information pursuant to this Section 8.3(f) (Authorized Disclosure); or </w:t>
      </w:r>
    </w:p>
    <w:p>
      <w:pPr>
        <w:pStyle w:val="TextBody"/>
        <w:bidi w:val="0"/>
        <w:spacing w:before="240" w:after="0"/>
        <w:jc w:val="left"/>
        <w:rPr>
          <w:rFonts w:ascii="Times New Roman" w:hAnsi="Times New Roman"/>
          <w:sz w:val="20"/>
        </w:rPr>
      </w:pPr>
      <w:r>
        <w:rPr>
          <w:rFonts w:ascii="Times New Roman" w:hAnsi="Times New Roman"/>
          <w:sz w:val="20"/>
        </w:rPr>
        <w:t xml:space="preserve">(g) by either Party to one or more Third Parties regarding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Receiving Party will remain responsible for any violation of such confidentiality provisions by any person who receives Confidential Information pursuant to this Section 8.3(g) (Authorized Disclosure). </w:t>
      </w:r>
    </w:p>
    <w:p>
      <w:pPr>
        <w:pStyle w:val="TextBody"/>
        <w:bidi w:val="0"/>
        <w:spacing w:before="240" w:after="0"/>
        <w:jc w:val="left"/>
        <w:rPr>
          <w:rFonts w:ascii="Times New Roman" w:hAnsi="Times New Roman"/>
          <w:sz w:val="20"/>
        </w:rPr>
      </w:pPr>
      <w:r>
        <w:rPr>
          <w:rFonts w:ascii="Times New Roman" w:hAnsi="Times New Roman"/>
          <w:sz w:val="20"/>
        </w:rPr>
        <w:t xml:space="preserve">If and whenever any Confidential Information is disclosed in accordance with this Section 8.3 (Authorized Disclosure), such disclosure will not cause any such information to cease to be Confidential Information for purposes of this Agreement, except to the extent that such disclosure results in a public disclosure of such information (other than by breach of this Agreement). In the event that a Party intends to make a disclosure of the other Partys Confidential Information pursuant to Section 8.3(c) (Authorized Disclosure) or Section 8.3(d) (Authorized Disclosure), it will, except where impracticable or not legally permitted, give reasonable advance notice to the other Party of such disclosure and use not less than the same efforts to secure confidential treatment of such information as it would to protect its own confidential information from disclosure.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Terms of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8.4.1 </w:t>
      </w:r>
      <w:r>
        <w:rPr>
          <w:rFonts w:ascii="Times New Roman" w:hAnsi="Times New Roman"/>
          <w:sz w:val="20"/>
          <w:u w:val="single"/>
        </w:rPr>
        <w:t>Disclosure of Agreement Terms</w:t>
      </w:r>
      <w:r>
        <w:rPr>
          <w:rFonts w:ascii="Times New Roman" w:hAnsi="Times New Roman"/>
          <w:sz w:val="20"/>
        </w:rPr>
        <w:t xml:space="preserve">. The Parties acknowledge and agree that this Agreement, and all of the terms of this Agreement, will be treated as Confidential Information of each Party. In addition to the disclosures permitted under Section 8.3 (Authorized Disclosure), either Party may disclose the terms of this Agreement and other information relating to this Agreement or the transactions contemplated by this Agreement to the extent required, in the reasonable opinion of such Partys counsel, to comply with the rules and regulations promulgated by the United States Securities and Exchange Commission or the Nasdaq Stock Market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regulatory authorities or stock market in other countries. If a Party intends to disclose this Agreement or any of its terms or other such information in accordance with this Section 8.4 (Terms of this Agreement), such Party will, except where impracticable or not legally permitted, give reasonable advance notice to the other Party of such disclosure and seek confidential treatment of portions of this Agreement or such terms or information, as may be reasonably requested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8.4.2 </w:t>
      </w:r>
      <w:r>
        <w:rPr>
          <w:rFonts w:ascii="Times New Roman" w:hAnsi="Times New Roman"/>
          <w:sz w:val="20"/>
          <w:u w:val="single"/>
        </w:rPr>
        <w:t>Tax Disclosures</w:t>
      </w:r>
      <w:r>
        <w:rPr>
          <w:rFonts w:ascii="Times New Roman" w:hAnsi="Times New Roman"/>
          <w:sz w:val="20"/>
        </w:rPr>
        <w:t xml:space="preserve">. The Parties hereby consent to the disclosure of a copy of this Agreement to any tax authority by the other Party (a) upon receipt of any legally enforceable information request by such tax authority, (b) in compliance with any legally enforceable filing requirement, or (c) in connection with a submitted transfer pricing analysis. In the event of such disclosure, the disclosing Party will make reasonable efforts to ensure that the information is maintained in confidence by the applicable tax authority, including marking any disclosed document as confidential. In the event that the Receiving Party is required to disclose Confidential Information of Disclosing Party pursuant to Section 8.3(d) (Authorized Disclosure) by Applicable Law, including to comply with any order of any court or Governmental Authority, such disclosure will not be a breach of this Agreement; </w:t>
      </w:r>
      <w:r>
        <w:rPr>
          <w:rFonts w:ascii="Times New Roman" w:hAnsi="Times New Roman"/>
          <w:i/>
          <w:sz w:val="20"/>
        </w:rPr>
        <w:t>provided</w:t>
      </w:r>
      <w:r>
        <w:rPr>
          <w:rFonts w:ascii="Times New Roman" w:hAnsi="Times New Roman"/>
          <w:sz w:val="20"/>
        </w:rPr>
        <w:t xml:space="preserve"> that the receiving Party (i) except where impracticable or not legally permitted, gives reasonable advance notice to the Disclosing Party as soon as reasonably practicable of the required disclosure, (ii) limits the disclosure to that reasonably required for the legal purpose and seeks protective treatment as available under Applicable Law, and (iii) at the Disclosing Partys request and expense, reasonably assists in its attempt to intervene to directly limit or protect the disclosure of its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Public Announcements</w:t>
      </w:r>
      <w:r>
        <w:rPr>
          <w:rFonts w:ascii="Times New Roman" w:hAnsi="Times New Roman"/>
          <w:sz w:val="20"/>
        </w:rPr>
        <w:t xml:space="preserve">. Except as required to comply with Applicable Law or as permitted by Section 8.3 (Authorized Disclosure) or Section 8.4 (Terms of this Agreement), neither Party may issue any press release or other public statement disclosing the execution of this Agreement or to the terms of this Agreement or the transactions contemplated by this Agreement without the prior written consent of the other Party, which consent will not be unreasonably withheld. In the event that a Party intends to issue such a press release or other public statement as required to comply with Applicable Law, such Party will, except where impracticable or not legally permitted, give reasonable advance notice to the other Party of such disclosure.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Scientific Publications</w:t>
      </w:r>
      <w:r>
        <w:rPr>
          <w:rFonts w:ascii="Times New Roman" w:hAnsi="Times New Roman"/>
          <w:sz w:val="20"/>
        </w:rPr>
        <w:t xml:space="preserve">. During [***], neither Party nor any of its Affiliates, sublicensees (including Sublicensees), employees or consultants may make any oral or written scientific publications, including any abstracts, manuscripts, posters, slide presentations or other materials, of any activities or results relating to a TARP8 Compound unless such Party complies with the procedures and terms of this Section 8.6 (Scientific Publications), and, subject to applicable terms of this ARTICLE 8 (Confidentiality and Publication), neither Party may include any Confidential Information of the other Party or its Affiliates in any publication without the other Partys prior written consent unless such Party complies with the procedures and terms of this Section 8.6 (Scientific Publications). The publishing Party will deliver a complete draft of any proposed publication to the other Party at least [***] before submitting the material to a publisher or initiating any other release. The other Party will review any such material and give its comments to the publishing Party within [***] after the delivery of such draft to such other party, and if no comments are provided within such [***], then it shall be deemed that the reviewing Party has no comment with respect to such draft publication. Upon reasonable request by the reviewing Party, the publishing Party shall (a) delete from any such proposed publication material, before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submission or release, any references to the reviewing Party or any of its Confidential Information; or (b) delay any submission or release for a period of up to an additional [***] to permit the reviewing Party to prepare and file, or have prepared and filed, any patent applications for any inventions as contemplated under this Agreement. The publishing Party will ascribe authorship of any proposed publication using accepted standards used in peer-reviewed, academic journals at the time of the proposed publication. Notwithstanding the foregoing, on and after the Option Exercise Date, Janssen shall not publish any results relating to a TARP8 Compound or TARP8 Product without the prior written consent of Licensee,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Janssen may publish on the results of on-label studies with a TARP8 Product that has received Marketing Approval. Notwithstanding anything herein to the contrary, this Section 8.6 (Scientific Publications) will not apply to publications by Janssen related to any Janssen Reserved Compound (and not to any other TARP8 Compound).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Representations and Warranties of Both Parties</w:t>
      </w:r>
      <w:r>
        <w:rPr>
          <w:rFonts w:ascii="Times New Roman" w:hAnsi="Times New Roman"/>
          <w:sz w:val="20"/>
        </w:rPr>
        <w:t xml:space="preserve">. Each Party represents and warrants to the other Party that as of the Effective Date as follows: </w:t>
      </w:r>
    </w:p>
    <w:p>
      <w:pPr>
        <w:pStyle w:val="TextBody"/>
        <w:bidi w:val="0"/>
        <w:spacing w:before="12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Authorization</w:t>
      </w:r>
      <w:r>
        <w:rPr>
          <w:rFonts w:ascii="Times New Roman" w:hAnsi="Times New Roman"/>
          <w:sz w:val="20"/>
        </w:rPr>
        <w:t xml:space="preserve">. This Agreement has been duly executed and delivered by such Party and constitutes the valid and binding obligation of such Party, enforceable against such Party in accordance with its terms. The execution, delivery and performance of this Agreement have been duly authorized by all necessary action on the part of such Party, its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Due Organization, Corporate Power</w:t>
      </w:r>
      <w:r>
        <w:rPr>
          <w:rFonts w:ascii="Times New Roman" w:hAnsi="Times New Roman"/>
          <w:sz w:val="20"/>
        </w:rPr>
        <w:t xml:space="preserve">. It is duly organized, validly existing and in good standing under the laws of the country and state of its incorporation or organization, as applicable. Such Party has full corporate (or other organizational) right, power and authority to enter into this Agreement and to perform its respective obligations under this Agreement and that it has the right to grant the rights, licenses and sublicenses granted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Additional Representations and Warranties of Janssen</w:t>
      </w:r>
      <w:r>
        <w:rPr>
          <w:rFonts w:ascii="Times New Roman" w:hAnsi="Times New Roman"/>
          <w:sz w:val="20"/>
        </w:rPr>
        <w:t xml:space="preserve">. Janssen represents and warrants to Licensee that as of the Effective Date as follows, and, reasonably prior to the Option Exercise Date in connection with Licensees expected exercise of the TARP8 Option, upon Licensees written request Janssen shall promptly notify Licensee in reasonable detail if there is any change with respect to any TARP8 Compound or TARP8 Product that would cause any of the following representations and warranties to be inaccurate or untrue (subject to Licensee providing Janssen with a reasonable opportunity to provide such update in advance of the Option Exercise Date): </w:t>
      </w:r>
    </w:p>
    <w:p>
      <w:pPr>
        <w:pStyle w:val="TextBody"/>
        <w:bidi w:val="0"/>
        <w:spacing w:before="240" w:after="0"/>
        <w:jc w:val="left"/>
        <w:rPr>
          <w:rFonts w:ascii="Times New Roman" w:hAnsi="Times New Roman"/>
          <w:sz w:val="20"/>
        </w:rPr>
      </w:pPr>
      <w:r>
        <w:rPr>
          <w:rFonts w:ascii="Times New Roman" w:hAnsi="Times New Roman"/>
          <w:sz w:val="20"/>
        </w:rPr>
        <w:t xml:space="preserve">9.2.1 </w:t>
      </w:r>
      <w:r>
        <w:rPr>
          <w:rFonts w:ascii="Times New Roman" w:hAnsi="Times New Roman"/>
          <w:sz w:val="20"/>
          <w:u w:val="single"/>
        </w:rPr>
        <w:t>Existing Scheduled TARP8 Patents</w:t>
      </w:r>
      <w:r>
        <w:rPr>
          <w:rFonts w:ascii="Times New Roman" w:hAnsi="Times New Roman"/>
          <w:sz w:val="20"/>
        </w:rPr>
        <w:t xml:space="preserve">. To the knowledge of Janssen, (a) Schedule 1.111 (Scheduled TARP8 Patents) sets forth a true, complete and correct list of all Scheduled TARP8 Patents Controlled by Janssen or its Affiliates necessary for the Exploitation of any TARP8 Development Candidate, and (b) there are no Licensed TARP8 Patents (other than Scheduled TARP8 Patents). </w:t>
      </w:r>
    </w:p>
    <w:p>
      <w:pPr>
        <w:pStyle w:val="TextBody"/>
        <w:bidi w:val="0"/>
        <w:spacing w:before="240" w:after="0"/>
        <w:jc w:val="left"/>
        <w:rPr>
          <w:rFonts w:ascii="Times New Roman" w:hAnsi="Times New Roman"/>
          <w:sz w:val="20"/>
        </w:rPr>
      </w:pPr>
      <w:r>
        <w:rPr>
          <w:rFonts w:ascii="Times New Roman" w:hAnsi="Times New Roman"/>
          <w:sz w:val="20"/>
        </w:rPr>
        <w:t xml:space="preserve">9.2.2 </w:t>
      </w:r>
      <w:r>
        <w:rPr>
          <w:rFonts w:ascii="Times New Roman" w:hAnsi="Times New Roman"/>
          <w:sz w:val="20"/>
          <w:u w:val="single"/>
        </w:rPr>
        <w:t>Ownership</w:t>
      </w:r>
      <w:r>
        <w:rPr>
          <w:rFonts w:ascii="Times New Roman" w:hAnsi="Times New Roman"/>
          <w:sz w:val="20"/>
        </w:rPr>
        <w:t xml:space="preserve">. Janssen and its Affiliates are the sole and exclusive owners of the entire right, title and interest in, to and under the Scheduled TARP8 Patents and Licensed nACh Assay Patents, free and clear of all encumbrances that would interfere with Licensees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9.2.3 </w:t>
      </w:r>
      <w:r>
        <w:rPr>
          <w:rFonts w:ascii="Times New Roman" w:hAnsi="Times New Roman"/>
          <w:sz w:val="20"/>
          <w:u w:val="single"/>
        </w:rPr>
        <w:t>No Patent Proceeding; No Infringement</w:t>
      </w:r>
      <w:r>
        <w:rPr>
          <w:rFonts w:ascii="Times New Roman" w:hAnsi="Times New Roman"/>
          <w:sz w:val="20"/>
        </w:rPr>
        <w:t xml:space="preserve">. [***], the Licensed TARP8 Patents known to Janssen as of the Effective Date are not the subject of any Patent Proceeding known to Janssens patent counsel, and Janssens patent counsel has not received any written notice and is not otherwise aware of any pending or threatened action, suit, proceeding or claim by a Third Party challenging Janssens ownership rights in such Licensed TARP8 Patents, or any Scheduled TARP8 Patent is invalid or unenforceable; and neither Janssen nor any of its Affiliates is aware or has received any claims in writing alleging that the Exploitation of any TARP8 Compound or TARP8 Product infringes any Patent or misappropriates the Know-How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9.2.4 </w:t>
      </w:r>
      <w:r>
        <w:rPr>
          <w:rFonts w:ascii="Times New Roman" w:hAnsi="Times New Roman"/>
          <w:sz w:val="20"/>
          <w:u w:val="single"/>
        </w:rPr>
        <w:t>Inventions Assignment</w:t>
      </w:r>
      <w:r>
        <w:rPr>
          <w:rFonts w:ascii="Times New Roman" w:hAnsi="Times New Roman"/>
          <w:sz w:val="20"/>
        </w:rPr>
        <w:t xml:space="preserve">. Janssen has obtained from all named inventors of the Scheduled TARP8 Patents in each case owned by Janssen or one of its Affiliates and existing as of the Effective Date valid and enforceable agreements assigning to Janssen or such Affiliate each such inventors entire right, title and interest in and to such Scheduled TARP8 Patents. </w:t>
      </w:r>
    </w:p>
    <w:p>
      <w:pPr>
        <w:pStyle w:val="TextBody"/>
        <w:bidi w:val="0"/>
        <w:spacing w:before="240" w:after="0"/>
        <w:jc w:val="left"/>
        <w:rPr>
          <w:rFonts w:ascii="Times New Roman" w:hAnsi="Times New Roman"/>
          <w:sz w:val="20"/>
        </w:rPr>
      </w:pPr>
      <w:r>
        <w:rPr>
          <w:rFonts w:ascii="Times New Roman" w:hAnsi="Times New Roman"/>
          <w:sz w:val="20"/>
        </w:rPr>
        <w:t xml:space="preserve">9.2.5 </w:t>
      </w:r>
      <w:r>
        <w:rPr>
          <w:rFonts w:ascii="Times New Roman" w:hAnsi="Times New Roman"/>
          <w:sz w:val="20"/>
          <w:u w:val="single"/>
        </w:rPr>
        <w:t>No Conflicts</w:t>
      </w:r>
      <w:r>
        <w:rPr>
          <w:rFonts w:ascii="Times New Roman" w:hAnsi="Times New Roman"/>
          <w:sz w:val="20"/>
        </w:rPr>
        <w:t xml:space="preserve">. Neither Janssen nor any of its Affiliates is a party to any license agreement with a Third Party under which Janssen or any of its Affiliates grants licenses or other right to any of the Licensed TARP8 Technology or Licensed nACh Technology, in each case, that would conflict with the rights granted to Licensee to Exploit TARP8 Compounds or nACh Compounds hereunder, and Janssen and its Affiliates have the right to grant the licenses to Licensee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9.2.6 </w:t>
      </w:r>
      <w:r>
        <w:rPr>
          <w:rFonts w:ascii="Times New Roman" w:hAnsi="Times New Roman"/>
          <w:sz w:val="20"/>
          <w:u w:val="single"/>
        </w:rPr>
        <w:t>No Additional Payments</w:t>
      </w:r>
      <w:r>
        <w:rPr>
          <w:rFonts w:ascii="Times New Roman" w:hAnsi="Times New Roman"/>
          <w:sz w:val="20"/>
        </w:rPr>
        <w:t xml:space="preserve">. Except in connection with the activities described in the last sentence of Section 3.2.1 (Transfer of Materials), there are no amounts that will be required to be paid to a Third Party that arise out of any agreement to which Janssen or any of its Affiliates is a party, as a result of the Exploitation of the TARP8 Compounds or nACh Compounds.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Covenants of Licensee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9.3.1 </w:t>
      </w:r>
      <w:r>
        <w:rPr>
          <w:rFonts w:ascii="Times New Roman" w:hAnsi="Times New Roman"/>
          <w:sz w:val="20"/>
          <w:u w:val="single"/>
        </w:rPr>
        <w:t>GLP and GCP Compliance</w:t>
      </w:r>
      <w:r>
        <w:rPr>
          <w:rFonts w:ascii="Times New Roman" w:hAnsi="Times New Roman"/>
          <w:sz w:val="20"/>
        </w:rPr>
        <w:t>. Licensee will conduct all Exploitation activities with respect to Compounds and Products in compliance with Applicable Laws and regulatory standards, including, as applicable, conducting Development activities in compliance with Good Laboratory Practices (</w:t>
      </w:r>
      <w:r>
        <w:rPr>
          <w:rFonts w:ascii="Times New Roman" w:hAnsi="Times New Roman"/>
          <w:b/>
          <w:sz w:val="20"/>
        </w:rPr>
        <w:t>GLP</w:t>
      </w:r>
      <w:r>
        <w:rPr>
          <w:rFonts w:ascii="Times New Roman" w:hAnsi="Times New Roman"/>
          <w:sz w:val="20"/>
        </w:rPr>
        <w:t xml:space="preserve">), Good Clinical Practices, pharmacovigilance and safety reporting, and requirements for the protection of human subjects. </w:t>
      </w:r>
    </w:p>
    <w:p>
      <w:pPr>
        <w:pStyle w:val="TextBody"/>
        <w:bidi w:val="0"/>
        <w:spacing w:before="240" w:after="0"/>
        <w:jc w:val="left"/>
        <w:rPr>
          <w:rFonts w:ascii="Times New Roman" w:hAnsi="Times New Roman"/>
          <w:sz w:val="20"/>
        </w:rPr>
      </w:pPr>
      <w:r>
        <w:rPr>
          <w:rFonts w:ascii="Times New Roman" w:hAnsi="Times New Roman"/>
          <w:sz w:val="20"/>
        </w:rPr>
        <w:t xml:space="preserve">9.3.2 </w:t>
      </w:r>
      <w:r>
        <w:rPr>
          <w:rFonts w:ascii="Times New Roman" w:hAnsi="Times New Roman"/>
          <w:sz w:val="20"/>
          <w:u w:val="single"/>
        </w:rPr>
        <w:t>Anti-Kickback and Stark Compliance</w:t>
      </w:r>
      <w:r>
        <w:rPr>
          <w:rFonts w:ascii="Times New Roman" w:hAnsi="Times New Roman"/>
          <w:sz w:val="20"/>
        </w:rPr>
        <w:t xml:space="preserve">. Licensee represents and warrants to Janssen as of the Effective Date, and covenants to Janssen, that Licensee is in compliance and will continue to comply with all Applicable Laws, including the federal anti-kickback statute (42 U.S.C. § 1320a-7b), the related safe harbor regulations, and the Limitation on Certain Physician Referrals, also referred to as the Stark Law (42 U.S.C. § 1395nn) in connection with its activities under this Agreement. Accordingly, no part of any consideration paid hereunder is a prohibited payment for the recommending or arranging for the referral of business or the ordering of items or services; nor are the payments intended to induce illegal referrals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9.3.3 </w:t>
      </w:r>
      <w:r>
        <w:rPr>
          <w:rFonts w:ascii="Times New Roman" w:hAnsi="Times New Roman"/>
          <w:sz w:val="20"/>
          <w:u w:val="single"/>
        </w:rPr>
        <w:t>Exclusion from Federal Health Care Programs</w:t>
      </w:r>
      <w:r>
        <w:rPr>
          <w:rFonts w:ascii="Times New Roman" w:hAnsi="Times New Roman"/>
          <w:sz w:val="20"/>
        </w:rPr>
        <w:t xml:space="preserve">. Licensee will conduct activities pursuant to this Agreement in accordance with applicable state and federal laws and any applicable regulations regarding Medicare, Medicaid, and other third party-payer programs, if any. Licensee represents and warrants to Janssen, as of the Effective Date, that (a) it is not excluded from, and has not been convicted of any crime or engaged in any conduct that could result in exclusion from, participation in any state or federal healthcare program, as defined in 42 U.S.C. § 1320a-7b(f), for the provision of items or services for which payment may be made by a federal healthcare program; (b) it has not contracted with any employee, contractor, agent, or vendor to perform work under this Agreement who is excluded from participation in any state or federal healthcare program; and (c) it is not subject to a final adverse action, as defined in 42 U.S.C. § 1320a-7a(e) and 42 U.S.C. § 1320a-7a(g), and has no adverse action pending or threatened against it. Licensee will notify Janssen of any final adverse action, discovery of contract with an excluded entity or individual, or exclusion within [***]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9.3.4 </w:t>
      </w:r>
      <w:r>
        <w:rPr>
          <w:rFonts w:ascii="Times New Roman" w:hAnsi="Times New Roman"/>
          <w:sz w:val="20"/>
          <w:u w:val="single"/>
        </w:rPr>
        <w:t>No Debarred Individuals</w:t>
      </w:r>
      <w:r>
        <w:rPr>
          <w:rFonts w:ascii="Times New Roman" w:hAnsi="Times New Roman"/>
          <w:sz w:val="20"/>
        </w:rPr>
        <w:t xml:space="preserve">. Licensee will not engage, in any capacity in connection with this Agreement, any person who has been debarred by FDA, is the subject of a conviction described in 21 U.S.C. § 335a or is subject to any similar sanction. Licensee will promptly inform Janssen in writing if it or any person performing activities under this Agreement is debarred or is the subject of a conviction described in 21 U.S.C. § 335a, or if any action, suit, claim, investigation, or legal or administrative proceeding is pending or threatened relating to the debarment of conviction of Licensee or any such person performing activities in connection with this Agreement. Upon written request from Janssen, Licensee will, within [***], provide written confirmation that it has complied with the foregoing obligation. </w:t>
      </w:r>
    </w:p>
    <w:p>
      <w:pPr>
        <w:pStyle w:val="TextBody"/>
        <w:bidi w:val="0"/>
        <w:spacing w:before="240" w:after="0"/>
        <w:jc w:val="left"/>
        <w:rPr>
          <w:rFonts w:ascii="Times New Roman" w:hAnsi="Times New Roman"/>
          <w:sz w:val="20"/>
        </w:rPr>
      </w:pPr>
      <w:r>
        <w:rPr>
          <w:rFonts w:ascii="Times New Roman" w:hAnsi="Times New Roman"/>
          <w:sz w:val="20"/>
        </w:rPr>
        <w:t xml:space="preserve">9.3.5 </w:t>
      </w:r>
      <w:r>
        <w:rPr>
          <w:rFonts w:ascii="Times New Roman" w:hAnsi="Times New Roman"/>
          <w:sz w:val="20"/>
          <w:u w:val="single"/>
        </w:rPr>
        <w:t>Anti-Corruption Laws</w:t>
      </w:r>
      <w:r>
        <w:rPr>
          <w:rFonts w:ascii="Times New Roman" w:hAnsi="Times New Roman"/>
          <w:sz w:val="20"/>
        </w:rPr>
        <w:t>. Neither Licensee nor any of its Affiliates will perform any actions in connection with this Agreement that are prohibited by local and other anti-corruption laws (collectively, </w:t>
      </w:r>
      <w:r>
        <w:rPr>
          <w:rFonts w:ascii="Times New Roman" w:hAnsi="Times New Roman"/>
          <w:b/>
          <w:sz w:val="20"/>
        </w:rPr>
        <w:t>Anti-Corruption Laws</w:t>
      </w:r>
      <w:r>
        <w:rPr>
          <w:rFonts w:ascii="Times New Roman" w:hAnsi="Times New Roman"/>
          <w:sz w:val="20"/>
        </w:rPr>
        <w:t xml:space="preserve">) that may be applicable to Licensee. Without limiting the foregoing, neither Licensee nor any of its Affiliates will make any payments, or offer or transfer anything of value, to any government official or government employee, to any political party official or candidate for political office or to any other Third Party related to the transactions contemplated by this Agreement in a manner that would violate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Covenants of Janssen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9.4.1 </w:t>
      </w:r>
      <w:r>
        <w:rPr>
          <w:rFonts w:ascii="Times New Roman" w:hAnsi="Times New Roman"/>
          <w:sz w:val="20"/>
          <w:u w:val="single"/>
        </w:rPr>
        <w:t>Conflicts</w:t>
      </w:r>
      <w:r>
        <w:rPr>
          <w:rFonts w:ascii="Times New Roman" w:hAnsi="Times New Roman"/>
          <w:sz w:val="20"/>
        </w:rPr>
        <w:t xml:space="preserve">. During the Term, Janssen will not grant or transfer any interest in the Licensed TARP8 Technology or Licensed nACh Technology to a Third Party or conduct other activities, in each case, in a manner that is in conflict with the licenses and rights granted to Licensee (including the TARP8 Option) or otherwise inconsistent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9.4.2 </w:t>
      </w:r>
      <w:r>
        <w:rPr>
          <w:rFonts w:ascii="Times New Roman" w:hAnsi="Times New Roman"/>
          <w:sz w:val="20"/>
          <w:u w:val="single"/>
        </w:rPr>
        <w:t>Compliance</w:t>
      </w:r>
      <w:r>
        <w:rPr>
          <w:rFonts w:ascii="Times New Roman" w:hAnsi="Times New Roman"/>
          <w:sz w:val="20"/>
        </w:rPr>
        <w:t xml:space="preserve"> with Law. In connection with performing its obligations or exercising its rights under this Agreement, Janssen shall, and shall ensure that its Affiliates, sublicensees, agents and representatives shall, comply with all Applicable Laws and regulatory standards. </w:t>
      </w:r>
    </w:p>
    <w:p>
      <w:pPr>
        <w:pStyle w:val="TextBody"/>
        <w:bidi w:val="0"/>
        <w:spacing w:before="240" w:after="0"/>
        <w:jc w:val="left"/>
        <w:rPr>
          <w:rFonts w:ascii="Times New Roman" w:hAnsi="Times New Roman"/>
          <w:sz w:val="20"/>
        </w:rPr>
      </w:pPr>
      <w:r>
        <w:rPr>
          <w:rFonts w:ascii="Times New Roman" w:hAnsi="Times New Roman"/>
          <w:sz w:val="20"/>
        </w:rPr>
        <w:t xml:space="preserve">9.4.3 </w:t>
      </w:r>
      <w:r>
        <w:rPr>
          <w:rFonts w:ascii="Times New Roman" w:hAnsi="Times New Roman"/>
          <w:sz w:val="20"/>
          <w:u w:val="single"/>
        </w:rPr>
        <w:t>Debarment</w:t>
      </w:r>
      <w:r>
        <w:rPr>
          <w:rFonts w:ascii="Times New Roman" w:hAnsi="Times New Roman"/>
          <w:sz w:val="20"/>
        </w:rPr>
        <w:t xml:space="preserve">. Janssen will not engage, in any capacity in connection with this Agreement, any person who has been debarred by FDA, is the subject of a conviction described in 21 U.S.C. § 335a or is subject to any similar sanction. Janssen will promptly inform Licensee in writing if it or any person performing activities under this Agreement is debarred or is the subject of a conviction described in 21 U.S.C. § 335a, or if any action, suit, claim, investigation, or legal or administrative proceeding is pending or threatened relating to the debarment of conviction of Janssen or any such person performing activities in connection with this Agreement. Upon written request from Licensee, Janssen will, within [***], provide written confirmation that it has complied with the foregoing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Warranty Disclaimer</w:t>
      </w:r>
      <w:r>
        <w:rPr>
          <w:rFonts w:ascii="Times New Roman" w:hAnsi="Times New Roman"/>
          <w:sz w:val="20"/>
        </w:rPr>
        <w:t xml:space="preserve">. LICENSEE UNDERSTANDS THAT THE TARP8 COMPOUNDS AND TARP8 PRODUCTS ARE THE SUBJECT OF ONGOING TOXICITY STUDIES AND THAT JANSSEN CANNOT ASSURE THE SAFETY, SUCCESSFUL RESEARCH OR DEVELOPMENT, EFFICACY OR USEFULNESS OF ANY TARP8 COMPOUNDS OR TARP8 PRODUCTS. EXCEPT AS OTHERWISE EXPRESSLY PROVIDED IN THIS ARTICLE 9 (REPRESENTATIONS AND WARRANTIES), JANSSEN MAKES NO REPRESENTATION OR WARRANTY WITH RESPECT TO ANY PATENTS, KNOW-HOW, LICENSES, TECHNOLOGY, COMPOUNDS, PRODUCTS, GOODS, SERVICES, RIGHTS OR OTHER SUBJECT MATTER OF THIS AGREEMENT AND HEREBY DISCLAIMS ALL WARRANTIES OF MERCHANTABILITY, SAFETY, TOXICITY, EFFICACY, FITNESS FOR A PARTICULAR PURPOSE AND NONINFRINGEMENT WITH RESPECT TO ANY AND ALL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Limitation on Representations or Warranties</w:t>
      </w:r>
      <w:r>
        <w:rPr>
          <w:rFonts w:ascii="Times New Roman" w:hAnsi="Times New Roman"/>
          <w:sz w:val="20"/>
        </w:rPr>
        <w:t xml:space="preserve">.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Indemnification by Janssen</w:t>
      </w:r>
      <w:r>
        <w:rPr>
          <w:rFonts w:ascii="Times New Roman" w:hAnsi="Times New Roman"/>
          <w:sz w:val="20"/>
        </w:rPr>
        <w:t>. Janssen will indemnify, defend and hold harmless Licensee and its Affiliates, and its and their respective directors, officers, employees and agents (collectively, </w:t>
      </w:r>
      <w:r>
        <w:rPr>
          <w:rFonts w:ascii="Times New Roman" w:hAnsi="Times New Roman"/>
          <w:b/>
          <w:sz w:val="20"/>
        </w:rPr>
        <w:t>Licensee Indemnitees</w:t>
      </w:r>
      <w:r>
        <w:rPr>
          <w:rFonts w:ascii="Times New Roman" w:hAnsi="Times New Roman"/>
          <w:sz w:val="20"/>
        </w:rPr>
        <w:t>), from and against any claims of damages, bodily injury, death or property damage made by a Third Party (a </w:t>
      </w:r>
      <w:r>
        <w:rPr>
          <w:rFonts w:ascii="Times New Roman" w:hAnsi="Times New Roman"/>
          <w:b/>
          <w:sz w:val="20"/>
        </w:rPr>
        <w:t>Third Party Claim</w:t>
      </w:r>
      <w:r>
        <w:rPr>
          <w:rFonts w:ascii="Times New Roman" w:hAnsi="Times New Roman"/>
          <w:sz w:val="20"/>
        </w:rPr>
        <w:t xml:space="preserve">) to the extent arising from: (a) the negligence, willful misconduct or wrongful intentional acts or omissions of Janssen, its Affiliates, subcontractors or Sublicensees under this Agreement; (b) the breach by Janssen of any warranty, representation or obligation of Janssen under this Agreement, or (c) the Exploitation by Janssen, its Affiliates, subcontractors, sublicensees or its or their representatives or agents under this Agreement of any Janssen Reserved Compound (including any products liability claim or other action relating to alleged defects in a Product (whether design defects, manufacturing defects or defects in sales or marketing)). The indemnification obligation set forth in this Section 10.1 (Indemnification by Janssen) does not apply to the extent an act or failure to act is due to the negligent or reckless act or omission or willful misconduct of Licensee or any Licensee Indemnitee, or breach of this Agreement by Licensee.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Indemnification by Licensee</w:t>
      </w:r>
      <w:r>
        <w:rPr>
          <w:rFonts w:ascii="Times New Roman" w:hAnsi="Times New Roman"/>
          <w:sz w:val="20"/>
        </w:rPr>
        <w:t>. Licensee will indemnify, defend and hold harmless Janssen and its Affiliates, and its and their respective directors, officers, employees and agents (collectively, </w:t>
      </w:r>
      <w:r>
        <w:rPr>
          <w:rFonts w:ascii="Times New Roman" w:hAnsi="Times New Roman"/>
          <w:b/>
          <w:sz w:val="20"/>
        </w:rPr>
        <w:t>Janssen Indemnitees</w:t>
      </w:r>
      <w:r>
        <w:rPr>
          <w:rFonts w:ascii="Times New Roman" w:hAnsi="Times New Roman"/>
          <w:sz w:val="20"/>
        </w:rPr>
        <w:t xml:space="preserve">), from and against any Third Party Claim to the extent arising from (a) the negligence, willful misconduct or wrongful intentional acts or omissions of Licensee, its Affiliates, subcontractors or Sublicensees under this Agreement; (b) the breach by Licensee of any warranty, representation or obligation of Licensee under this Agreement; or (c) the Exploitation by Licensee, its Affiliates, subcontractors, Sublicensees or its or their representatives or agents under this Agreement of any Compounds or Products (including any products liability claim or other action relating to alleged defects in a Product (whether design defects, manufacturing defects or defects in sales or marketing)). The indemnification obligation set forth in this Section 10.2 (Indemnification by Licensee) does not apply to the extent an act or failure to act is due to the negligent or reckless act or omission or willful misconduct of Janssen or any Janssen Indemnitee, or breach of this Agreement by Janssen.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Indemnification Claims</w:t>
      </w:r>
      <w:r>
        <w:rPr>
          <w:rFonts w:ascii="Times New Roman" w:hAnsi="Times New Roman"/>
          <w:sz w:val="20"/>
        </w:rPr>
        <w:t>. If a Licensee Indemnitee or Janssen Indemnitee (an </w:t>
      </w:r>
      <w:r>
        <w:rPr>
          <w:rFonts w:ascii="Times New Roman" w:hAnsi="Times New Roman"/>
          <w:b/>
          <w:sz w:val="20"/>
        </w:rPr>
        <w:t>Indemnitee</w:t>
      </w:r>
      <w:r>
        <w:rPr>
          <w:rFonts w:ascii="Times New Roman" w:hAnsi="Times New Roman"/>
          <w:sz w:val="20"/>
        </w:rPr>
        <w:t>) intends to claim indemnification under this ARTICLE 10 (Indemnification), the Indemnitee will promptly notify the other Party (the </w:t>
      </w:r>
      <w:r>
        <w:rPr>
          <w:rFonts w:ascii="Times New Roman" w:hAnsi="Times New Roman"/>
          <w:b/>
          <w:sz w:val="20"/>
        </w:rPr>
        <w:t>Indemnitor</w:t>
      </w:r>
      <w:r>
        <w:rPr>
          <w:rFonts w:ascii="Times New Roman" w:hAnsi="Times New Roman"/>
          <w:sz w:val="20"/>
        </w:rPr>
        <w:t xml:space="preserve">) in writing of any Third Party Claim for which the Indemnitee intends to claim such indemnification. The failure of the Indemnitee to deliver written notice to the Indemnitor within a reasonable time after the commencement of any such action relieves the Indemnitor of any obligation to the Indemnitee under this ARTICLE 10 (Indemnification) with respect to any such action to the extent the failure prejudices the Indemnitors ability to defend such Third Party Claim. The Indemnitee will permit the Indemnitor to control the litigation or settlement of such Third Party Claim, and cooperate fully with Indemnitor in all related matters,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agreed by Indemnitee (a) counsel appointed by Indemnitor to defend Indemnitee will not take any position which if sustained would cause Indemnitee not to be indemnified by Indemnitor and (b) no settlement will involve any terms binding on Indemnitee except payment of money to by paid by Indemnitor.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Disclaimer</w:t>
      </w:r>
      <w:r>
        <w:rPr>
          <w:rFonts w:ascii="Times New Roman" w:hAnsi="Times New Roman"/>
          <w:sz w:val="20"/>
        </w:rPr>
        <w:t xml:space="preserve">. EXCEPT TO THE EXTENT (A) REQUIRED BY APPLICABLE LAW OR (B) INCLUDED IN LOSSES RESULTING FROM A THIRD PARTY CLAIM FOR WHICH ONE PARTY IS OBLIGATED TO INDEMNIFY THE OTHER PARTY (OR AN INDEMNITEE OF SUCH OTHER PARTY) PURSUANT TO THIS ARTICLE 10 (INDEMNIFICATION), (C) BREACH OF SECTION 4.1.1.1 (LICENSE UNDER TARP8 TECHNOLOGY), SECTION 4.1.1.2 (LICENSE UNDER PRIMARY TARP8 PATENTS), SECTION 4.4 (EXCLUSIVITY) OR ARTICLE 8 (CONFIDENTIALITY AND PUBLICATION), IN NO EVENT WILL EITHER PARTY BE LIABLE TO THE OTHER PARTY (OR THE OTHER PARTYS AFFILIATES OR SUBLICENSEES) IN CONNECTION WITH THIS AGREEMENT FOR [***] UNDER THIS AGREEMENT, REGARDLESS OF WHETHER IT HAS BEEN INFORMED OF THE POSSIBILITY OR LIKELIHOOD OF SUCH DAMAGES OR THE TYPE OF CLAIM, CONTRACT OR TORT (INCLUDING NEGLIGENCE).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Insurance</w:t>
      </w:r>
      <w:r>
        <w:rPr>
          <w:rFonts w:ascii="Times New Roman" w:hAnsi="Times New Roman"/>
          <w:sz w:val="20"/>
        </w:rPr>
        <w:t xml:space="preserve">. During the Term, Licensee will procure and maintain insurance, at its sole cost and expense, including clinical trial insurance and product liability insurance, adequate to cover its obligations hereunder and which are reasonable and customary in the biopharmaceutical industry for companies similarly situated. Within [***] following the Effective Date and during the Term, Licensee shall obtain and maintain, at minimum, insurance to cover its obligations under this Agreement; </w:t>
      </w:r>
      <w:r>
        <w:rPr>
          <w:rFonts w:ascii="Times New Roman" w:hAnsi="Times New Roman"/>
          <w:i/>
          <w:sz w:val="20"/>
        </w:rPr>
        <w:t>provided</w:t>
      </w:r>
      <w:r>
        <w:rPr>
          <w:rFonts w:ascii="Times New Roman" w:hAnsi="Times New Roman"/>
          <w:sz w:val="20"/>
        </w:rPr>
        <w:t xml:space="preserve"> that in no event shall such insurance policy be written in amounts less than [***] per claim or per occurrence and annually in the aggregate. Licensee will provide Janssen with written proof of the existence of such insurance upon request and will provide Janssen with written notice at least [***] prior to the cancellation, non-renewal or material change in such insurance which materially adversely affects the rights of Janssen hereunder. It is understood that such insurance will not be construed to create a limit of Licensees liability with respect to its indemnification obligations under this ARTICLE 10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Term and Expiration</w:t>
      </w:r>
      <w:r>
        <w:rPr>
          <w:rFonts w:ascii="Times New Roman" w:hAnsi="Times New Roman"/>
          <w:sz w:val="20"/>
        </w:rPr>
        <w:t>. The term of this Agreement (the </w:t>
      </w:r>
      <w:r>
        <w:rPr>
          <w:rFonts w:ascii="Times New Roman" w:hAnsi="Times New Roman"/>
          <w:b/>
          <w:sz w:val="20"/>
        </w:rPr>
        <w:t>Term</w:t>
      </w:r>
      <w:r>
        <w:rPr>
          <w:rFonts w:ascii="Times New Roman" w:hAnsi="Times New Roman"/>
          <w:sz w:val="20"/>
        </w:rPr>
        <w:t xml:space="preserve">) will commence on the Effective Date and, unless this Agreement is terminated earlier in accordance with this ARTICLE 11 (Term and Termination), will end (a) with respect to TARP8 Products, (i) if the TARP8 Option is exercised in accordance with Section 2.2.3 (Option Exercise), on a country-by-country basis and TARP8 Product-by-TARP8 Product basis upon the expiration of the Royalty Term in such country for such TARP8 Product and (ii) if the TARP8 Option is not exercised by the expiration of the Option Period, the expiration of the Option Period and (b) with respect to nACh Products, upon the expiration of the last-to-expire Patent within the Licensed nACh Assay Patents and Joint nACh Patents. Upon expiration (but not earlier termination) of this Agreement pursuant to this Section 11.1 (Term and Expiration) with respect to a country and Product, the licenses granted to Licensee under ARTICLE 4 (License Grants; Assignment of Certain Patents) will become perpetual, irrevocable, non-exclusive and fully paid with respect to such country and such Product.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Termination by Licensee Without Cause</w:t>
      </w:r>
      <w:r>
        <w:rPr>
          <w:rFonts w:ascii="Times New Roman" w:hAnsi="Times New Roman"/>
          <w:sz w:val="20"/>
        </w:rPr>
        <w:t xml:space="preserve">. Licensee may, upon ninety (90) days prior written notice to Janssen, terminate this Agreement in its entirety, or either one of the TARP8 program and the nACh program, without cause.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Termination for Material Breach</w:t>
      </w:r>
      <w:r>
        <w:rPr>
          <w:rFonts w:ascii="Times New Roman" w:hAnsi="Times New Roman"/>
          <w:sz w:val="20"/>
        </w:rPr>
        <w:t>. Subject to the terms and conditions of this Agreement, either Party (the </w:t>
      </w:r>
      <w:r>
        <w:rPr>
          <w:rFonts w:ascii="Times New Roman" w:hAnsi="Times New Roman"/>
          <w:b/>
          <w:sz w:val="20"/>
        </w:rPr>
        <w:t>Non-breaching Party</w:t>
      </w:r>
      <w:r>
        <w:rPr>
          <w:rFonts w:ascii="Times New Roman" w:hAnsi="Times New Roman"/>
          <w:sz w:val="20"/>
        </w:rPr>
        <w:t>) may terminate this Agreement in its entirety or in part in the event of a material breach of this Agreement by the other Party (the </w:t>
      </w:r>
      <w:r>
        <w:rPr>
          <w:rFonts w:ascii="Times New Roman" w:hAnsi="Times New Roman"/>
          <w:b/>
          <w:sz w:val="20"/>
        </w:rPr>
        <w:t>Breaching Party</w:t>
      </w:r>
      <w:r>
        <w:rPr>
          <w:rFonts w:ascii="Times New Roman" w:hAnsi="Times New Roman"/>
          <w:sz w:val="20"/>
        </w:rPr>
        <w:t>), by providing [***] prior written notice to the Breaching Party (the </w:t>
      </w:r>
      <w:r>
        <w:rPr>
          <w:rFonts w:ascii="Times New Roman" w:hAnsi="Times New Roman"/>
          <w:b/>
          <w:sz w:val="20"/>
        </w:rPr>
        <w:t>Cure Period</w:t>
      </w:r>
      <w:r>
        <w:rPr>
          <w:rFonts w:ascii="Times New Roman" w:hAnsi="Times New Roman"/>
          <w:sz w:val="20"/>
        </w:rPr>
        <w:t xml:space="preserve">). Such notice will reasonably describe the alleged material breach in reasonably sufficient detail to put the Breaching Party on notice and clearly state the Non-breaching Partys intent to terminate this Agreement if the alleged breach is not cured within the Cure Period. Notwithstanding the foregoing, the Cure Period in connection with a material breach of a payment obligation under ARTICLE 6 (Payments) will be [***]. In the event that the Breaching Party disputes in good faith the existence of a material breach under this Section 11.2 (Termination for Material Breach), the time for cure will be extended until such time as the dispute is finally resolved pursuant to ARTICLE 12 (Dispute Resolution). In the event of a material breach of this Agreement with respect to a particular Product or a particular country within the Territory by Licensee that is not cured within the applicable Cure Period and such breach does not materially affect other Products or other country, then Janssen shall only have the right to terminate this Agreement with respect to such Product or such country (in addition to pursuing any remedy that may be available to Janssen at law or in equity as a result of Licensees breach of this Agreement), and this Agreement will remain in full force and effect with respect to all other Products and all other countries in the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Termination for Bankruptcy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11.4.1 </w:t>
      </w:r>
      <w:r>
        <w:rPr>
          <w:rFonts w:ascii="Times New Roman" w:hAnsi="Times New Roman"/>
          <w:sz w:val="20"/>
          <w:u w:val="single"/>
        </w:rPr>
        <w:t>Right to Terminate</w:t>
      </w:r>
      <w:r>
        <w:rPr>
          <w:rFonts w:ascii="Times New Roman" w:hAnsi="Times New Roman"/>
          <w:sz w:val="20"/>
        </w:rPr>
        <w:t>. A Party may terminate this Agreement in its entirety immediately upon providing written notice to the other Party on or after the time that such other Party makes a general assignment for the benefit of creditors, files a voluntary petition in bankruptcy, consents to an order for relief in connection with an involuntary petition in bankruptcy filed against such Party (or an involuntary petition in bankruptcy filed against such Party remains un-dismissed or un-stayed for a period of more than [***]),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(each, an </w:t>
      </w:r>
      <w:r>
        <w:rPr>
          <w:rFonts w:ascii="Times New Roman" w:hAnsi="Times New Roman"/>
          <w:b/>
          <w:sz w:val="20"/>
        </w:rPr>
        <w:t>Insolvency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11.4.2 </w:t>
      </w:r>
      <w:r>
        <w:rPr>
          <w:rFonts w:ascii="Times New Roman" w:hAnsi="Times New Roman"/>
          <w:sz w:val="20"/>
          <w:u w:val="single"/>
        </w:rPr>
        <w:t>Section 365(n) of Bankruptcy Code</w:t>
      </w:r>
      <w:r>
        <w:rPr>
          <w:rFonts w:ascii="Times New Roman" w:hAnsi="Times New Roman"/>
          <w:sz w:val="20"/>
        </w:rPr>
        <w:t>. All rights and licenses now or hereafter granted under or pursuant to any Section of this Agreement are rights to intellectual property (as defined in Section 101(35A) of Title 11 of the United States Code, as amended (such Title 11, the </w:t>
      </w:r>
      <w:r>
        <w:rPr>
          <w:rFonts w:ascii="Times New Roman" w:hAnsi="Times New Roman"/>
          <w:b/>
          <w:sz w:val="20"/>
        </w:rPr>
        <w:t>Bankruptcy Code</w:t>
      </w:r>
      <w:r>
        <w:rPr>
          <w:rFonts w:ascii="Times New Roman" w:hAnsi="Times New Roman"/>
          <w:sz w:val="20"/>
        </w:rPr>
        <w:t>)). In the event that this Agreement is rejected under Section 365 of the Bankruptcy Code by or on behalf of a Party (including by any receiver, trustee or similar officer appointed with respect to such Party), such Party (the </w:t>
      </w:r>
      <w:r>
        <w:rPr>
          <w:rFonts w:ascii="Times New Roman" w:hAnsi="Times New Roman"/>
          <w:b/>
          <w:sz w:val="20"/>
        </w:rPr>
        <w:t>Licensor Party</w:t>
      </w:r>
      <w:r>
        <w:rPr>
          <w:rFonts w:ascii="Times New Roman" w:hAnsi="Times New Roman"/>
          <w:sz w:val="20"/>
        </w:rPr>
        <w:t>) hereby grants to the other Party (the </w:t>
      </w:r>
      <w:r>
        <w:rPr>
          <w:rFonts w:ascii="Times New Roman" w:hAnsi="Times New Roman"/>
          <w:b/>
          <w:sz w:val="20"/>
        </w:rPr>
        <w:t>Licensee Part</w:t>
      </w:r>
      <w:r>
        <w:rPr>
          <w:rFonts w:ascii="Times New Roman" w:hAnsi="Times New Roman"/>
          <w:sz w:val="20"/>
        </w:rPr>
        <w:t xml:space="preserve">y), subject to the Licensee Partys obligations under Sections 365(n)(2)(A) and (B), a right of access and to obtain possession of and to benefit from embodiments of intellectual property pursuant to Section 365(n) of the Bankruptcy Code (including information and Know-How Controlled by the Licensor Party with respect to Compounds or Products and regulatory documentation with respect thereto), all of which constitute embodiments of intellectual property pursuant to Section 365(n) of the Bankruptcy Code to the extent related to the Licensee Partys exercise of its license rights to any Compounds or Products or otherwise related to any rights or licenses granted to the Licensee Party under or pursuant to any Section of this Agreement. The Licensor Party agrees not to interfere with the Licensee Partys exercise under the Bankruptcy Code of rights and licenses to intellectual property licensed hereunder and embodiments thereof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Partial Termination</w:t>
      </w:r>
      <w:r>
        <w:rPr>
          <w:rFonts w:ascii="Times New Roman" w:hAnsi="Times New Roman"/>
          <w:sz w:val="20"/>
        </w:rPr>
        <w:t xml:space="preserve">. For purposes of clarity and notwithstanding any provisions of this ARTICLE 11 (Term and Termination) to the contrary, if the termination of this Agreement is with respect to a particular Product or a particular country within the Territory, then the foregoing provisions of this ARTICLE 11 (Term and Termination) and the applicable provisions of Section 11.6 (Effects of Termination) will apply solely with respect to the applicable Product or country, </w:t>
      </w:r>
      <w:r>
        <w:rPr>
          <w:rFonts w:ascii="Times New Roman" w:hAnsi="Times New Roman"/>
          <w:i/>
          <w:sz w:val="20"/>
        </w:rPr>
        <w:t>mutatis mutandis</w:t>
      </w:r>
      <w:r>
        <w:rPr>
          <w:rFonts w:ascii="Times New Roman" w:hAnsi="Times New Roman"/>
          <w:sz w:val="20"/>
        </w:rPr>
        <w:t xml:space="preserve">, and this Agreement will remain in full force and effect with respect to all other Products and all other countries in the Territory.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Effects of Termination</w:t>
      </w:r>
      <w:r>
        <w:rPr>
          <w:rFonts w:ascii="Times New Roman" w:hAnsi="Times New Roman"/>
          <w:sz w:val="20"/>
        </w:rPr>
        <w:t xml:space="preserve">. If this Agreement is terminated by either Party pursuant to Section 11.3 (Termination for Material Breach) or Section 11.4 (Termination for Bankruptcy), or by Licensee pursuant to Section 11.2 (Termination By Licensee Without Cause), then the provisions of this Section 11.6 (Effects of Termination) will apply. </w:t>
      </w:r>
    </w:p>
    <w:p>
      <w:pPr>
        <w:pStyle w:val="TextBody"/>
        <w:bidi w:val="0"/>
        <w:spacing w:before="240" w:after="0"/>
        <w:jc w:val="left"/>
        <w:rPr>
          <w:rFonts w:ascii="Times New Roman" w:hAnsi="Times New Roman"/>
          <w:sz w:val="20"/>
        </w:rPr>
      </w:pPr>
      <w:r>
        <w:rPr>
          <w:rFonts w:ascii="Times New Roman" w:hAnsi="Times New Roman"/>
          <w:sz w:val="20"/>
        </w:rPr>
        <w:t xml:space="preserve">11.6.1 </w:t>
      </w:r>
      <w:r>
        <w:rPr>
          <w:rFonts w:ascii="Times New Roman" w:hAnsi="Times New Roman"/>
          <w:sz w:val="20"/>
          <w:u w:val="single"/>
        </w:rPr>
        <w:t>Termination of TARP8 License</w:t>
      </w:r>
      <w:r>
        <w:rPr>
          <w:rFonts w:ascii="Times New Roman" w:hAnsi="Times New Roman"/>
          <w:sz w:val="20"/>
        </w:rPr>
        <w:t>. The license granted to Licensee under Section 4.1.1.1 (License under TARP8 Technology) will terminate as of the date upon which such termination becomes effective under this ARTICLE 11 (Term and Termination) (the </w:t>
      </w:r>
      <w:r>
        <w:rPr>
          <w:rFonts w:ascii="Times New Roman" w:hAnsi="Times New Roman"/>
          <w:b/>
          <w:sz w:val="20"/>
        </w:rPr>
        <w:t>Termination Effective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11.6.2 </w:t>
      </w:r>
      <w:r>
        <w:rPr>
          <w:rFonts w:ascii="Times New Roman" w:hAnsi="Times New Roman"/>
          <w:sz w:val="20"/>
          <w:u w:val="single"/>
        </w:rPr>
        <w:t>Non-Exclusive License under Joint nACh Patents</w:t>
      </w:r>
      <w:r>
        <w:rPr>
          <w:rFonts w:ascii="Times New Roman" w:hAnsi="Times New Roman"/>
          <w:sz w:val="20"/>
        </w:rPr>
        <w:t xml:space="preserve">. Subject to the terms and conditions of this Agreement, as of the date of the Termination Effective Date, the exclusive license granted to Licensee under Section 4.1.2.2 (Exclusive License Under Joint nACh Patents) will become non-exclusive. </w:t>
      </w:r>
    </w:p>
    <w:p>
      <w:pPr>
        <w:pStyle w:val="TextBody"/>
        <w:bidi w:val="0"/>
        <w:spacing w:before="240" w:after="0"/>
        <w:jc w:val="left"/>
        <w:rPr>
          <w:rFonts w:ascii="Times New Roman" w:hAnsi="Times New Roman"/>
          <w:sz w:val="20"/>
        </w:rPr>
      </w:pPr>
      <w:r>
        <w:rPr>
          <w:rFonts w:ascii="Times New Roman" w:hAnsi="Times New Roman"/>
          <w:sz w:val="20"/>
        </w:rPr>
        <w:t xml:space="preserve">11.6.3 </w:t>
      </w:r>
      <w:r>
        <w:rPr>
          <w:rFonts w:ascii="Times New Roman" w:hAnsi="Times New Roman"/>
          <w:sz w:val="20"/>
          <w:u w:val="single"/>
        </w:rPr>
        <w:t>Return of Confidential Information</w:t>
      </w:r>
      <w:r>
        <w:rPr>
          <w:rFonts w:ascii="Times New Roman" w:hAnsi="Times New Roman"/>
          <w:sz w:val="20"/>
        </w:rPr>
        <w:t xml:space="preserve">. Licensee will, within [***] after the Termination Effective Date, return or cause to be returned to Janssen all Janssen Confidential Information in tangible form, except that Licensee may retain one copy in its confidential files solely for records purposes. </w:t>
      </w:r>
    </w:p>
    <w:p>
      <w:pPr>
        <w:pStyle w:val="TextBody"/>
        <w:bidi w:val="0"/>
        <w:spacing w:before="240" w:after="0"/>
        <w:jc w:val="left"/>
        <w:rPr>
          <w:rFonts w:ascii="Times New Roman" w:hAnsi="Times New Roman"/>
          <w:sz w:val="20"/>
        </w:rPr>
      </w:pPr>
      <w:r>
        <w:rPr>
          <w:rFonts w:ascii="Times New Roman" w:hAnsi="Times New Roman"/>
          <w:sz w:val="20"/>
        </w:rPr>
        <w:t xml:space="preserve">11.6.4 </w:t>
      </w:r>
      <w:r>
        <w:rPr>
          <w:rFonts w:ascii="Times New Roman" w:hAnsi="Times New Roman"/>
          <w:sz w:val="20"/>
          <w:u w:val="single"/>
        </w:rPr>
        <w:t>Sublicenses</w:t>
      </w:r>
      <w:r>
        <w:rPr>
          <w:rFonts w:ascii="Times New Roman" w:hAnsi="Times New Roman"/>
          <w:sz w:val="20"/>
        </w:rPr>
        <w:t xml:space="preserve">. In the event of termination of this Agreement for any reason, any existing Sublicensee that is in good standing as of the effective date of termination will have the right to elect either of the following, at its discretion: (a) [***]; or (b) [***]. </w:t>
      </w:r>
    </w:p>
    <w:p>
      <w:pPr>
        <w:pStyle w:val="TextBody"/>
        <w:bidi w:val="0"/>
        <w:spacing w:before="240" w:after="0"/>
        <w:jc w:val="left"/>
        <w:rPr>
          <w:rFonts w:ascii="Times New Roman" w:hAnsi="Times New Roman"/>
          <w:sz w:val="20"/>
        </w:rPr>
      </w:pPr>
      <w:r>
        <w:rPr>
          <w:rFonts w:ascii="Times New Roman" w:hAnsi="Times New Roman"/>
          <w:sz w:val="20"/>
        </w:rPr>
        <w:t xml:space="preserve">11.6.5 </w:t>
      </w:r>
      <w:r>
        <w:rPr>
          <w:rFonts w:ascii="Times New Roman" w:hAnsi="Times New Roman"/>
          <w:sz w:val="20"/>
          <w:u w:val="single"/>
        </w:rPr>
        <w:t>Other Effects</w:t>
      </w:r>
      <w:r>
        <w:rPr>
          <w:rFonts w:ascii="Times New Roman" w:hAnsi="Times New Roman"/>
          <w:sz w:val="20"/>
        </w:rPr>
        <w:t xml:space="preserve">. In addition, to the extent assignable or transferable in accordance with Applicable Laws, following the Termination Effective Date, Licensee will, or will cause its Affiliates and Sublicensees (unless otherwise provided in Section 11.6.4 (Sublicensees)) to, effective upon Licensees receipt of notice from Janssen before or on the Termination Effective Date electing to receive any or all of the following items: </w:t>
      </w:r>
    </w:p>
    <w:p>
      <w:pPr>
        <w:pStyle w:val="TextBody"/>
        <w:bidi w:val="0"/>
        <w:spacing w:before="120" w:after="0"/>
        <w:jc w:val="left"/>
        <w:rPr>
          <w:rFonts w:ascii="Times New Roman" w:hAnsi="Times New Roman"/>
          <w:sz w:val="20"/>
        </w:rPr>
      </w:pPr>
      <w:r>
        <w:rPr>
          <w:rFonts w:ascii="Times New Roman" w:hAnsi="Times New Roman"/>
          <w:sz w:val="20"/>
        </w:rPr>
        <w:t xml:space="preserve">(a) transfer to Janssen copies of Licensed TARP8 Know-How and any remaining Transferred Janssen Materials together with all material data generated by Licensee or any of its Affiliates or Sublicensees to the extent necessary for the Exploitation of a TARP8 Compound or TARP8 Product and not already in Janssens possession;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grant Janssen an exclusive (even as to Licensee), perpetual, transferable and sublicensable (through multiple tiers) license under the Primary TARP8 Patents, to Exploit TARP8 Compounds and TARP8 Products in each case in the Field in the Territory, </w:t>
      </w:r>
      <w:r>
        <w:rPr>
          <w:rFonts w:ascii="Times New Roman" w:hAnsi="Times New Roman"/>
          <w:i/>
          <w:sz w:val="20"/>
        </w:rPr>
        <w:t>provided</w:t>
      </w:r>
      <w:r>
        <w:rPr>
          <w:rFonts w:ascii="Times New Roman" w:hAnsi="Times New Roman"/>
          <w:sz w:val="20"/>
        </w:rPr>
        <w:t xml:space="preserve"> that, if this Agreement is terminated by Licensee pursuant to Section 11.3 (Termination for Material Breach) or Section 11.4 (Termination for Bankruptcy) in each case on or after [***], then, with respect to such TARP8 Compound [***]; </w:t>
      </w:r>
    </w:p>
    <w:p>
      <w:pPr>
        <w:pStyle w:val="TextBody"/>
        <w:bidi w:val="0"/>
        <w:spacing w:before="240" w:after="0"/>
        <w:jc w:val="left"/>
        <w:rPr>
          <w:rFonts w:ascii="Times New Roman" w:hAnsi="Times New Roman"/>
          <w:sz w:val="20"/>
        </w:rPr>
      </w:pPr>
      <w:r>
        <w:rPr>
          <w:rFonts w:ascii="Times New Roman" w:hAnsi="Times New Roman"/>
          <w:sz w:val="20"/>
        </w:rPr>
        <w:t xml:space="preserve">(c) assign to Janssen all of Licensees (and all of its Affiliates or Sublicensees) rights, title and interests in and to any agreements between Licensee (or any of its Affiliates or Sublicensees) and Third Parties that relate to the Exploitation of any TARP8 Products (including any Third Party licenses);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agreement does not relate solely to such Exploitation, then Licensee (or such Affiliate or Sublicensee) will assign to Janssen only such portions of such agreements relating thereto; and further </w:t>
      </w:r>
      <w:r>
        <w:rPr>
          <w:rFonts w:ascii="Times New Roman" w:hAnsi="Times New Roman"/>
          <w:i/>
          <w:sz w:val="20"/>
        </w:rPr>
        <w:t>provided</w:t>
      </w:r>
      <w:r>
        <w:rPr>
          <w:rFonts w:ascii="Times New Roman" w:hAnsi="Times New Roman"/>
          <w:sz w:val="20"/>
        </w:rPr>
        <w:t xml:space="preserve"> that if such assignment is not permitted under the terms of such agreement, the Parties will cooperate to provide to Janssen the benefit thereunder to the extent practicable; and, if any such Third Party agreement requires payments on the Exploitation of any TARP8 Compounds or TARP8 Products, then, after termination of this Agreement, such payment obligations (to the extent incurred on or after the Termination Effective Date and specifically attributable to the Exploitation of such TARP8 Compounds and TARP8 Products) shall be solely borne by [***] in connection with its Exploitation of such TARP8 Compounds or TARP8 Products pursuant to Section 11.6.5(b) (Other Effects);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assign to Janssen all of Licensees (and all of its Affiliates or Sublicensees) rights, title and interests in and to any TARP8 Product trademarks and trade dress (including any goodwill associated therewith) intended for use, or used, solely in connection with the TARP8 Products, any registrations and design patents for any of the foregoing and including any Internet domain name registrations using such trademarks and slogans; </w:t>
      </w:r>
    </w:p>
    <w:p>
      <w:pPr>
        <w:pStyle w:val="TextBody"/>
        <w:bidi w:val="0"/>
        <w:spacing w:before="240" w:after="0"/>
        <w:jc w:val="left"/>
        <w:rPr>
          <w:rFonts w:ascii="Times New Roman" w:hAnsi="Times New Roman"/>
          <w:sz w:val="20"/>
        </w:rPr>
      </w:pPr>
      <w:r>
        <w:rPr>
          <w:rFonts w:ascii="Times New Roman" w:hAnsi="Times New Roman"/>
          <w:sz w:val="20"/>
        </w:rPr>
        <w:t xml:space="preserve">(e) if Licensee is conducting any clinical Development activity with respect to any TARP8 Product immediately prior to the Termination Effective Date, then Licensee will notify Janssen within [***] after the Termination Effective Date, whether, to the extent permitted by Applicable Law, Licensee elects to wind-down of such activity, or, if requested by Janssen, transfer such activity to Janssen; </w:t>
      </w:r>
    </w:p>
    <w:p>
      <w:pPr>
        <w:pStyle w:val="TextBody"/>
        <w:bidi w:val="0"/>
        <w:spacing w:before="240" w:after="0"/>
        <w:jc w:val="left"/>
        <w:rPr>
          <w:rFonts w:ascii="Times New Roman" w:hAnsi="Times New Roman"/>
          <w:sz w:val="20"/>
        </w:rPr>
      </w:pPr>
      <w:r>
        <w:rPr>
          <w:rFonts w:ascii="Times New Roman" w:hAnsi="Times New Roman"/>
          <w:sz w:val="20"/>
        </w:rPr>
        <w:t xml:space="preserve">(i) With regard to any clinical trial, if Licensee notifies Janssen of its election to wind-down such activity, Licensee will the use reasonable efforts to conduct such wind-down activities; and </w:t>
      </w:r>
    </w:p>
    <w:p>
      <w:pPr>
        <w:pStyle w:val="TextBody"/>
        <w:bidi w:val="0"/>
        <w:spacing w:before="240" w:after="0"/>
        <w:jc w:val="left"/>
        <w:rPr>
          <w:rFonts w:ascii="Times New Roman" w:hAnsi="Times New Roman"/>
          <w:sz w:val="20"/>
        </w:rPr>
      </w:pPr>
      <w:r>
        <w:rPr>
          <w:rFonts w:ascii="Times New Roman" w:hAnsi="Times New Roman"/>
          <w:sz w:val="20"/>
        </w:rPr>
        <w:t xml:space="preserve">(ii) If upon Janssens request, Licensee notifies Janssen of its election to transfer such activity to Janssen, then Licensee will use reasonable efforts to transfer, and Janssen will use reasonable efforts to assume, such activity as promptly as practicable (and, in any event, within [***]) after the Termination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(f) assign to Janssen all of Licensees rights, title and interests in and to any and all regulatory materials, Drug Approval Applications and Marketing Approvals for the TARP8 Products and use reasonable efforts to have assigned to Janssen all of Licensees Affiliates and Sublicensees rights, title and interests in and to any and all regulatory materials, Drug Approval Applications and Marketing Approvals for the TARP8 Products; </w:t>
      </w:r>
    </w:p>
    <w:p>
      <w:pPr>
        <w:pStyle w:val="TextBody"/>
        <w:bidi w:val="0"/>
        <w:spacing w:before="240" w:after="0"/>
        <w:jc w:val="left"/>
        <w:rPr>
          <w:rFonts w:ascii="Times New Roman" w:hAnsi="Times New Roman"/>
          <w:sz w:val="20"/>
        </w:rPr>
      </w:pPr>
      <w:r>
        <w:rPr>
          <w:rFonts w:ascii="Times New Roman" w:hAnsi="Times New Roman"/>
          <w:sz w:val="20"/>
        </w:rPr>
        <w:t xml:space="preserve">(g) assign to Janssen all of Licensees rights, title and interests in and to any promotional materials, including any copyrights contained in such materials, and all goodwill associated therewith, as well as all packaging and labeling materials for the TARP8 Products and use reasonable efforts to have assigned to Janssen all of Licensees Affiliates and Sublicensees rights, title and interests in and to any and all of the foregoing owned by such Affiliates and Sublicensees; and </w:t>
      </w:r>
    </w:p>
    <w:p>
      <w:pPr>
        <w:pStyle w:val="TextBody"/>
        <w:bidi w:val="0"/>
        <w:spacing w:before="240" w:after="0"/>
        <w:jc w:val="left"/>
        <w:rPr>
          <w:rFonts w:ascii="Times New Roman" w:hAnsi="Times New Roman"/>
          <w:sz w:val="20"/>
        </w:rPr>
      </w:pPr>
      <w:r>
        <w:rPr>
          <w:rFonts w:ascii="Times New Roman" w:hAnsi="Times New Roman"/>
          <w:sz w:val="20"/>
        </w:rPr>
        <w:t xml:space="preserve">(h) Licensee will disclose the then-current Manufacturing process for all TARP8 Products to Janssen or its designee (which will be designated as soon as reasonably practical but in no event later than [***] following the effective date of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Licensee does not Control such information, then Licensee will use all reasonable efforts to require the entity controlling such information to make such disclosure. At Janssens request, Licensee may agree to supply, or cause to be supplied, to Janssen or its designee quantities of TARP8 Products and related research assays and reagents, to satisfy Janssens and its Affiliates and sublicensees requirements for TARP8 Products and related research assays and reagents until the earlier of (i) [***]; or (ii) [***];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Janssen will use commercially reasonable efforts to be able to Manufacture TARP8 Products as promptly as practicable, including supply to allow completion of clinical trials ongoing upon termination of the TARP8 Product. Any such supply will be made pursuant to a mutually acceptable supply agreement between the Parties. In addition, upon Janssens request, Licensee will supply to Janssen or its designee all of its then-remaining inventory of such TARP8 Products for pre-clinical or clinical use, and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transitioning costs for the foregoing activities set forth in this Section 11.6.5 (Other Effects) (excluding the royalties on the license granted by Licensee pursuant to Section 11.6.5(b) (Other Effects), payments under Third Party agreements pursuant to Section 11.6.5(c) (Other Effects), and the supply prices to be determined pursuant to Section 11.6.5(h) (Other Effects)) shall be borne by [***] if [***].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Survival</w:t>
      </w:r>
      <w:r>
        <w:rPr>
          <w:rFonts w:ascii="Times New Roman" w:hAnsi="Times New Roman"/>
          <w:sz w:val="20"/>
        </w:rPr>
        <w:t xml:space="preserve">. Any expiration or termination of this Agreement will not preclude the terminating Party from exercising any other of those remedies to which it may be entitled under this Agreement or Applicable Law, or terminate any right to obtain performance of any obligation provided for in this Agreement that will survive termination. In addition, any other rights or obligations that accrued prior to expiration or termination of this Agreement (including payment obligations) will survive expiration or termination of this Agreement. The following provisions will survive any expiration or termination of this Agreement, indefinitely or for the period of time noted in the specific provisions: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Resolution of Disputes</w:t>
      </w:r>
      <w:r>
        <w:rPr>
          <w:rFonts w:ascii="Times New Roman" w:hAnsi="Times New Roman"/>
          <w:sz w:val="20"/>
        </w:rPr>
        <w:t>. The Parties will first negotiate in good faith and use reasonable efforts to settle any dispute, controversy or claim arising out of or in connection with this Agreement, including any Partys rights or obligations herein or any questions regarding the formation, existence, validity, enforceability, performance, interpretation, tort, breach or termination thereof (each, a </w:t>
      </w:r>
      <w:r>
        <w:rPr>
          <w:rFonts w:ascii="Times New Roman" w:hAnsi="Times New Roman"/>
          <w:b/>
          <w:sz w:val="20"/>
        </w:rPr>
        <w:t>Dispute</w:t>
      </w:r>
      <w:r>
        <w:rPr>
          <w:rFonts w:ascii="Times New Roman" w:hAnsi="Times New Roman"/>
          <w:sz w:val="20"/>
        </w:rPr>
        <w:t>). If the Parties are unable to resolve a Dispute within [***] after either Partys request despite using reasonable efforts to do so, either Party may, by written notice to the other, refer the Dispute to their respective senior management designated below or their respective successors, for attempted resolution by negotiation in good faith. The attempted resolution will take place no later than [***] following receipt of such notice. The designated management (each designated representative, an </w:t>
      </w:r>
      <w:r>
        <w:rPr>
          <w:rFonts w:ascii="Times New Roman" w:hAnsi="Times New Roman"/>
          <w:b/>
          <w:sz w:val="20"/>
        </w:rPr>
        <w:t>Executive Officer</w:t>
      </w:r>
      <w:r>
        <w:rPr>
          <w:rFonts w:ascii="Times New Roman" w:hAnsi="Times New Roman"/>
          <w:sz w:val="20"/>
        </w:rPr>
        <w:t xml:space="preserve">)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For Licensee: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For Janssen:   Global Head, Neuroscience Therapeutics Area, Janssen Research &amp; Development </w:t>
      </w:r>
    </w:p>
    <w:p>
      <w:pPr>
        <w:pStyle w:val="TextBody"/>
        <w:bidi w:val="0"/>
        <w:spacing w:before="240" w:after="0"/>
        <w:jc w:val="left"/>
        <w:rPr>
          <w:rFonts w:ascii="Times New Roman" w:hAnsi="Times New Roman"/>
          <w:sz w:val="20"/>
        </w:rPr>
      </w:pPr>
      <w:r>
        <w:rPr>
          <w:rFonts w:ascii="Times New Roman" w:hAnsi="Times New Roman"/>
          <w:sz w:val="20"/>
        </w:rPr>
        <w:t xml:space="preserve">If the Parties are unable to resolve the Dispute within [***] following the day on which one Party provides written notice of the Dispute to the other in accordance with this Section 12.1 (Resolution Disputes), and a Party wishes to pursue the matter, each such Dispute will be finally resolved by mediation followed by binding arbitration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Mediation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12.2.1 </w:t>
      </w:r>
      <w:r>
        <w:rPr>
          <w:rFonts w:ascii="Times New Roman" w:hAnsi="Times New Roman"/>
          <w:sz w:val="20"/>
          <w:u w:val="single"/>
        </w:rPr>
        <w:t>CPR Mediation Procedure</w:t>
      </w:r>
      <w:r>
        <w:rPr>
          <w:rFonts w:ascii="Times New Roman" w:hAnsi="Times New Roman"/>
          <w:sz w:val="20"/>
        </w:rPr>
        <w:t>. The Parties will first attempt in good faith to resolve any Dispute by confidential mediation in accordance with the then current Mediation Procedure of the International Institute for Conflict Prevention and Resolution (</w:t>
      </w:r>
      <w:r>
        <w:rPr>
          <w:rFonts w:ascii="Times New Roman" w:hAnsi="Times New Roman"/>
          <w:b/>
          <w:sz w:val="20"/>
        </w:rPr>
        <w:t>CPR Mediation Procedure</w:t>
      </w:r>
      <w:r>
        <w:rPr>
          <w:rFonts w:ascii="Times New Roman" w:hAnsi="Times New Roman"/>
          <w:sz w:val="20"/>
        </w:rPr>
        <w:t xml:space="preserve">) (www.cpradr.org) before initiating arbitration. The CPR Mediation Procedure controls, except where the CPR Mediation Procedure conflicts with these provisions, in which case these provisions control. The mediator will be chosen pursuant to the CPR Mediation Procedure. The mediation will be held in New York, NY,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12.2.2 </w:t>
      </w:r>
      <w:r>
        <w:rPr>
          <w:rFonts w:ascii="Times New Roman" w:hAnsi="Times New Roman"/>
          <w:sz w:val="20"/>
          <w:u w:val="single"/>
        </w:rPr>
        <w:t>Conduct of Mediation</w:t>
      </w:r>
      <w:r>
        <w:rPr>
          <w:rFonts w:ascii="Times New Roman" w:hAnsi="Times New Roman"/>
          <w:sz w:val="20"/>
        </w:rPr>
        <w:t xml:space="preserve">. Either Party may initiate mediation by written notice to the other of the existence of a Dispute. The Parties will select the mediator within [***]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will mediation continue more than [***] from the initial notice by a Party to initiate meditation unless the Parties agree in writing to extend that period. </w:t>
      </w:r>
    </w:p>
    <w:p>
      <w:pPr>
        <w:pStyle w:val="TextBody"/>
        <w:bidi w:val="0"/>
        <w:spacing w:before="240" w:after="0"/>
        <w:jc w:val="left"/>
        <w:rPr>
          <w:rFonts w:ascii="Times New Roman" w:hAnsi="Times New Roman"/>
          <w:sz w:val="20"/>
        </w:rPr>
      </w:pPr>
      <w:r>
        <w:rPr>
          <w:rFonts w:ascii="Times New Roman" w:hAnsi="Times New Roman"/>
          <w:sz w:val="20"/>
        </w:rPr>
        <w:t xml:space="preserve">12.2.3 </w:t>
      </w:r>
      <w:r>
        <w:rPr>
          <w:rFonts w:ascii="Times New Roman" w:hAnsi="Times New Roman"/>
          <w:sz w:val="20"/>
          <w:u w:val="single"/>
        </w:rPr>
        <w:t>Extension of Limitations</w:t>
      </w:r>
      <w:r>
        <w:rPr>
          <w:rFonts w:ascii="Times New Roman" w:hAnsi="Times New Roman"/>
          <w:sz w:val="20"/>
        </w:rPr>
        <w:t xml:space="preserve">. Any period of limitations that would otherwise expire between the initiation of mediation and its conclusion is extended until [***] after the conclusion of the mediation.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Arbitration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12.3.1 </w:t>
      </w:r>
      <w:r>
        <w:rPr>
          <w:rFonts w:ascii="Times New Roman" w:hAnsi="Times New Roman"/>
          <w:sz w:val="20"/>
          <w:u w:val="single"/>
        </w:rPr>
        <w:t>CPR Rules</w:t>
      </w:r>
      <w:r>
        <w:rPr>
          <w:rFonts w:ascii="Times New Roman" w:hAnsi="Times New Roman"/>
          <w:sz w:val="20"/>
        </w:rPr>
        <w:t>. If the Parties fail to resolve the Dispute in mediation pursuant to Section 12.2 (Mediation), and a Party desires to pursue resolution of the Dispute, the Dispute may be submitted by either Party for resolution in arbitration pursuant to the then current CPR Rules for Non-Administered Arbitration of International Disputes (</w:t>
      </w:r>
      <w:r>
        <w:rPr>
          <w:rFonts w:ascii="Times New Roman" w:hAnsi="Times New Roman"/>
          <w:b/>
          <w:sz w:val="20"/>
        </w:rPr>
        <w:t>CPR Rules</w:t>
      </w:r>
      <w:r>
        <w:rPr>
          <w:rFonts w:ascii="Times New Roman" w:hAnsi="Times New Roman"/>
          <w:sz w:val="20"/>
        </w:rPr>
        <w:t xml:space="preserve">) (www.cpradr.org), except where they conflict with these provisions, in which case these provisions control. CPR is designated as the Neutral Organization for all purposes. The arbitration will be conducted in English and held in New York, NY, United States. All aspects of the arbitration will be treated as confidential. </w:t>
      </w:r>
    </w:p>
    <w:p>
      <w:pPr>
        <w:pStyle w:val="TextBody"/>
        <w:bidi w:val="0"/>
        <w:spacing w:before="240" w:after="0"/>
        <w:jc w:val="left"/>
        <w:rPr>
          <w:rFonts w:ascii="Times New Roman" w:hAnsi="Times New Roman"/>
          <w:sz w:val="20"/>
        </w:rPr>
      </w:pPr>
      <w:r>
        <w:rPr>
          <w:rFonts w:ascii="Times New Roman" w:hAnsi="Times New Roman"/>
          <w:sz w:val="20"/>
        </w:rPr>
        <w:t xml:space="preserve">12.3.2 </w:t>
      </w:r>
      <w:r>
        <w:rPr>
          <w:rFonts w:ascii="Times New Roman" w:hAnsi="Times New Roman"/>
          <w:sz w:val="20"/>
          <w:u w:val="single"/>
        </w:rPr>
        <w:t>Qualifications of Arbitrators</w:t>
      </w:r>
      <w:r>
        <w:rPr>
          <w:rFonts w:ascii="Times New Roman" w:hAnsi="Times New Roman"/>
          <w:sz w:val="20"/>
        </w:rPr>
        <w:t xml:space="preserve">. The arbitrators will be chosen from the CPR Panels of Distinguished Neutrals, unless a candidate not on the CPR Panel is approved by both Parties. Each arbitrator must be a lawyer with at least [***] experience with a law firm or corporate law department of over [***] lawyers or who was a judge of a court of general jurisdiction, and having at least [***] of relevant experience in the pharmaceutical or biotechnology industry. To the extent that the Dispute requires other special expertise, the Parties will so inform CPR before the beginning of the selection process. </w:t>
      </w:r>
    </w:p>
    <w:p>
      <w:pPr>
        <w:pStyle w:val="TextBody"/>
        <w:bidi w:val="0"/>
        <w:spacing w:before="240" w:after="0"/>
        <w:jc w:val="left"/>
        <w:rPr>
          <w:rFonts w:ascii="Times New Roman" w:hAnsi="Times New Roman"/>
          <w:sz w:val="20"/>
        </w:rPr>
      </w:pPr>
      <w:r>
        <w:rPr>
          <w:rFonts w:ascii="Times New Roman" w:hAnsi="Times New Roman"/>
          <w:sz w:val="20"/>
        </w:rPr>
        <w:t xml:space="preserve">12.3.3 </w:t>
      </w:r>
      <w:r>
        <w:rPr>
          <w:rFonts w:ascii="Times New Roman" w:hAnsi="Times New Roman"/>
          <w:sz w:val="20"/>
          <w:u w:val="single"/>
        </w:rPr>
        <w:t>Number of Arbitrators</w:t>
      </w:r>
      <w:r>
        <w:rPr>
          <w:rFonts w:ascii="Times New Roman" w:hAnsi="Times New Roman"/>
          <w:sz w:val="20"/>
        </w:rPr>
        <w:t xml:space="preserve">. The arbitration tribunal will consist of [***] arbitrators, chosen in accordance with Rules 5.3 and 6 of the CPR Rules. If, however, the aggregate award sought by the Parties is less than [***] and equitable relief is not sought, a single arbitrator will be chosen in accordance with Rules 5.3 and 6 of the CPR Rules. </w:t>
      </w:r>
    </w:p>
    <w:p>
      <w:pPr>
        <w:pStyle w:val="TextBody"/>
        <w:bidi w:val="0"/>
        <w:spacing w:before="240" w:after="0"/>
        <w:jc w:val="left"/>
        <w:rPr>
          <w:rFonts w:ascii="Times New Roman" w:hAnsi="Times New Roman"/>
          <w:sz w:val="20"/>
        </w:rPr>
      </w:pPr>
      <w:r>
        <w:rPr>
          <w:rFonts w:ascii="Times New Roman" w:hAnsi="Times New Roman"/>
          <w:sz w:val="20"/>
        </w:rPr>
        <w:t xml:space="preserve">12.3.4 </w:t>
      </w:r>
      <w:r>
        <w:rPr>
          <w:rFonts w:ascii="Times New Roman" w:hAnsi="Times New Roman"/>
          <w:sz w:val="20"/>
          <w:u w:val="single"/>
        </w:rPr>
        <w:t>Interview of Arbitrators</w:t>
      </w:r>
      <w:r>
        <w:rPr>
          <w:rFonts w:ascii="Times New Roman" w:hAnsi="Times New Roman"/>
          <w:sz w:val="20"/>
        </w:rPr>
        <w:t xml:space="preserve">. Candidates for the arbitrator position(s) may be interviewed by representatives of the Parties in advance of their selection,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all Parties are represented. </w:t>
      </w:r>
    </w:p>
    <w:p>
      <w:pPr>
        <w:pStyle w:val="TextBody"/>
        <w:bidi w:val="0"/>
        <w:spacing w:before="240" w:after="0"/>
        <w:jc w:val="left"/>
        <w:rPr>
          <w:rFonts w:ascii="Times New Roman" w:hAnsi="Times New Roman"/>
          <w:sz w:val="20"/>
        </w:rPr>
      </w:pPr>
      <w:r>
        <w:rPr>
          <w:rFonts w:ascii="Times New Roman" w:hAnsi="Times New Roman"/>
          <w:sz w:val="20"/>
        </w:rPr>
        <w:t xml:space="preserve">12.3.5 </w:t>
      </w:r>
      <w:r>
        <w:rPr>
          <w:rFonts w:ascii="Times New Roman" w:hAnsi="Times New Roman"/>
          <w:sz w:val="20"/>
          <w:u w:val="single"/>
        </w:rPr>
        <w:t>Timing</w:t>
      </w:r>
      <w:r>
        <w:rPr>
          <w:rFonts w:ascii="Times New Roman" w:hAnsi="Times New Roman"/>
          <w:sz w:val="20"/>
        </w:rPr>
        <w:t xml:space="preserve">. The Parties will select the arbitrator(s) within [***] of initiation of the arbitration. The hearing will be concluded within [***] after selection of the arbitrator(s) and the award will be rendered within [***] of the conclusion of the hearing, or of any post-hearing briefing, which briefing will be completed by both sides within [***] after the conclusion of the hearing. In the event that the Parties cannot agree upon a schedule, then the arbitrator(s) will set the schedule following the time limits set forth above as closely as practical.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12.3.6 </w:t>
      </w:r>
      <w:r>
        <w:rPr>
          <w:rFonts w:ascii="Times New Roman" w:hAnsi="Times New Roman"/>
          <w:sz w:val="20"/>
          <w:u w:val="single"/>
        </w:rPr>
        <w:t>Evidence</w:t>
      </w:r>
      <w:r>
        <w:rPr>
          <w:rFonts w:ascii="Times New Roman" w:hAnsi="Times New Roman"/>
          <w:sz w:val="20"/>
        </w:rPr>
        <w:t xml:space="preserve">. The arbitrator(s) will be guided, but not bound, by the IBA Rules on the Taking of Evidence in International Commercial Arbitration (www.ibanet.org). </w:t>
      </w:r>
    </w:p>
    <w:p>
      <w:pPr>
        <w:pStyle w:val="TextBody"/>
        <w:bidi w:val="0"/>
        <w:spacing w:before="240" w:after="0"/>
        <w:jc w:val="left"/>
        <w:rPr>
          <w:rFonts w:ascii="Times New Roman" w:hAnsi="Times New Roman"/>
          <w:sz w:val="20"/>
        </w:rPr>
      </w:pPr>
      <w:r>
        <w:rPr>
          <w:rFonts w:ascii="Times New Roman" w:hAnsi="Times New Roman"/>
          <w:sz w:val="20"/>
        </w:rPr>
        <w:t xml:space="preserve">12.3.7 </w:t>
      </w:r>
      <w:r>
        <w:rPr>
          <w:rFonts w:ascii="Times New Roman" w:hAnsi="Times New Roman"/>
          <w:sz w:val="20"/>
          <w:u w:val="single"/>
        </w:rPr>
        <w:t>Hearing</w:t>
      </w:r>
      <w:r>
        <w:rPr>
          <w:rFonts w:ascii="Times New Roman" w:hAnsi="Times New Roman"/>
          <w:sz w:val="20"/>
        </w:rPr>
        <w:t xml:space="preserve">. The hearing will be concluded in [***] or less. Multiple hearing days will be scheduled consecutively to the greatest extent possible. A transcript of the testimony adduced at the hearing will be made available to either Party. </w:t>
      </w:r>
    </w:p>
    <w:p>
      <w:pPr>
        <w:pStyle w:val="TextBody"/>
        <w:bidi w:val="0"/>
        <w:spacing w:before="240" w:after="0"/>
        <w:jc w:val="left"/>
        <w:rPr>
          <w:rFonts w:ascii="Times New Roman" w:hAnsi="Times New Roman"/>
          <w:sz w:val="20"/>
        </w:rPr>
      </w:pPr>
      <w:r>
        <w:rPr>
          <w:rFonts w:ascii="Times New Roman" w:hAnsi="Times New Roman"/>
          <w:sz w:val="20"/>
        </w:rPr>
        <w:t xml:space="preserve">12.3.8 </w:t>
      </w:r>
      <w:r>
        <w:rPr>
          <w:rFonts w:ascii="Times New Roman" w:hAnsi="Times New Roman"/>
          <w:sz w:val="20"/>
          <w:u w:val="single"/>
        </w:rPr>
        <w:t>Decision of Arbitrators</w:t>
      </w:r>
      <w:r>
        <w:rPr>
          <w:rFonts w:ascii="Times New Roman" w:hAnsi="Times New Roman"/>
          <w:sz w:val="20"/>
        </w:rPr>
        <w:t xml:space="preserve">. The arbitrator(s) will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 </w:t>
      </w:r>
    </w:p>
    <w:p>
      <w:pPr>
        <w:pStyle w:val="TextBody"/>
        <w:bidi w:val="0"/>
        <w:spacing w:before="240" w:after="0"/>
        <w:jc w:val="left"/>
        <w:rPr>
          <w:rFonts w:ascii="Times New Roman" w:hAnsi="Times New Roman"/>
          <w:sz w:val="20"/>
        </w:rPr>
      </w:pPr>
      <w:r>
        <w:rPr>
          <w:rFonts w:ascii="Times New Roman" w:hAnsi="Times New Roman"/>
          <w:sz w:val="20"/>
        </w:rPr>
        <w:t xml:space="preserve">12.3.9 </w:t>
      </w:r>
      <w:r>
        <w:rPr>
          <w:rFonts w:ascii="Times New Roman" w:hAnsi="Times New Roman"/>
          <w:sz w:val="20"/>
          <w:u w:val="single"/>
        </w:rPr>
        <w:t>Opinion; Costs</w:t>
      </w:r>
      <w:r>
        <w:rPr>
          <w:rFonts w:ascii="Times New Roman" w:hAnsi="Times New Roman"/>
          <w:sz w:val="20"/>
        </w:rPr>
        <w:t xml:space="preserve">. The arbitrator(s) will render a written opinion stating the reasons upon which the award is based. The arbitrator(s) may award the costs and expenses of the arbitration as provided in the CPR Rules, but each Party bears its own attorney fees. </w:t>
      </w:r>
    </w:p>
    <w:p>
      <w:pPr>
        <w:pStyle w:val="TextBody"/>
        <w:bidi w:val="0"/>
        <w:spacing w:before="240" w:after="0"/>
        <w:jc w:val="left"/>
        <w:rPr>
          <w:rFonts w:ascii="Times New Roman" w:hAnsi="Times New Roman"/>
          <w:sz w:val="20"/>
        </w:rPr>
      </w:pPr>
      <w:r>
        <w:rPr>
          <w:rFonts w:ascii="Times New Roman" w:hAnsi="Times New Roman"/>
          <w:sz w:val="20"/>
        </w:rPr>
        <w:t xml:space="preserve">12.3.10 </w:t>
      </w:r>
      <w:r>
        <w:rPr>
          <w:rFonts w:ascii="Times New Roman" w:hAnsi="Times New Roman"/>
          <w:sz w:val="20"/>
          <w:u w:val="single"/>
        </w:rPr>
        <w:t>Enforcement</w:t>
      </w:r>
      <w:r>
        <w:rPr>
          <w:rFonts w:ascii="Times New Roman" w:hAnsi="Times New Roman"/>
          <w:sz w:val="20"/>
        </w:rPr>
        <w:t xml:space="preserve">. The award may be entered and enforced in any court of competent jurisdiction. If a court is called upon to enforce an award in a court proceeding, the Parties consent to the courts requiring the Party resisting enforcement to pay the reasonable attorneys fees and costs incurred in that proceeding by the Party seeking enforcement. </w:t>
      </w:r>
    </w:p>
    <w:p>
      <w:pPr>
        <w:pStyle w:val="TextBody"/>
        <w:bidi w:val="0"/>
        <w:spacing w:before="240" w:after="0"/>
        <w:jc w:val="left"/>
        <w:rPr>
          <w:rFonts w:ascii="Times New Roman" w:hAnsi="Times New Roman"/>
          <w:sz w:val="20"/>
        </w:rPr>
      </w:pPr>
      <w:r>
        <w:rPr>
          <w:rFonts w:ascii="Times New Roman" w:hAnsi="Times New Roman"/>
          <w:sz w:val="20"/>
        </w:rPr>
        <w:t>12.3.11</w:t>
      </w:r>
      <w:r>
        <w:rPr>
          <w:rFonts w:ascii="Times New Roman" w:hAnsi="Times New Roman"/>
          <w:sz w:val="20"/>
          <w:u w:val="single"/>
        </w:rPr>
        <w:t xml:space="preserve"> Interim Relief</w:t>
      </w:r>
      <w:r>
        <w:rPr>
          <w:rFonts w:ascii="Times New Roman" w:hAnsi="Times New Roman"/>
          <w:sz w:val="20"/>
        </w:rPr>
        <w:t xml:space="preserve">. Any Party may seek emergency, interim or provisional relief before the appointment of the arbitrator(s) from any court of competent jurisdiction, without waiver of the agreements to mediate and arbitrate. After appointment of the arbitrator(s), any request for emergency, interim or provisional relief will either be addressed to the arbitrator(s), which will have the power to enter an interim award granting relief using the standards provided by Applicable Law, or to a court, but only with the permission of the arbitrator(s). Any interim award of the arbitrator(s) may be enforced in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12.3.12 </w:t>
      </w:r>
      <w:r>
        <w:rPr>
          <w:rFonts w:ascii="Times New Roman" w:hAnsi="Times New Roman"/>
          <w:sz w:val="20"/>
          <w:u w:val="single"/>
        </w:rPr>
        <w:t>Waiver of Jury Trial</w:t>
      </w:r>
      <w:r>
        <w:rPr>
          <w:rFonts w:ascii="Times New Roman" w:hAnsi="Times New Roman"/>
          <w:sz w:val="20"/>
        </w:rPr>
        <w:t xml:space="preserve">. EXCEPT AS PROVIDED IN SECTION 10.4 (DISCLAIMER), EACH PARTY WAIVES: (A) ITS RIGHT TO TRIAL OF ANY ISSUE BY JURY, (B) WITH THE EXCEPTION OF RELIEF MANDATED BY STATUTE, ANY CLAIM TO PUNITIVE, EXEMPLARY, MULTIPLIED, INDIRECT, CONSEQUENTIAL OR LOST PROFITS/REVENUES DAMAGES, AND (C) ANY CLAIM FOR ATTORNEY FEES, COSTS AND PREJUDGMENT INTEREST.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sz w:val="20"/>
          <w:u w:val="single"/>
        </w:rPr>
        <w:t>Force Majeure</w:t>
      </w:r>
      <w:r>
        <w:rPr>
          <w:rFonts w:ascii="Times New Roman" w:hAnsi="Times New Roman"/>
          <w:sz w:val="20"/>
        </w:rPr>
        <w:t xml:space="preserve">. Except for obligations to make payments under this Agreement when due, neither Party will be liable to the other Party nor will it be deemed to have breached this Agreement for failure or delay in performing any obligation under this Agreement when such failure or delay is caused by or results from causes beyond the reasonable control of the affected Party including embargoes, war, acts of war (whether war be declared or not), insurrections, riots, civil commotions, pandemics, strikes, lockouts or other labor disturbances, fire, floods, or other acts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God, or acts, omissions or delays in acting by any Governmental Authority;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affected Party promptly notifies the other Party no later than [***] after its occurrence, and further </w:t>
      </w:r>
      <w:r>
        <w:rPr>
          <w:rFonts w:ascii="Times New Roman" w:hAnsi="Times New Roman"/>
          <w:i/>
          <w:sz w:val="20"/>
        </w:rPr>
        <w:t>provided</w:t>
      </w:r>
      <w:r>
        <w:rPr>
          <w:rFonts w:ascii="Times New Roman" w:hAnsi="Times New Roman"/>
          <w:sz w:val="20"/>
        </w:rPr>
        <w:t xml:space="preserve"> that the affected Party will use its diligent efforts to avoid or remove such causes of non-performance and to mitigate the effect of such occurrence, and will continue performance with the commercially reasonable dispatch whenever such causes are removed. When such circumstances arise, the Parties will negotiate in good faith any modifications of the terms of this Agreement that may be necessary or appropriate in order to arrive at an equitable solution. Notwithstanding the foregoing, the Parties agree that the effects of the COVID-19 pandemic that is ongoing as of the Effective Date may be invoked as a force majeure for the purposes of this Agreement, even though such pandemic is ongoing, to the extent that those effects are not reasonably foreseeable by the Parties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sz w:val="20"/>
          <w:u w:val="single"/>
        </w:rPr>
        <w:t>Further Assurances</w:t>
      </w:r>
      <w:r>
        <w:rPr>
          <w:rFonts w:ascii="Times New Roman" w:hAnsi="Times New Roman"/>
          <w:sz w:val="20"/>
        </w:rPr>
        <w:t xml:space="preserve">. Each Party will execute, acknowledge and deliver such further instruments, and do all such other ministerial, administrative or similar acts, as may be reasonably necessary or appropriate in order to carry out the expressly stated purposes and the clear intent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sz w:val="20"/>
          <w:u w:val="single"/>
        </w:rPr>
        <w:t>No Third Party Beneficiaries</w:t>
      </w:r>
      <w:r>
        <w:rPr>
          <w:rFonts w:ascii="Times New Roman" w:hAnsi="Times New Roman"/>
          <w:sz w:val="20"/>
        </w:rPr>
        <w:t xml:space="preserve">. Except as provided under ARTICLE 10 (Indemnification), this Agreement is neither expressly nor impliedly made for the benefit of any party other than those executing it.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sz w:val="20"/>
          <w:u w:val="single"/>
        </w:rPr>
        <w:t>Assignment; Successors</w:t>
      </w:r>
      <w:r>
        <w:rPr>
          <w:rFonts w:ascii="Times New Roman" w:hAnsi="Times New Roman"/>
          <w:sz w:val="20"/>
        </w:rPr>
        <w:t xml:space="preserve">. Unless as expressly provided hereunder, neither Party may assign, or transfer, this Agreement or any of its rights or obligations under this Agreement without the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either Party may assign this Agreement in its entirety without such consent (but with notice to the other Party following such assignment), to: </w:t>
      </w:r>
    </w:p>
    <w:p>
      <w:pPr>
        <w:pStyle w:val="TextBody"/>
        <w:bidi w:val="0"/>
        <w:spacing w:before="120" w:after="0"/>
        <w:jc w:val="left"/>
        <w:rPr>
          <w:rFonts w:ascii="Times New Roman" w:hAnsi="Times New Roman"/>
          <w:sz w:val="20"/>
        </w:rPr>
      </w:pPr>
      <w:r>
        <w:rPr>
          <w:rFonts w:ascii="Times New Roman" w:hAnsi="Times New Roman"/>
          <w:sz w:val="20"/>
        </w:rPr>
        <w:t xml:space="preserve">(a) an Affiliate, </w:t>
      </w:r>
      <w:r>
        <w:rPr>
          <w:rFonts w:ascii="Times New Roman" w:hAnsi="Times New Roman"/>
          <w:i/>
          <w:sz w:val="20"/>
        </w:rPr>
        <w:t>provided</w:t>
      </w:r>
      <w:r>
        <w:rPr>
          <w:rFonts w:ascii="Times New Roman" w:hAnsi="Times New Roman"/>
          <w:sz w:val="20"/>
        </w:rPr>
        <w:t xml:space="preserve"> that the assignee remains an Affiliate of the assigning Party and that the assigning Party will remain responsible for the performance of, and liable under, this Agreement notwithstanding such assignment; or </w:t>
      </w:r>
    </w:p>
    <w:p>
      <w:pPr>
        <w:pStyle w:val="TextBody"/>
        <w:bidi w:val="0"/>
        <w:spacing w:before="240" w:after="0"/>
        <w:jc w:val="left"/>
        <w:rPr>
          <w:rFonts w:ascii="Times New Roman" w:hAnsi="Times New Roman"/>
          <w:sz w:val="20"/>
        </w:rPr>
      </w:pPr>
      <w:r>
        <w:rPr>
          <w:rFonts w:ascii="Times New Roman" w:hAnsi="Times New Roman"/>
          <w:sz w:val="20"/>
        </w:rPr>
        <w:t xml:space="preserve">(b) a Third Party that acquires all or substantially all of the business or consolidated assets of such Party (whether by merger, reorganization, stock purchase, acquisition, sale or otherwise) to which this Agreement relates. </w:t>
      </w:r>
    </w:p>
    <w:p>
      <w:pPr>
        <w:pStyle w:val="TextBody"/>
        <w:bidi w:val="0"/>
        <w:spacing w:before="240" w:after="0"/>
        <w:jc w:val="left"/>
        <w:rPr>
          <w:rFonts w:ascii="Times New Roman" w:hAnsi="Times New Roman"/>
          <w:sz w:val="20"/>
        </w:rPr>
      </w:pPr>
      <w:r>
        <w:rPr>
          <w:rFonts w:ascii="Times New Roman" w:hAnsi="Times New Roman"/>
          <w:sz w:val="20"/>
        </w:rPr>
        <w:t xml:space="preserve">No assignment of this Agreement will be valid and effective unless and until the assignee agrees in writing to be bound by the terms and conditions of this Agreement. The terms and conditions of this Agreement will be binding on and inure to the benefit of the successors and permitted assigns of the Parties. Any assignment of this Agreement not in accordance with this Section 13.4 (Assignment; Successors) will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13.5 </w:t>
      </w:r>
      <w:r>
        <w:rPr>
          <w:rFonts w:ascii="Times New Roman" w:hAnsi="Times New Roman"/>
          <w:sz w:val="20"/>
          <w:u w:val="single"/>
        </w:rPr>
        <w:t>Severability</w:t>
      </w:r>
      <w:r>
        <w:rPr>
          <w:rFonts w:ascii="Times New Roman" w:hAnsi="Times New Roman"/>
          <w:sz w:val="20"/>
        </w:rPr>
        <w:t xml:space="preserve">. If, for any reason, any provision in this Agreement is adjudicated invalid, illegal or unenforceable by a court of competent jurisdiction, the validity, legality and enforceability of the remaining provisions will not be affected unless the absence of the invalidated provision adversely affects the substantive rights of the Parties. The Parties will then use reasonable efforts to replace the invalid, illegal or unenforceable provision with a valid, legal and enforceable provision that implements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13.6 </w:t>
      </w:r>
      <w:r>
        <w:rPr>
          <w:rFonts w:ascii="Times New Roman" w:hAnsi="Times New Roman"/>
          <w:sz w:val="20"/>
          <w:u w:val="single"/>
        </w:rPr>
        <w:t>Notices</w:t>
      </w:r>
      <w:r>
        <w:rPr>
          <w:rFonts w:ascii="Times New Roman" w:hAnsi="Times New Roman"/>
          <w:sz w:val="20"/>
        </w:rPr>
        <w:t xml:space="preserve">. All notices to be given under this Agreement must be in writing and delivered either in person, by any method of mail requiring return receipt, or by internationally-recognized courier, or by registered or certified mail, postage prepaid, to the other Party to be notified at its addresses given below, or to such other address such Party has previously designated by prior written notice to the other.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
        <w:gridCol w:w="108"/>
        <w:gridCol w:w="1640"/>
        <w:gridCol w:w="122"/>
        <w:gridCol w:w="7896"/>
      </w:tblGrid>
      <w:tr>
        <w:trPr/>
        <w:tc>
          <w:tcPr>
            <w:tcW w:w="43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sz w:val="4"/>
                <w:szCs w:val="4"/>
              </w:rPr>
            </w:pPr>
            <w:r>
              <w:rPr>
                <w:sz w:val="4"/>
                <w:szCs w:val="4"/>
              </w:rPr>
            </w:r>
          </w:p>
        </w:tc>
      </w:tr>
      <w:tr>
        <w:trPr/>
        <w:tc>
          <w:tcPr>
            <w:tcW w:w="43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If to Licensee, to:</w:t>
            </w:r>
          </w:p>
        </w:tc>
        <w:tc>
          <w:tcPr>
            <w:tcW w:w="122" w:type="dxa"/>
            <w:tcBorders/>
            <w:vAlign w:val="bottom"/>
          </w:tcPr>
          <w:p>
            <w:pPr>
              <w:pStyle w:val="TableContents"/>
              <w:bidi w:val="0"/>
              <w:spacing w:before="0" w:after="283"/>
              <w:jc w:val="left"/>
              <w:rPr/>
            </w:pPr>
            <w:r>
              <w:rPr/>
              <w:t>  </w:t>
            </w:r>
          </w:p>
        </w:tc>
        <w:tc>
          <w:tcPr>
            <w:tcW w:w="78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Precision Neuroscience NewCo, Inc.</w:t>
            </w:r>
          </w:p>
          <w:p>
            <w:pPr>
              <w:pStyle w:val="TableContents"/>
              <w:bidi w:val="0"/>
              <w:spacing w:before="0" w:after="0"/>
              <w:jc w:val="left"/>
              <w:rPr>
                <w:rFonts w:ascii="Times New Roman" w:hAnsi="Times New Roman"/>
                <w:sz w:val="20"/>
              </w:rPr>
            </w:pPr>
            <w:r>
              <w:rPr>
                <w:rFonts w:ascii="Times New Roman" w:hAnsi="Times New Roman"/>
                <w:sz w:val="20"/>
              </w:rPr>
              <w:t>29 Newbury Street, Boston, MA 02116, USA</w:t>
            </w:r>
          </w:p>
          <w:p>
            <w:pPr>
              <w:pStyle w:val="TableContents"/>
              <w:bidi w:val="0"/>
              <w:spacing w:before="0" w:after="20"/>
              <w:jc w:val="left"/>
              <w:rPr>
                <w:rFonts w:ascii="Times New Roman" w:hAnsi="Times New Roman"/>
                <w:sz w:val="20"/>
              </w:rPr>
            </w:pPr>
            <w:r>
              <w:rPr>
                <w:rFonts w:ascii="Times New Roman" w:hAnsi="Times New Roman"/>
                <w:sz w:val="20"/>
              </w:rPr>
              <w:t>Attn: Chief Executive Officer</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with copies to (which shall not be deemed as notice):</w:t>
            </w:r>
          </w:p>
        </w:tc>
        <w:tc>
          <w:tcPr>
            <w:tcW w:w="122" w:type="dxa"/>
            <w:tcBorders/>
            <w:vAlign w:val="bottom"/>
          </w:tcPr>
          <w:p>
            <w:pPr>
              <w:pStyle w:val="TableContents"/>
              <w:bidi w:val="0"/>
              <w:spacing w:before="0" w:after="283"/>
              <w:jc w:val="left"/>
              <w:rPr/>
            </w:pPr>
            <w:r>
              <w:rPr/>
              <w:t>  </w:t>
            </w:r>
          </w:p>
        </w:tc>
        <w:tc>
          <w:tcPr>
            <w:tcW w:w="78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100 Northern Avenue</w:t>
            </w:r>
          </w:p>
          <w:p>
            <w:pPr>
              <w:pStyle w:val="TableContents"/>
              <w:bidi w:val="0"/>
              <w:spacing w:before="0" w:after="0"/>
              <w:jc w:val="left"/>
              <w:rPr>
                <w:rFonts w:ascii="Times New Roman" w:hAnsi="Times New Roman"/>
                <w:sz w:val="20"/>
              </w:rPr>
            </w:pPr>
            <w:r>
              <w:rPr>
                <w:rFonts w:ascii="Times New Roman" w:hAnsi="Times New Roman"/>
                <w:sz w:val="20"/>
              </w:rPr>
              <w:t>Boston, MA 02210</w:t>
            </w:r>
          </w:p>
          <w:p>
            <w:pPr>
              <w:pStyle w:val="TableContents"/>
              <w:bidi w:val="0"/>
              <w:spacing w:before="0" w:after="20"/>
              <w:jc w:val="left"/>
              <w:rPr>
                <w:rFonts w:ascii="Times New Roman" w:hAnsi="Times New Roman"/>
                <w:sz w:val="20"/>
              </w:rPr>
            </w:pPr>
            <w:r>
              <w:rPr>
                <w:rFonts w:ascii="Times New Roman" w:hAnsi="Times New Roman"/>
                <w:sz w:val="20"/>
              </w:rPr>
              <w:t>Attention: [***]</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If to Janssen, to:</w:t>
            </w:r>
          </w:p>
        </w:tc>
        <w:tc>
          <w:tcPr>
            <w:tcW w:w="122" w:type="dxa"/>
            <w:tcBorders/>
            <w:vAlign w:val="bottom"/>
          </w:tcPr>
          <w:p>
            <w:pPr>
              <w:pStyle w:val="TableContents"/>
              <w:bidi w:val="0"/>
              <w:spacing w:before="0" w:after="283"/>
              <w:jc w:val="left"/>
              <w:rPr/>
            </w:pPr>
            <w:r>
              <w:rPr/>
              <w:t>  </w:t>
            </w:r>
          </w:p>
        </w:tc>
        <w:tc>
          <w:tcPr>
            <w:tcW w:w="78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Janssen Pharmaceutica NV</w:t>
            </w:r>
          </w:p>
          <w:p>
            <w:pPr>
              <w:pStyle w:val="TableContents"/>
              <w:bidi w:val="0"/>
              <w:spacing w:before="0" w:after="0"/>
              <w:jc w:val="left"/>
              <w:rPr>
                <w:rFonts w:ascii="Times New Roman" w:hAnsi="Times New Roman"/>
                <w:sz w:val="20"/>
              </w:rPr>
            </w:pPr>
            <w:r>
              <w:rPr>
                <w:rFonts w:ascii="Times New Roman" w:hAnsi="Times New Roman"/>
                <w:sz w:val="20"/>
              </w:rPr>
              <w:t>Turnhoutseweg 30</w:t>
            </w:r>
          </w:p>
          <w:p>
            <w:pPr>
              <w:pStyle w:val="TableContents"/>
              <w:bidi w:val="0"/>
              <w:spacing w:before="0" w:after="0"/>
              <w:jc w:val="left"/>
              <w:rPr>
                <w:rFonts w:ascii="Times New Roman" w:hAnsi="Times New Roman"/>
                <w:sz w:val="20"/>
              </w:rPr>
            </w:pPr>
            <w:r>
              <w:rPr>
                <w:rFonts w:ascii="Times New Roman" w:hAnsi="Times New Roman"/>
                <w:sz w:val="20"/>
              </w:rPr>
              <w:t>2340 Beerse</w:t>
            </w:r>
          </w:p>
          <w:p>
            <w:pPr>
              <w:pStyle w:val="TableContents"/>
              <w:bidi w:val="0"/>
              <w:spacing w:before="0" w:after="0"/>
              <w:jc w:val="left"/>
              <w:rPr>
                <w:rFonts w:ascii="Times New Roman" w:hAnsi="Times New Roman"/>
                <w:sz w:val="20"/>
              </w:rPr>
            </w:pPr>
            <w:r>
              <w:rPr>
                <w:rFonts w:ascii="Times New Roman" w:hAnsi="Times New Roman"/>
                <w:sz w:val="20"/>
              </w:rPr>
              <w:t>Belgium</w:t>
            </w:r>
          </w:p>
          <w:p>
            <w:pPr>
              <w:pStyle w:val="TableContents"/>
              <w:bidi w:val="0"/>
              <w:spacing w:before="0" w:after="20"/>
              <w:jc w:val="left"/>
              <w:rPr>
                <w:rFonts w:ascii="Times New Roman" w:hAnsi="Times New Roman"/>
                <w:sz w:val="20"/>
              </w:rPr>
            </w:pPr>
            <w:r>
              <w:rPr>
                <w:rFonts w:ascii="Times New Roman" w:hAnsi="Times New Roman"/>
                <w:sz w:val="20"/>
              </w:rPr>
              <w:t>Attention: Law Department</w:t>
            </w:r>
          </w:p>
        </w:tc>
      </w:tr>
      <w:tr>
        <w:trPr>
          <w:trHeight w:val="120" w:hRule="atLeast"/>
        </w:trPr>
        <w:tc>
          <w:tcPr>
            <w:tcW w:w="439"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8018"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640" w:type="dxa"/>
            <w:tcBorders/>
          </w:tcPr>
          <w:p>
            <w:pPr>
              <w:pStyle w:val="TableContents"/>
              <w:bidi w:val="0"/>
              <w:spacing w:before="0" w:after="283"/>
              <w:jc w:val="left"/>
              <w:rPr/>
            </w:pPr>
            <w:r>
              <w:rPr/>
              <w:t>with copies to (which shall not be deemed as notice):</w:t>
            </w:r>
          </w:p>
        </w:tc>
        <w:tc>
          <w:tcPr>
            <w:tcW w:w="122" w:type="dxa"/>
            <w:tcBorders/>
            <w:vAlign w:val="bottom"/>
          </w:tcPr>
          <w:p>
            <w:pPr>
              <w:pStyle w:val="TableContents"/>
              <w:bidi w:val="0"/>
              <w:spacing w:before="0" w:after="283"/>
              <w:jc w:val="left"/>
              <w:rPr/>
            </w:pPr>
            <w:r>
              <w:rPr/>
              <w:t>  </w:t>
            </w:r>
          </w:p>
        </w:tc>
        <w:tc>
          <w:tcPr>
            <w:tcW w:w="78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Johnson &amp; Johnson</w:t>
            </w:r>
          </w:p>
          <w:p>
            <w:pPr>
              <w:pStyle w:val="TableContents"/>
              <w:bidi w:val="0"/>
              <w:spacing w:before="0" w:after="0"/>
              <w:jc w:val="left"/>
              <w:rPr>
                <w:rFonts w:ascii="Times New Roman" w:hAnsi="Times New Roman"/>
                <w:sz w:val="20"/>
              </w:rPr>
            </w:pPr>
            <w:r>
              <w:rPr>
                <w:rFonts w:ascii="Times New Roman" w:hAnsi="Times New Roman"/>
                <w:sz w:val="20"/>
              </w:rPr>
              <w:t>Office of General Counsel</w:t>
            </w:r>
          </w:p>
          <w:p>
            <w:pPr>
              <w:pStyle w:val="TableContents"/>
              <w:bidi w:val="0"/>
              <w:spacing w:before="0" w:after="0"/>
              <w:jc w:val="left"/>
              <w:rPr>
                <w:rFonts w:ascii="Times New Roman" w:hAnsi="Times New Roman"/>
                <w:sz w:val="20"/>
              </w:rPr>
            </w:pPr>
            <w:r>
              <w:rPr>
                <w:rFonts w:ascii="Times New Roman" w:hAnsi="Times New Roman"/>
                <w:sz w:val="20"/>
              </w:rPr>
              <w:t>One Johnson &amp; Johnson Plaza</w:t>
            </w:r>
          </w:p>
          <w:p>
            <w:pPr>
              <w:pStyle w:val="TableContents"/>
              <w:bidi w:val="0"/>
              <w:spacing w:before="0" w:after="0"/>
              <w:jc w:val="left"/>
              <w:rPr>
                <w:rFonts w:ascii="Times New Roman" w:hAnsi="Times New Roman"/>
                <w:sz w:val="20"/>
              </w:rPr>
            </w:pPr>
            <w:r>
              <w:rPr>
                <w:rFonts w:ascii="Times New Roman" w:hAnsi="Times New Roman"/>
                <w:sz w:val="20"/>
              </w:rPr>
              <w:t>New Brunswick, NJ 08933</w:t>
            </w:r>
          </w:p>
          <w:p>
            <w:pPr>
              <w:pStyle w:val="TableContents"/>
              <w:bidi w:val="0"/>
              <w:spacing w:before="0" w:after="0"/>
              <w:jc w:val="left"/>
              <w:rPr>
                <w:rFonts w:ascii="Times New Roman" w:hAnsi="Times New Roman"/>
                <w:sz w:val="20"/>
              </w:rPr>
            </w:pPr>
            <w:r>
              <w:rPr>
                <w:rFonts w:ascii="Times New Roman" w:hAnsi="Times New Roman"/>
                <w:sz w:val="20"/>
              </w:rPr>
              <w:t>Attention: General Counsel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Ropes &amp; Gray LLP</w:t>
            </w:r>
          </w:p>
          <w:p>
            <w:pPr>
              <w:pStyle w:val="TableContents"/>
              <w:bidi w:val="0"/>
              <w:spacing w:before="0" w:after="0"/>
              <w:jc w:val="left"/>
              <w:rPr>
                <w:rFonts w:ascii="Times New Roman" w:hAnsi="Times New Roman"/>
                <w:sz w:val="20"/>
              </w:rPr>
            </w:pPr>
            <w:r>
              <w:rPr>
                <w:rFonts w:ascii="Times New Roman" w:hAnsi="Times New Roman"/>
                <w:sz w:val="20"/>
              </w:rPr>
              <w:t>Prudential Tower</w:t>
            </w:r>
          </w:p>
          <w:p>
            <w:pPr>
              <w:pStyle w:val="TableContents"/>
              <w:bidi w:val="0"/>
              <w:spacing w:before="0" w:after="0"/>
              <w:jc w:val="left"/>
              <w:rPr>
                <w:rFonts w:ascii="Times New Roman" w:hAnsi="Times New Roman"/>
                <w:sz w:val="20"/>
              </w:rPr>
            </w:pPr>
            <w:r>
              <w:rPr>
                <w:rFonts w:ascii="Times New Roman" w:hAnsi="Times New Roman"/>
                <w:sz w:val="20"/>
              </w:rPr>
              <w:t>800 Boylston Street</w:t>
            </w:r>
          </w:p>
          <w:p>
            <w:pPr>
              <w:pStyle w:val="TableContents"/>
              <w:bidi w:val="0"/>
              <w:spacing w:before="0" w:after="0"/>
              <w:jc w:val="left"/>
              <w:rPr>
                <w:rFonts w:ascii="Times New Roman" w:hAnsi="Times New Roman"/>
                <w:sz w:val="20"/>
              </w:rPr>
            </w:pPr>
            <w:r>
              <w:rPr>
                <w:rFonts w:ascii="Times New Roman" w:hAnsi="Times New Roman"/>
                <w:sz w:val="20"/>
              </w:rPr>
              <w:t>Boston, MA 02199</w:t>
            </w:r>
          </w:p>
          <w:p>
            <w:pPr>
              <w:pStyle w:val="TableContents"/>
              <w:bidi w:val="0"/>
              <w:spacing w:before="0" w:after="20"/>
              <w:jc w:val="left"/>
              <w:rPr>
                <w:rFonts w:ascii="Times New Roman" w:hAnsi="Times New Roman"/>
                <w:sz w:val="20"/>
              </w:rPr>
            </w:pPr>
            <w:r>
              <w:rPr>
                <w:rFonts w:ascii="Times New Roman" w:hAnsi="Times New Roman"/>
                <w:sz w:val="20"/>
              </w:rPr>
              <w:t>Attention: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will be deemed sufficiently given for all purposes upon the earliest of: (a) the date of actual receipt; (b) on the next Business Day after dispatch if sent by internationally-recognized overnight courier; or (c) on the [***] following the date of mailing if sent by registered or certified mail or other internationally-recognized courier. </w:t>
      </w:r>
    </w:p>
    <w:p>
      <w:pPr>
        <w:pStyle w:val="TextBody"/>
        <w:bidi w:val="0"/>
        <w:spacing w:before="240" w:after="0"/>
        <w:jc w:val="left"/>
        <w:rPr>
          <w:rFonts w:ascii="Times New Roman" w:hAnsi="Times New Roman"/>
          <w:sz w:val="20"/>
        </w:rPr>
      </w:pPr>
      <w:r>
        <w:rPr>
          <w:rFonts w:ascii="Times New Roman" w:hAnsi="Times New Roman"/>
          <w:sz w:val="20"/>
        </w:rPr>
        <w:t xml:space="preserve">13.7 </w:t>
      </w:r>
      <w:r>
        <w:rPr>
          <w:rFonts w:ascii="Times New Roman" w:hAnsi="Times New Roman"/>
          <w:sz w:val="20"/>
          <w:u w:val="single"/>
        </w:rPr>
        <w:t>Governing Law</w:t>
      </w:r>
      <w:r>
        <w:rPr>
          <w:rFonts w:ascii="Times New Roman" w:hAnsi="Times New Roman"/>
          <w:sz w:val="20"/>
        </w:rPr>
        <w:t>. This Agreement will be governed by and interpreted under, and any court action in accordance with Section 13.8 (Submission to Jurisdiction) will apply, the laws of the State of New York excluding: (a) its conflicts of laws principles; (b) the United Nations Conventions on Contracts for the International Sale of Goods; (c) the 1974 Convention on the Limitation Period in the International Sale of Goods (the </w:t>
      </w:r>
      <w:r>
        <w:rPr>
          <w:rFonts w:ascii="Times New Roman" w:hAnsi="Times New Roman"/>
          <w:b/>
          <w:sz w:val="20"/>
        </w:rPr>
        <w:t>1974 Convention</w:t>
      </w:r>
      <w:r>
        <w:rPr>
          <w:rFonts w:ascii="Times New Roman" w:hAnsi="Times New Roman"/>
          <w:sz w:val="20"/>
        </w:rPr>
        <w:t xml:space="preserve">); and (d) the Protocol amending the 1974 Convention, done at Vienna April 11, 1980. Notwithstanding anything to the contrary herein, the interpretation and construction of any Patents will be governed in accordance with the laws of the jurisdiction in which such Patents were filed or granted,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13.8 </w:t>
      </w:r>
      <w:r>
        <w:rPr>
          <w:rFonts w:ascii="Times New Roman" w:hAnsi="Times New Roman"/>
          <w:sz w:val="20"/>
          <w:u w:val="single"/>
        </w:rPr>
        <w:t>Submission to Jurisdiction</w:t>
      </w:r>
      <w:r>
        <w:rPr>
          <w:rFonts w:ascii="Times New Roman" w:hAnsi="Times New Roman"/>
          <w:sz w:val="20"/>
        </w:rPr>
        <w:t xml:space="preserve">. Each Party (a) submits to the jurisdiction of the state and federal courts sitting in New York, New York, with respect to actions or proceedings arising out of or relating to this Agreement in which a Party brings an action in aid of arbitration, (b) agrees that all claims in respect of such action or proceeding may be heard and determined in any such court and (c) agrees not to bring any action or proceeding arising out of this Agreement in any other court, other than an action or proceeding seeking injunctive relief or brought to enforce an arbitration ruling issued pursuant to Section 12.3 (Arbitration). Each Party waives any defense of inconvenient forum to the maintenance of any action or proceeding so brought. Each Party may make service on the other Party by sending or delivering a copy of the process to the Party to be served at the address and in the manner provided for the giving of notices in Section 13.6 (Notices). Nothing in this Section, however, will affect the right of any Party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13.9 </w:t>
      </w:r>
      <w:r>
        <w:rPr>
          <w:rFonts w:ascii="Times New Roman" w:hAnsi="Times New Roman"/>
          <w:sz w:val="20"/>
          <w:u w:val="single"/>
        </w:rPr>
        <w:t>Entire Agreement</w:t>
      </w:r>
      <w:r>
        <w:rPr>
          <w:rFonts w:ascii="Times New Roman" w:hAnsi="Times New Roman"/>
          <w:sz w:val="20"/>
        </w:rPr>
        <w:t xml:space="preserve">. This Agreement, together with the Schedules and Exhibits hereto, contains the entire understanding of the Parties with respect to the subject matter of this Agreement and supersedes and cancels all previous express or implied agreements and understandings, negotiations, writings and commitments, either oral or written, in respect to the subject matter between the Parties. </w:t>
      </w:r>
    </w:p>
    <w:p>
      <w:pPr>
        <w:pStyle w:val="TextBody"/>
        <w:bidi w:val="0"/>
        <w:spacing w:before="240" w:after="0"/>
        <w:jc w:val="left"/>
        <w:rPr>
          <w:rFonts w:ascii="Times New Roman" w:hAnsi="Times New Roman"/>
          <w:sz w:val="20"/>
        </w:rPr>
      </w:pPr>
      <w:r>
        <w:rPr>
          <w:rFonts w:ascii="Times New Roman" w:hAnsi="Times New Roman"/>
          <w:sz w:val="20"/>
        </w:rPr>
        <w:t xml:space="preserve">13.10 </w:t>
      </w:r>
      <w:r>
        <w:rPr>
          <w:rFonts w:ascii="Times New Roman" w:hAnsi="Times New Roman"/>
          <w:sz w:val="20"/>
          <w:u w:val="single"/>
        </w:rPr>
        <w:t>Headings</w:t>
      </w:r>
      <w:r>
        <w:rPr>
          <w:rFonts w:ascii="Times New Roman" w:hAnsi="Times New Roman"/>
          <w:sz w:val="20"/>
        </w:rPr>
        <w:t xml:space="preserve">. The captions to the sections and subsections are not a part of this Agreement, but are merely for convenience to assist in locating and reading the sections and subsections. </w:t>
      </w:r>
    </w:p>
    <w:p>
      <w:pPr>
        <w:pStyle w:val="TextBody"/>
        <w:bidi w:val="0"/>
        <w:spacing w:before="240" w:after="0"/>
        <w:jc w:val="left"/>
        <w:rPr>
          <w:rFonts w:ascii="Times New Roman" w:hAnsi="Times New Roman"/>
          <w:sz w:val="20"/>
        </w:rPr>
      </w:pPr>
      <w:r>
        <w:rPr>
          <w:rFonts w:ascii="Times New Roman" w:hAnsi="Times New Roman"/>
          <w:sz w:val="20"/>
        </w:rPr>
        <w:t xml:space="preserve">13.11 </w:t>
      </w:r>
      <w:r>
        <w:rPr>
          <w:rFonts w:ascii="Times New Roman" w:hAnsi="Times New Roman"/>
          <w:sz w:val="20"/>
          <w:u w:val="single"/>
        </w:rPr>
        <w:t>Independent Contractors</w:t>
      </w:r>
      <w:r>
        <w:rPr>
          <w:rFonts w:ascii="Times New Roman" w:hAnsi="Times New Roman"/>
          <w:sz w:val="20"/>
        </w:rPr>
        <w:t xml:space="preserve">. Janssen and Licensee are independent contractors with respect to each other and the relationship between the two Parties is not a partnership, joint venture or agency. Neither Janssen nor Licensee has the authority to make any statements, representations or commitments of any kind, or to take any action, binding on the other Party,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13.12 </w:t>
      </w:r>
      <w:r>
        <w:rPr>
          <w:rFonts w:ascii="Times New Roman" w:hAnsi="Times New Roman"/>
          <w:sz w:val="20"/>
          <w:u w:val="single"/>
        </w:rPr>
        <w:t>Amendments; Waivers</w:t>
      </w:r>
      <w:r>
        <w:rPr>
          <w:rFonts w:ascii="Times New Roman" w:hAnsi="Times New Roman"/>
          <w:sz w:val="20"/>
        </w:rPr>
        <w:t xml:space="preserve">. No waiver, modification or amendment of any provision of this Agreement will be valid or effective unless made in writing and signed by a duly authorized officer of each Party. The failure of either Party to assert a right hereunder or to insist upon compliance with any term or condition of this Agreement will not constitute a waiver of that right or excuse a similar subsequent failure to perform any such term or condition. </w:t>
      </w:r>
    </w:p>
    <w:p>
      <w:pPr>
        <w:pStyle w:val="TextBody"/>
        <w:bidi w:val="0"/>
        <w:spacing w:before="240" w:after="0"/>
        <w:jc w:val="left"/>
        <w:rPr>
          <w:rFonts w:ascii="Times New Roman" w:hAnsi="Times New Roman"/>
          <w:sz w:val="20"/>
        </w:rPr>
      </w:pPr>
      <w:r>
        <w:rPr>
          <w:rFonts w:ascii="Times New Roman" w:hAnsi="Times New Roman"/>
          <w:sz w:val="20"/>
        </w:rPr>
        <w:t xml:space="preserve">13.13 </w:t>
      </w:r>
      <w:r>
        <w:rPr>
          <w:rFonts w:ascii="Times New Roman" w:hAnsi="Times New Roman"/>
          <w:sz w:val="20"/>
          <w:u w:val="single"/>
        </w:rPr>
        <w:t>Cumulative Remedies</w:t>
      </w:r>
      <w:r>
        <w:rPr>
          <w:rFonts w:ascii="Times New Roman" w:hAnsi="Times New Roman"/>
          <w:sz w:val="20"/>
        </w:rPr>
        <w:t xml:space="preserve">. No remedy referred to in this Agreement is intended to be exclusive. Each is in addition to any other remedy referred to in this Agreement or otherwise available under law. </w:t>
      </w:r>
    </w:p>
    <w:p>
      <w:pPr>
        <w:pStyle w:val="TextBody"/>
        <w:bidi w:val="0"/>
        <w:spacing w:before="240" w:after="0"/>
        <w:jc w:val="left"/>
        <w:rPr>
          <w:rFonts w:ascii="Times New Roman" w:hAnsi="Times New Roman"/>
          <w:sz w:val="20"/>
        </w:rPr>
      </w:pPr>
      <w:r>
        <w:rPr>
          <w:rFonts w:ascii="Times New Roman" w:hAnsi="Times New Roman"/>
          <w:sz w:val="20"/>
        </w:rPr>
        <w:t xml:space="preserve">13.14 </w:t>
      </w:r>
      <w:r>
        <w:rPr>
          <w:rFonts w:ascii="Times New Roman" w:hAnsi="Times New Roman"/>
          <w:sz w:val="20"/>
          <w:u w:val="single"/>
        </w:rPr>
        <w:t>Advice of Counsel</w:t>
      </w:r>
      <w:r>
        <w:rPr>
          <w:rFonts w:ascii="Times New Roman" w:hAnsi="Times New Roman"/>
          <w:sz w:val="20"/>
        </w:rPr>
        <w:t xml:space="preserve">. Each Party participated in the drafting of this Agreement. In interpreting and applying the terms and provisions of this Agreement no presumption will exist or be implied against the Party that drafted the terms and provisions. </w:t>
      </w:r>
    </w:p>
    <w:p>
      <w:pPr>
        <w:pStyle w:val="TextBody"/>
        <w:bidi w:val="0"/>
        <w:spacing w:before="240" w:after="0"/>
        <w:jc w:val="left"/>
        <w:rPr>
          <w:rFonts w:ascii="Times New Roman" w:hAnsi="Times New Roman"/>
          <w:sz w:val="20"/>
        </w:rPr>
      </w:pPr>
      <w:r>
        <w:rPr>
          <w:rFonts w:ascii="Times New Roman" w:hAnsi="Times New Roman"/>
          <w:sz w:val="20"/>
        </w:rPr>
        <w:t xml:space="preserve">13.15 </w:t>
      </w:r>
      <w:r>
        <w:rPr>
          <w:rFonts w:ascii="Times New Roman" w:hAnsi="Times New Roman"/>
          <w:sz w:val="20"/>
          <w:u w:val="single"/>
        </w:rPr>
        <w:t>Counterparts</w:t>
      </w:r>
      <w:r>
        <w:rPr>
          <w:rFonts w:ascii="Times New Roman" w:hAnsi="Times New Roman"/>
          <w:sz w:val="20"/>
        </w:rPr>
        <w:t>. This Agreement may be executed in two (2) or more counterparts, each of which is an original, but all of which together will constitute one and the same instrument. Signatures to this Agreement transmitted by facsimile, by email in portable document format (</w:t>
      </w:r>
      <w:r>
        <w:rPr>
          <w:rFonts w:ascii="Times New Roman" w:hAnsi="Times New Roman"/>
          <w:b/>
          <w:sz w:val="20"/>
        </w:rPr>
        <w:t>.pdf</w:t>
      </w:r>
      <w:r>
        <w:rPr>
          <w:rFonts w:ascii="Times New Roman" w:hAnsi="Times New Roman"/>
          <w:sz w:val="20"/>
        </w:rPr>
        <w:t xml:space="preserve">), or by any other electronic means intended to preserve the original graphic and pictorial appearance of this Agreement will have the same effect as physical delivery of the paper document bearing original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13.16 </w:t>
      </w:r>
      <w:r>
        <w:rPr>
          <w:rFonts w:ascii="Times New Roman" w:hAnsi="Times New Roman"/>
          <w:sz w:val="20"/>
          <w:u w:val="single"/>
        </w:rPr>
        <w:t>Construction</w:t>
      </w:r>
      <w:r>
        <w:rPr>
          <w:rFonts w:ascii="Times New Roman" w:hAnsi="Times New Roman"/>
          <w:sz w:val="20"/>
        </w:rPr>
        <w:t xml:space="preserve">. References to Sections include subsections, which are part of the related Section. Except as otherwise explicitly specified to the contrary, (a) references to a Section, Article, Schedule or Exhibit means a Section or Article of, or a Schedule or Exhibit to, this Agreement and all subsections thereof, unless another agreement is specified; (b) references to a particular statute or regulation include all rules and regulations thereunder and any successor statute, rules or regulations then in effect, in each case, including the then-current amendments thereto; (c) words in the singular or plural form include the plural and singular form, respectively; (d) unless the context requires a different interpretation, the word or has the inclusive meaning that is typically associated with the phrase and/or; (e) terms including, include(s), such as, and for example as used in this Agreement mean including the generality of any description preceding such term and will be deemed to be followed by without limitation; (f) whenever this Agreement refers to a number of days, such number will refer to calendar days unless Business Days are specified; (g) when a time period set forth in this Agreement ends on a day that is not a Business Day, the last day of such time period will be the next Business Day; (h) references to a particular person include such persons successors and assigns to the extent not prohibited by this Agreement; (i) all words used in this Agreement will be construed to be of such gender or number as the circumstances require; (j) the words hereof, herein, hereby and derivative or similar words refer to this Agreement (including any Schedules and Exhibits); (k) neither Party or its Affiliates will be deemed to be acting on behalf of the other Party under this Agreement, except to the extent expressly otherwise provided; and (l) references to sublicensees include direct and indirect sublicensees.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PRECISION NEUROSCIENCE NEWCO, INC.</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/s/ Reid Huber</w:t>
            </w:r>
          </w:p>
        </w:tc>
      </w:tr>
      <w:tr>
        <w:trPr/>
        <w:tc>
          <w:tcPr>
            <w:tcW w:w="64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Reid Huber</w:t>
            </w:r>
          </w:p>
        </w:tc>
      </w:tr>
      <w:tr>
        <w:trPr/>
        <w:tc>
          <w:tcPr>
            <w:tcW w:w="64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2"/>
        <w:gridCol w:w="60"/>
        <w:gridCol w:w="3380"/>
      </w:tblGrid>
      <w:tr>
        <w:trPr/>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JANSSEN PHARMACEUTICA NV</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0" w:type="dxa"/>
            <w:tcBorders>
              <w:bottom w:val="single" w:sz="2" w:space="0" w:color="000000"/>
            </w:tcBorders>
            <w:tcMar>
              <w:bottom w:w="28" w:type="dxa"/>
            </w:tcMar>
          </w:tcPr>
          <w:p>
            <w:pPr>
              <w:pStyle w:val="TableContents"/>
              <w:bidi w:val="0"/>
              <w:spacing w:before="0" w:after="283"/>
              <w:jc w:val="left"/>
              <w:rPr/>
            </w:pPr>
            <w:r>
              <w:rPr/>
              <w:t>/s/ Jan Van der Goten</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0"/>
              <w:jc w:val="left"/>
              <w:rPr>
                <w:rFonts w:ascii="Times New Roman" w:hAnsi="Times New Roman"/>
                <w:sz w:val="20"/>
              </w:rPr>
            </w:pPr>
            <w:r>
              <w:rPr>
                <w:rFonts w:ascii="Times New Roman" w:hAnsi="Times New Roman"/>
                <w:sz w:val="20"/>
              </w:rPr>
              <w:t>Jan Van der Goten</w:t>
            </w:r>
          </w:p>
        </w:tc>
      </w:tr>
      <w:tr>
        <w:trPr/>
        <w:tc>
          <w:tcPr>
            <w:tcW w:w="64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0"/>
              <w:jc w:val="left"/>
              <w:rPr>
                <w:rFonts w:ascii="Times New Roman" w:hAnsi="Times New Roman"/>
                <w:sz w:val="20"/>
              </w:rPr>
            </w:pPr>
            <w:r>
              <w:rPr>
                <w:rFonts w:ascii="Times New Roman" w:hAnsi="Times New Roman"/>
                <w:sz w:val="20"/>
              </w:rPr>
              <w:t>Member of Board of Directors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0"/>
        <w:gridCol w:w="60"/>
        <w:gridCol w:w="3392"/>
      </w:tblGrid>
      <w:tr>
        <w:trPr/>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63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Ann Van Dessel</w:t>
            </w:r>
          </w:p>
        </w:tc>
      </w:tr>
      <w:tr>
        <w:trPr/>
        <w:tc>
          <w:tcPr>
            <w:tcW w:w="63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Ann Van Dessel</w:t>
            </w:r>
          </w:p>
        </w:tc>
      </w:tr>
      <w:tr>
        <w:trPr/>
        <w:tc>
          <w:tcPr>
            <w:tcW w:w="63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Member of Board of Directors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Schedules </w:t>
      </w:r>
    </w:p>
    <w:p>
      <w:pPr>
        <w:pStyle w:val="TextBody"/>
        <w:bidi w:val="0"/>
        <w:spacing w:before="12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1 to </w:t>
      </w:r>
    </w:p>
    <w:p>
      <w:pPr>
        <w:pStyle w:val="TextBody"/>
        <w:bidi w:val="0"/>
        <w:spacing w:before="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Amendment No. 1 (this </w:t>
      </w:r>
      <w:r>
        <w:rPr>
          <w:rFonts w:ascii="Times New Roman" w:hAnsi="Times New Roman"/>
          <w:sz w:val="20"/>
          <w:u w:val="single"/>
        </w:rPr>
        <w:t>Amendment</w:t>
      </w:r>
      <w:r>
        <w:rPr>
          <w:rFonts w:ascii="Times New Roman" w:hAnsi="Times New Roman"/>
          <w:sz w:val="20"/>
        </w:rPr>
        <w:t>) is entered into as of the date of full execution by the parties (the </w:t>
      </w:r>
      <w:r>
        <w:rPr>
          <w:rFonts w:ascii="Times New Roman" w:hAnsi="Times New Roman"/>
          <w:sz w:val="20"/>
          <w:u w:val="single"/>
        </w:rPr>
        <w:t>Amendment Effective Date</w:t>
      </w:r>
      <w:r>
        <w:rPr>
          <w:rFonts w:ascii="Times New Roman" w:hAnsi="Times New Roman"/>
          <w:sz w:val="20"/>
        </w:rPr>
        <w:t xml:space="preserve">), by and between </w:t>
      </w:r>
      <w:r>
        <w:rPr>
          <w:rFonts w:ascii="Times New Roman" w:hAnsi="Times New Roman"/>
          <w:b/>
          <w:sz w:val="20"/>
        </w:rPr>
        <w:t>JANSSEN PHARMACEUTICA NV</w:t>
      </w:r>
      <w:r>
        <w:rPr>
          <w:rFonts w:ascii="Times New Roman" w:hAnsi="Times New Roman"/>
          <w:sz w:val="20"/>
        </w:rPr>
        <w:t xml:space="preserve"> (</w:t>
      </w:r>
      <w:r>
        <w:rPr>
          <w:rFonts w:ascii="Times New Roman" w:hAnsi="Times New Roman"/>
          <w:sz w:val="20"/>
          <w:u w:val="single"/>
        </w:rPr>
        <w:t>Janssen</w:t>
      </w:r>
      <w:r>
        <w:rPr>
          <w:rFonts w:ascii="Times New Roman" w:hAnsi="Times New Roman"/>
          <w:sz w:val="20"/>
        </w:rPr>
        <w:t>) and Rapport Therapeutics, Inc., formerly known as Precision Neuroscience Newco, Inc. (</w:t>
      </w:r>
      <w:r>
        <w:rPr>
          <w:rFonts w:ascii="Times New Roman" w:hAnsi="Times New Roman"/>
          <w:sz w:val="20"/>
          <w:u w:val="single"/>
        </w:rPr>
        <w:t>Licensee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Janssen and Precision Neuroscience Newco, Inc. entered into that certain Option and License Agreement dated August 9, 2023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Precision Neuroscience Newco, Inc. changed its name to Rapport Therapeutics, Inc. on October 7, 2022;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desire to amend the Agreement as described herein.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exchange for good and valuable consideration, the sufficiency and receipt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Section 13.6</w:t>
      </w:r>
      <w:r>
        <w:rPr>
          <w:rFonts w:ascii="Times New Roman" w:hAnsi="Times New Roman"/>
          <w:sz w:val="20"/>
        </w:rPr>
        <w:t xml:space="preserve">. As of the Amendment Effective Date, </w:t>
      </w:r>
      <w:r>
        <w:rPr>
          <w:rFonts w:ascii="Times New Roman" w:hAnsi="Times New Roman"/>
          <w:sz w:val="20"/>
          <w:u w:val="single"/>
        </w:rPr>
        <w:t>Section 13.6</w:t>
      </w:r>
      <w:r>
        <w:rPr>
          <w:rFonts w:ascii="Times New Roman" w:hAnsi="Times New Roman"/>
          <w:sz w:val="20"/>
        </w:rPr>
        <w:t xml:space="preserve"> of the Agreement is hereby amended to read as set forth below. All references in the Agreement to </w:t>
      </w:r>
      <w:r>
        <w:rPr>
          <w:rFonts w:ascii="Times New Roman" w:hAnsi="Times New Roman"/>
          <w:sz w:val="20"/>
          <w:u w:val="single"/>
        </w:rPr>
        <w:t>Section 13.6</w:t>
      </w:r>
      <w:r>
        <w:rPr>
          <w:rFonts w:ascii="Times New Roman" w:hAnsi="Times New Roman"/>
          <w:sz w:val="20"/>
        </w:rPr>
        <w:t xml:space="preserve"> shall, on and after the Amendment Effective Date, refer to the amended </w:t>
      </w:r>
      <w:r>
        <w:rPr>
          <w:rFonts w:ascii="Times New Roman" w:hAnsi="Times New Roman"/>
          <w:sz w:val="20"/>
          <w:u w:val="single"/>
        </w:rPr>
        <w:t>Section 13.6</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to be given under this Agreement must be in writing and delivered either in person, by any method of mail requiring return receipt, or by internationally-recognized courier, or by registered or certified mail, postage prepaid, to the other Party to be notified at its addresses given below, or to such other address such Party has previously designated by prior written notice to the other.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4"/>
        <w:gridCol w:w="120"/>
        <w:gridCol w:w="8061"/>
      </w:tblGrid>
      <w:tr>
        <w:trPr/>
        <w:tc>
          <w:tcPr>
            <w:tcW w:w="20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61" w:type="dxa"/>
            <w:tcBorders/>
            <w:vAlign w:val="center"/>
          </w:tcPr>
          <w:p>
            <w:pPr>
              <w:pStyle w:val="TableContents"/>
              <w:bidi w:val="0"/>
              <w:spacing w:before="0" w:after="283"/>
              <w:jc w:val="left"/>
              <w:rPr>
                <w:sz w:val="4"/>
                <w:szCs w:val="4"/>
              </w:rPr>
            </w:pPr>
            <w:r>
              <w:rPr>
                <w:sz w:val="4"/>
                <w:szCs w:val="4"/>
              </w:rPr>
            </w:r>
          </w:p>
        </w:tc>
      </w:tr>
      <w:tr>
        <w:trPr/>
        <w:tc>
          <w:tcPr>
            <w:tcW w:w="2024" w:type="dxa"/>
            <w:tcBorders/>
          </w:tcPr>
          <w:p>
            <w:pPr>
              <w:pStyle w:val="TableContents"/>
              <w:bidi w:val="0"/>
              <w:spacing w:before="0" w:after="283"/>
              <w:jc w:val="left"/>
              <w:rPr/>
            </w:pPr>
            <w:r>
              <w:rPr/>
              <w:t>If to Licensee, to:</w:t>
            </w:r>
          </w:p>
        </w:tc>
        <w:tc>
          <w:tcPr>
            <w:tcW w:w="120"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283"/>
              <w:jc w:val="left"/>
              <w:rPr/>
            </w:pPr>
            <w:r>
              <w:rPr/>
              <w:t xml:space="preserve">Rapport Therapeutics, Inc. </w:t>
              <w:br/>
              <w:t xml:space="preserve">201 Brookline Ave </w:t>
              <w:br/>
              <w:t xml:space="preserve">Suite 1401 </w:t>
              <w:br/>
              <w:t xml:space="preserve">Boston, MA 02116, USA </w:t>
              <w:br/>
              <w:t>Attn: Chief Executive Officer</w:t>
            </w:r>
          </w:p>
        </w:tc>
      </w:tr>
      <w:tr>
        <w:trPr>
          <w:trHeight w:val="120" w:hRule="atLeast"/>
        </w:trPr>
        <w:tc>
          <w:tcPr>
            <w:tcW w:w="2024" w:type="dxa"/>
            <w:tcBorders/>
            <w:vAlign w:val="center"/>
          </w:tcPr>
          <w:p>
            <w:pPr>
              <w:pStyle w:val="TableContents"/>
              <w:bidi w:val="0"/>
              <w:spacing w:before="0" w:after="283"/>
              <w:jc w:val="left"/>
              <w:rPr>
                <w:sz w:val="4"/>
                <w:szCs w:val="4"/>
              </w:rPr>
            </w:pPr>
            <w:r>
              <w:rPr>
                <w:sz w:val="4"/>
                <w:szCs w:val="4"/>
              </w:rPr>
            </w:r>
          </w:p>
        </w:tc>
        <w:tc>
          <w:tcPr>
            <w:tcW w:w="8181" w:type="dxa"/>
            <w:gridSpan w:val="2"/>
            <w:tcBorders/>
            <w:vAlign w:val="center"/>
          </w:tcPr>
          <w:p>
            <w:pPr>
              <w:pStyle w:val="TableContents"/>
              <w:bidi w:val="0"/>
              <w:spacing w:before="0" w:after="283"/>
              <w:jc w:val="left"/>
              <w:rPr>
                <w:sz w:val="4"/>
                <w:szCs w:val="4"/>
              </w:rPr>
            </w:pPr>
            <w:r>
              <w:rPr>
                <w:sz w:val="4"/>
                <w:szCs w:val="4"/>
              </w:rPr>
            </w:r>
          </w:p>
        </w:tc>
      </w:tr>
      <w:tr>
        <w:trPr/>
        <w:tc>
          <w:tcPr>
            <w:tcW w:w="2024" w:type="dxa"/>
            <w:tcBorders/>
          </w:tcPr>
          <w:p>
            <w:pPr>
              <w:pStyle w:val="TableContents"/>
              <w:bidi w:val="0"/>
              <w:spacing w:before="0" w:after="0"/>
              <w:jc w:val="left"/>
              <w:rPr>
                <w:rFonts w:ascii="Times New Roman" w:hAnsi="Times New Roman"/>
                <w:sz w:val="20"/>
              </w:rPr>
            </w:pPr>
            <w:r>
              <w:rPr>
                <w:rFonts w:ascii="Times New Roman" w:hAnsi="Times New Roman"/>
                <w:sz w:val="20"/>
              </w:rPr>
              <w:t>with copies to</w:t>
            </w:r>
          </w:p>
          <w:p>
            <w:pPr>
              <w:pStyle w:val="TableContents"/>
              <w:bidi w:val="0"/>
              <w:spacing w:before="0" w:after="0"/>
              <w:jc w:val="left"/>
              <w:rPr>
                <w:rFonts w:ascii="Times New Roman" w:hAnsi="Times New Roman"/>
                <w:sz w:val="20"/>
              </w:rPr>
            </w:pPr>
            <w:r>
              <w:rPr>
                <w:rFonts w:ascii="Times New Roman" w:hAnsi="Times New Roman"/>
                <w:sz w:val="20"/>
              </w:rPr>
              <w:t>(which shall not be</w:t>
            </w:r>
          </w:p>
          <w:p>
            <w:pPr>
              <w:pStyle w:val="TableContents"/>
              <w:bidi w:val="0"/>
              <w:spacing w:before="0" w:after="20"/>
              <w:jc w:val="left"/>
              <w:rPr>
                <w:rFonts w:ascii="Times New Roman" w:hAnsi="Times New Roman"/>
                <w:sz w:val="20"/>
              </w:rPr>
            </w:pPr>
            <w:r>
              <w:rPr>
                <w:rFonts w:ascii="Times New Roman" w:hAnsi="Times New Roman"/>
                <w:sz w:val="20"/>
              </w:rPr>
              <w:t>deemed as notice):</w:t>
            </w:r>
          </w:p>
        </w:tc>
        <w:tc>
          <w:tcPr>
            <w:tcW w:w="120"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283"/>
              <w:jc w:val="left"/>
              <w:rPr/>
            </w:pPr>
            <w:r>
              <w:rPr/>
              <w:t xml:space="preserve">Goodwin Procter LLP </w:t>
              <w:br/>
              <w:t xml:space="preserve">100 Northern Avenue </w:t>
              <w:br/>
              <w:t xml:space="preserve">Boston, MA 02210 </w:t>
              <w:br/>
              <w:t>Attention: [***]</w:t>
            </w:r>
          </w:p>
        </w:tc>
      </w:tr>
      <w:tr>
        <w:trPr>
          <w:trHeight w:val="120" w:hRule="atLeast"/>
        </w:trPr>
        <w:tc>
          <w:tcPr>
            <w:tcW w:w="2024" w:type="dxa"/>
            <w:tcBorders/>
            <w:vAlign w:val="center"/>
          </w:tcPr>
          <w:p>
            <w:pPr>
              <w:pStyle w:val="TableContents"/>
              <w:bidi w:val="0"/>
              <w:spacing w:before="0" w:after="283"/>
              <w:jc w:val="left"/>
              <w:rPr>
                <w:sz w:val="4"/>
                <w:szCs w:val="4"/>
              </w:rPr>
            </w:pPr>
            <w:r>
              <w:rPr>
                <w:sz w:val="4"/>
                <w:szCs w:val="4"/>
              </w:rPr>
            </w:r>
          </w:p>
        </w:tc>
        <w:tc>
          <w:tcPr>
            <w:tcW w:w="8181" w:type="dxa"/>
            <w:gridSpan w:val="2"/>
            <w:tcBorders/>
            <w:vAlign w:val="center"/>
          </w:tcPr>
          <w:p>
            <w:pPr>
              <w:pStyle w:val="TableContents"/>
              <w:bidi w:val="0"/>
              <w:spacing w:before="0" w:after="283"/>
              <w:jc w:val="left"/>
              <w:rPr>
                <w:sz w:val="4"/>
                <w:szCs w:val="4"/>
              </w:rPr>
            </w:pPr>
            <w:r>
              <w:rPr>
                <w:sz w:val="4"/>
                <w:szCs w:val="4"/>
              </w:rPr>
            </w:r>
          </w:p>
        </w:tc>
      </w:tr>
      <w:tr>
        <w:trPr/>
        <w:tc>
          <w:tcPr>
            <w:tcW w:w="2024" w:type="dxa"/>
            <w:tcBorders/>
          </w:tcPr>
          <w:p>
            <w:pPr>
              <w:pStyle w:val="TableContents"/>
              <w:bidi w:val="0"/>
              <w:spacing w:before="0" w:after="283"/>
              <w:jc w:val="left"/>
              <w:rPr/>
            </w:pPr>
            <w:r>
              <w:rPr/>
              <w:t>If to Janssen, to:</w:t>
            </w:r>
          </w:p>
        </w:tc>
        <w:tc>
          <w:tcPr>
            <w:tcW w:w="120"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283"/>
              <w:jc w:val="left"/>
              <w:rPr/>
            </w:pPr>
            <w:r>
              <w:rPr/>
              <w:t xml:space="preserve">Janssen Pharmaceutica NV </w:t>
              <w:br/>
              <w:t xml:space="preserve">Turnhoutseweg 302340 Beerse </w:t>
              <w:br/>
              <w:t xml:space="preserve">Belgium </w:t>
              <w:br/>
              <w:t>Attention: Law Department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000"/>
        <w:gridCol w:w="123"/>
        <w:gridCol w:w="8082"/>
      </w:tblGrid>
      <w:tr>
        <w:trPr/>
        <w:tc>
          <w:tcPr>
            <w:tcW w:w="20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82" w:type="dxa"/>
            <w:tcBorders/>
            <w:vAlign w:val="center"/>
          </w:tcPr>
          <w:p>
            <w:pPr>
              <w:pStyle w:val="TableContents"/>
              <w:bidi w:val="0"/>
              <w:spacing w:before="0" w:after="283"/>
              <w:jc w:val="left"/>
              <w:rPr>
                <w:sz w:val="4"/>
                <w:szCs w:val="4"/>
              </w:rPr>
            </w:pPr>
            <w:r>
              <w:rPr>
                <w:sz w:val="4"/>
                <w:szCs w:val="4"/>
              </w:rPr>
            </w:r>
          </w:p>
        </w:tc>
      </w:tr>
      <w:tr>
        <w:trPr/>
        <w:tc>
          <w:tcPr>
            <w:tcW w:w="2000" w:type="dxa"/>
            <w:tcBorders/>
          </w:tcPr>
          <w:p>
            <w:pPr>
              <w:pStyle w:val="TableContents"/>
              <w:bidi w:val="0"/>
              <w:spacing w:before="0" w:after="283"/>
              <w:jc w:val="left"/>
              <w:rPr/>
            </w:pPr>
            <w:r>
              <w:rPr/>
              <w:t>with copies to (which shall not be deemed as notice):</w:t>
            </w:r>
          </w:p>
        </w:tc>
        <w:tc>
          <w:tcPr>
            <w:tcW w:w="123" w:type="dxa"/>
            <w:tcBorders/>
            <w:vAlign w:val="bottom"/>
          </w:tcPr>
          <w:p>
            <w:pPr>
              <w:pStyle w:val="TableContents"/>
              <w:bidi w:val="0"/>
              <w:spacing w:before="0" w:after="283"/>
              <w:jc w:val="left"/>
              <w:rPr/>
            </w:pPr>
            <w:r>
              <w:rPr/>
              <w:t>  </w:t>
            </w:r>
          </w:p>
        </w:tc>
        <w:tc>
          <w:tcPr>
            <w:tcW w:w="8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Johnson &amp; Johnson </w:t>
              <w:br/>
              <w:t xml:space="preserve">Office of General Counsel </w:t>
              <w:br/>
              <w:t xml:space="preserve">One Johnson &amp; Johnson Plaza </w:t>
              <w:br/>
              <w:t xml:space="preserve">New Brunswick, NJ 08933 </w:t>
              <w:br/>
              <w:t>Attention: General Counsel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Ropes &amp; Gray LLP </w:t>
              <w:br/>
              <w:t xml:space="preserve">Prudential Tower </w:t>
              <w:br/>
              <w:t xml:space="preserve">800 Boylston Street </w:t>
              <w:br/>
              <w:t xml:space="preserve">Boston, MA 02199 </w:t>
              <w:br/>
              <w:t>Attention: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will be deemed sufficiently given for all purposes upon the earliest of: [***].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Schedule 3.1.1.1</w:t>
      </w:r>
      <w:r>
        <w:rPr>
          <w:rFonts w:ascii="Times New Roman" w:hAnsi="Times New Roman"/>
          <w:sz w:val="20"/>
        </w:rPr>
        <w:t xml:space="preserve">. As of the Amendment Effective Date, </w:t>
      </w:r>
      <w:r>
        <w:rPr>
          <w:rFonts w:ascii="Times New Roman" w:hAnsi="Times New Roman"/>
          <w:sz w:val="20"/>
          <w:u w:val="single"/>
        </w:rPr>
        <w:t>Schedule 3.1.1.1</w:t>
      </w:r>
      <w:r>
        <w:rPr>
          <w:rFonts w:ascii="Times New Roman" w:hAnsi="Times New Roman"/>
          <w:sz w:val="20"/>
        </w:rPr>
        <w:t xml:space="preserve"> of the Agreement is hereby amended as attached to this Amendment. All references in the Agreement to Schedule 3.1.1.1 shall, on and after the Amendment Effective Date, refer to the attached </w:t>
      </w:r>
      <w:r>
        <w:rPr>
          <w:rFonts w:ascii="Times New Roman" w:hAnsi="Times New Roman"/>
          <w:sz w:val="20"/>
          <w:u w:val="single"/>
        </w:rPr>
        <w:t>Schedule 3.1.1.1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Reaffirmation of Agreement</w:t>
      </w:r>
      <w:r>
        <w:rPr>
          <w:rFonts w:ascii="Times New Roman" w:hAnsi="Times New Roman"/>
          <w:sz w:val="20"/>
        </w:rPr>
        <w:t xml:space="preserve">. Except as expressly set forth herein, the Agreement is not amended, modified or affected by this Amendment, and the Agreement and the obligations of the parties thereunder are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Definitions</w:t>
      </w:r>
      <w:r>
        <w:rPr>
          <w:rFonts w:ascii="Times New Roman" w:hAnsi="Times New Roman"/>
          <w:sz w:val="20"/>
        </w:rPr>
        <w:t xml:space="preserve">. Except as specifically defined herein, all capitalized terms used in this Amendment shall have the meaning defined in the Agreement. If any provisions of this Amendment and the Agreement conflict, the provisions of this Amendment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This Amendment may be executed in one or more counterparts, each of which shall constitute an original but all of which shall be but one and the same agreement.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by their duly authorized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0"/>
        <w:gridCol w:w="107"/>
        <w:gridCol w:w="3832"/>
        <w:gridCol w:w="107"/>
        <w:gridCol w:w="786"/>
        <w:gridCol w:w="107"/>
        <w:gridCol w:w="661"/>
        <w:gridCol w:w="107"/>
        <w:gridCol w:w="3838"/>
      </w:tblGrid>
      <w:tr>
        <w:trPr/>
        <w:tc>
          <w:tcPr>
            <w:tcW w:w="6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bottom"/>
          </w:tcPr>
          <w:p>
            <w:pPr>
              <w:pStyle w:val="TableContents"/>
              <w:bidi w:val="0"/>
              <w:spacing w:before="0" w:after="283"/>
              <w:jc w:val="left"/>
              <w:rPr/>
            </w:pPr>
            <w:r>
              <w:rPr/>
              <w:t>Janssen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6" w:type="dxa"/>
            <w:gridSpan w:val="3"/>
            <w:tcBorders/>
            <w:vAlign w:val="bottom"/>
          </w:tcPr>
          <w:p>
            <w:pPr>
              <w:pStyle w:val="TableContents"/>
              <w:bidi w:val="0"/>
              <w:spacing w:before="0" w:after="283"/>
              <w:jc w:val="left"/>
              <w:rPr/>
            </w:pPr>
            <w:r>
              <w:rPr/>
              <w:t>Licensee</w:t>
            </w:r>
          </w:p>
        </w:tc>
      </w:tr>
      <w:tr>
        <w:trPr>
          <w:trHeight w:val="240" w:hRule="atLeast"/>
        </w:trPr>
        <w:tc>
          <w:tcPr>
            <w:tcW w:w="4599" w:type="dxa"/>
            <w:gridSpan w:val="3"/>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4713" w:type="dxa"/>
            <w:gridSpan w:val="4"/>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bottom"/>
          </w:tcPr>
          <w:p>
            <w:pPr>
              <w:pStyle w:val="TableContents"/>
              <w:bidi w:val="0"/>
              <w:spacing w:before="0" w:after="283"/>
              <w:jc w:val="left"/>
              <w:rPr>
                <w:b/>
              </w:rPr>
            </w:pPr>
            <w:r>
              <w:rPr>
                <w:b/>
              </w:rPr>
              <w:t>JANSSEN PHARMACEUTICA NV</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6" w:type="dxa"/>
            <w:gridSpan w:val="3"/>
            <w:tcBorders/>
            <w:vAlign w:val="bottom"/>
          </w:tcPr>
          <w:p>
            <w:pPr>
              <w:pStyle w:val="TableContents"/>
              <w:bidi w:val="0"/>
              <w:spacing w:before="0" w:after="283"/>
              <w:jc w:val="left"/>
              <w:rPr>
                <w:b/>
              </w:rPr>
            </w:pPr>
            <w:r>
              <w:rPr>
                <w:b/>
              </w:rPr>
              <w:t>RAPPORT THERAPEUTICS, INC.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939"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768" w:type="dxa"/>
            <w:gridSpan w:val="2"/>
            <w:tcBorders/>
            <w:vAlign w:val="center"/>
          </w:tcPr>
          <w:p>
            <w:pPr>
              <w:pStyle w:val="TableContents"/>
              <w:bidi w:val="0"/>
              <w:spacing w:before="0" w:after="283"/>
              <w:jc w:val="left"/>
              <w:rPr>
                <w:sz w:val="4"/>
                <w:szCs w:val="4"/>
              </w:rPr>
            </w:pPr>
            <w:r>
              <w:rPr>
                <w:sz w:val="4"/>
                <w:szCs w:val="4"/>
              </w:rPr>
            </w:r>
          </w:p>
        </w:tc>
        <w:tc>
          <w:tcPr>
            <w:tcW w:w="3945"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32" w:type="dxa"/>
            <w:tcBorders>
              <w:bottom w:val="single" w:sz="2" w:space="0" w:color="000000"/>
            </w:tcBorders>
            <w:tcMar>
              <w:bottom w:w="28" w:type="dxa"/>
            </w:tcMar>
            <w:vAlign w:val="bottom"/>
          </w:tcPr>
          <w:p>
            <w:pPr>
              <w:pStyle w:val="TableContents"/>
              <w:bidi w:val="0"/>
              <w:spacing w:before="0" w:after="283"/>
              <w:jc w:val="left"/>
              <w:rPr/>
            </w:pPr>
            <w:r>
              <w:rPr/>
              <w:t>/s/ Bart Van Waeyenberge</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38" w:type="dxa"/>
            <w:tcBorders>
              <w:bottom w:val="single" w:sz="2" w:space="0" w:color="000000"/>
            </w:tcBorders>
            <w:tcMar>
              <w:bottom w:w="28" w:type="dxa"/>
            </w:tcMar>
            <w:vAlign w:val="bottom"/>
          </w:tcPr>
          <w:p>
            <w:pPr>
              <w:pStyle w:val="TableContents"/>
              <w:bidi w:val="0"/>
              <w:spacing w:before="0" w:after="283"/>
              <w:jc w:val="left"/>
              <w:rPr/>
            </w:pPr>
            <w:r>
              <w:rPr/>
              <w:t>/s/ Abraham Ceesay</w:t>
            </w:r>
          </w:p>
        </w:tc>
      </w:tr>
      <w:tr>
        <w:trPr/>
        <w:tc>
          <w:tcPr>
            <w:tcW w:w="660"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Bart Van Waeyenberge</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Abraham Ceesay</w:t>
            </w:r>
          </w:p>
        </w:tc>
      </w:tr>
      <w:tr>
        <w:trPr/>
        <w:tc>
          <w:tcPr>
            <w:tcW w:w="660"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Board Member</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CEO</w:t>
            </w:r>
          </w:p>
        </w:tc>
      </w:tr>
      <w:tr>
        <w:trPr/>
        <w:tc>
          <w:tcPr>
            <w:tcW w:w="660" w:type="dxa"/>
            <w:tcBorders/>
            <w:vAlign w:val="bottom"/>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29 February 2023</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3 April 2023</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16"/>
        <w:gridCol w:w="60"/>
        <w:gridCol w:w="3306"/>
      </w:tblGrid>
      <w:tr>
        <w:trPr/>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JANSSEN PHARMACEUTICA NV</w:t>
            </w:r>
          </w:p>
        </w:tc>
      </w:tr>
      <w:tr>
        <w:trPr>
          <w:trHeight w:val="240" w:hRule="atLeast"/>
        </w:trPr>
        <w:tc>
          <w:tcPr>
            <w:tcW w:w="716" w:type="dxa"/>
            <w:tcBorders/>
            <w:vAlign w:val="center"/>
          </w:tcPr>
          <w:p>
            <w:pPr>
              <w:pStyle w:val="TableContents"/>
              <w:bidi w:val="0"/>
              <w:spacing w:before="0" w:after="283"/>
              <w:jc w:val="left"/>
              <w:rPr>
                <w:sz w:val="4"/>
                <w:szCs w:val="4"/>
              </w:rPr>
            </w:pPr>
            <w:r>
              <w:rPr>
                <w:sz w:val="4"/>
                <w:szCs w:val="4"/>
              </w:rPr>
            </w:r>
          </w:p>
        </w:tc>
        <w:tc>
          <w:tcPr>
            <w:tcW w:w="3366"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6" w:type="dxa"/>
            <w:tcBorders>
              <w:bottom w:val="single" w:sz="2" w:space="0" w:color="000000"/>
            </w:tcBorders>
            <w:tcMar>
              <w:bottom w:w="28" w:type="dxa"/>
            </w:tcMar>
          </w:tcPr>
          <w:p>
            <w:pPr>
              <w:pStyle w:val="TableContents"/>
              <w:bidi w:val="0"/>
              <w:spacing w:before="0" w:after="283"/>
              <w:jc w:val="left"/>
              <w:rPr/>
            </w:pPr>
            <w:r>
              <w:rPr/>
              <w:t>/s/ Kobe Naesens</w:t>
            </w:r>
          </w:p>
        </w:tc>
      </w:tr>
      <w:tr>
        <w:trPr/>
        <w:tc>
          <w:tcPr>
            <w:tcW w:w="71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Kobe Naesens</w:t>
            </w:r>
          </w:p>
        </w:tc>
      </w:tr>
      <w:tr>
        <w:trPr/>
        <w:tc>
          <w:tcPr>
            <w:tcW w:w="71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Board Member</w:t>
            </w:r>
          </w:p>
        </w:tc>
      </w:tr>
      <w:tr>
        <w:trPr/>
        <w:tc>
          <w:tcPr>
            <w:tcW w:w="716"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06" w:type="dxa"/>
            <w:tcBorders/>
          </w:tcPr>
          <w:p>
            <w:pPr>
              <w:pStyle w:val="TableContents"/>
              <w:bidi w:val="0"/>
              <w:spacing w:before="0" w:after="283"/>
              <w:jc w:val="left"/>
              <w:rPr/>
            </w:pPr>
            <w:r>
              <w:rPr/>
              <w:t>28 February 2023</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3.1.1.1.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2 to </w:t>
      </w:r>
    </w:p>
    <w:p>
      <w:pPr>
        <w:pStyle w:val="TextBody"/>
        <w:bidi w:val="0"/>
        <w:spacing w:before="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Amendment No. 2 (this </w:t>
      </w:r>
      <w:r>
        <w:rPr>
          <w:rFonts w:ascii="Times New Roman" w:hAnsi="Times New Roman"/>
          <w:sz w:val="20"/>
          <w:u w:val="single"/>
        </w:rPr>
        <w:t>Amendment</w:t>
      </w:r>
      <w:r>
        <w:rPr>
          <w:rFonts w:ascii="Times New Roman" w:hAnsi="Times New Roman"/>
          <w:sz w:val="20"/>
        </w:rPr>
        <w:t>) is entered into as of the date of full execution by the parties (the </w:t>
      </w:r>
      <w:r>
        <w:rPr>
          <w:rFonts w:ascii="Times New Roman" w:hAnsi="Times New Roman"/>
          <w:sz w:val="20"/>
          <w:u w:val="single"/>
        </w:rPr>
        <w:t>2nd Amendment Effective Date</w:t>
      </w:r>
      <w:r>
        <w:rPr>
          <w:rFonts w:ascii="Times New Roman" w:hAnsi="Times New Roman"/>
          <w:sz w:val="20"/>
        </w:rPr>
        <w:t xml:space="preserve">), by and between </w:t>
      </w:r>
      <w:r>
        <w:rPr>
          <w:rFonts w:ascii="Times New Roman" w:hAnsi="Times New Roman"/>
          <w:b/>
          <w:sz w:val="20"/>
        </w:rPr>
        <w:t>JANSSEN PHARMACEUTICA NV</w:t>
      </w:r>
      <w:r>
        <w:rPr>
          <w:rFonts w:ascii="Times New Roman" w:hAnsi="Times New Roman"/>
          <w:sz w:val="20"/>
        </w:rPr>
        <w:t xml:space="preserve"> (</w:t>
      </w:r>
      <w:r>
        <w:rPr>
          <w:rFonts w:ascii="Times New Roman" w:hAnsi="Times New Roman"/>
          <w:sz w:val="20"/>
          <w:u w:val="single"/>
        </w:rPr>
        <w:t>Janssen</w:t>
      </w:r>
      <w:r>
        <w:rPr>
          <w:rFonts w:ascii="Times New Roman" w:hAnsi="Times New Roman"/>
          <w:sz w:val="20"/>
        </w:rPr>
        <w:t>) and Rapport Therapeutics, Inc., formerly known as Precision Neuroscience Newco, Inc. (</w:t>
      </w:r>
      <w:r>
        <w:rPr>
          <w:rFonts w:ascii="Times New Roman" w:hAnsi="Times New Roman"/>
          <w:sz w:val="20"/>
          <w:u w:val="single"/>
        </w:rPr>
        <w:t>Licensee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Janssen and Precision Neuroscience Newco. Inc. entered into that certain Option and License Agreement dated August 9, 2023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Precision Neuroscience Newco, Inc. changed its name to Rapport Therapeutics, Inc. on October 7, 2022: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1 to Option and License Agreement dated March 16,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desire to further amend the Agreement as described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exchange for good and valuable consideration, the sufficiency and receipt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Schedule 3.1.1.1</w:t>
      </w:r>
      <w:r>
        <w:rPr>
          <w:rFonts w:ascii="Times New Roman" w:hAnsi="Times New Roman"/>
          <w:sz w:val="20"/>
        </w:rPr>
        <w:t xml:space="preserve">. As of the 2nd Amendment Effective Date, </w:t>
      </w:r>
      <w:r>
        <w:rPr>
          <w:rFonts w:ascii="Times New Roman" w:hAnsi="Times New Roman"/>
          <w:sz w:val="20"/>
          <w:u w:val="single"/>
        </w:rPr>
        <w:t>Schedule 3.1.1.1</w:t>
      </w:r>
      <w:r>
        <w:rPr>
          <w:rFonts w:ascii="Times New Roman" w:hAnsi="Times New Roman"/>
          <w:sz w:val="20"/>
        </w:rPr>
        <w:t xml:space="preserve"> of the Agreement is herebv amended as attached to this Amendment. All references in the Agreement to </w:t>
      </w:r>
      <w:r>
        <w:rPr>
          <w:rFonts w:ascii="Times New Roman" w:hAnsi="Times New Roman"/>
          <w:sz w:val="20"/>
          <w:u w:val="single"/>
        </w:rPr>
        <w:t>Schedule 3.1.1.1</w:t>
      </w:r>
      <w:r>
        <w:rPr>
          <w:rFonts w:ascii="Times New Roman" w:hAnsi="Times New Roman"/>
          <w:sz w:val="20"/>
        </w:rPr>
        <w:t xml:space="preserve"> shall, on and after the Amendment Effective Date, refer to the attached </w:t>
      </w:r>
      <w:r>
        <w:rPr>
          <w:rFonts w:ascii="Times New Roman" w:hAnsi="Times New Roman"/>
          <w:sz w:val="20"/>
          <w:u w:val="single"/>
        </w:rPr>
        <w:t>Schedule 3.1.1.1</w:t>
      </w:r>
      <w:r>
        <w:rPr>
          <w:rFonts w:ascii="Times New Roman" w:hAnsi="Times New Roman"/>
          <w:sz w:val="20"/>
        </w:rPr>
        <w:t xml:space="preserve">. The Parties Agree that Janssens sole obligation for the transfer of information in </w:t>
      </w:r>
      <w:r>
        <w:rPr>
          <w:rFonts w:ascii="Times New Roman" w:hAnsi="Times New Roman"/>
          <w:sz w:val="20"/>
          <w:u w:val="single"/>
        </w:rPr>
        <w:t>Section 1.3.1</w:t>
      </w:r>
      <w:r>
        <w:rPr>
          <w:rFonts w:ascii="Times New Roman" w:hAnsi="Times New Roman"/>
          <w:sz w:val="20"/>
        </w:rPr>
        <w:t xml:space="preserve"> of </w:t>
      </w:r>
      <w:r>
        <w:rPr>
          <w:rFonts w:ascii="Times New Roman" w:hAnsi="Times New Roman"/>
          <w:sz w:val="20"/>
          <w:u w:val="single"/>
        </w:rPr>
        <w:t>Schedule 3.1.1.1</w:t>
      </w:r>
      <w:r>
        <w:rPr>
          <w:rFonts w:ascii="Times New Roman" w:hAnsi="Times New Roman"/>
          <w:sz w:val="20"/>
        </w:rPr>
        <w:t xml:space="preserve"> shall be to authorize the contract research organizations (</w:t>
      </w:r>
      <w:r>
        <w:rPr>
          <w:rFonts w:ascii="Times New Roman" w:hAnsi="Times New Roman"/>
          <w:sz w:val="20"/>
          <w:u w:val="single"/>
        </w:rPr>
        <w:t>CRO</w:t>
      </w:r>
      <w:r>
        <w:rPr>
          <w:rFonts w:ascii="Times New Roman" w:hAnsi="Times New Roman"/>
          <w:sz w:val="20"/>
        </w:rPr>
        <w:t xml:space="preserve">) identified in </w:t>
      </w:r>
      <w:r>
        <w:rPr>
          <w:rFonts w:ascii="Times New Roman" w:hAnsi="Times New Roman"/>
          <w:sz w:val="20"/>
          <w:u w:val="single"/>
        </w:rPr>
        <w:t>Section 1.3</w:t>
      </w:r>
      <w:r>
        <w:rPr>
          <w:rFonts w:ascii="Times New Roman" w:hAnsi="Times New Roman"/>
          <w:sz w:val="20"/>
        </w:rPr>
        <w:t xml:space="preserve"> to transfer such information to Licensee. The Parties further Agree that Janssens sole obligation for the transfer of information in </w:t>
      </w:r>
      <w:r>
        <w:rPr>
          <w:rFonts w:ascii="Times New Roman" w:hAnsi="Times New Roman"/>
          <w:sz w:val="20"/>
          <w:u w:val="single"/>
        </w:rPr>
        <w:t>Section 1.3.3</w:t>
      </w:r>
      <w:r>
        <w:rPr>
          <w:rFonts w:ascii="Times New Roman" w:hAnsi="Times New Roman"/>
          <w:sz w:val="20"/>
        </w:rPr>
        <w:t xml:space="preserve"> of </w:t>
      </w:r>
      <w:r>
        <w:rPr>
          <w:rFonts w:ascii="Times New Roman" w:hAnsi="Times New Roman"/>
          <w:sz w:val="20"/>
          <w:u w:val="single"/>
        </w:rPr>
        <w:t>Schedule 3.1.1.1</w:t>
      </w:r>
      <w:r>
        <w:rPr>
          <w:rFonts w:ascii="Times New Roman" w:hAnsi="Times New Roman"/>
          <w:sz w:val="20"/>
        </w:rPr>
        <w:t xml:space="preserve"> shall he one discussion between the Parties.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Reaffirmation of Agreement</w:t>
      </w:r>
      <w:r>
        <w:rPr>
          <w:rFonts w:ascii="Times New Roman" w:hAnsi="Times New Roman"/>
          <w:sz w:val="20"/>
        </w:rPr>
        <w:t xml:space="preserve">. Except as expressly set forth herein, the Agreement is not amended, modified or affected by this Amendment, and the Agreement and the obligations of the parties thereunder are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Definitions</w:t>
      </w:r>
      <w:r>
        <w:rPr>
          <w:rFonts w:ascii="Times New Roman" w:hAnsi="Times New Roman"/>
          <w:sz w:val="20"/>
        </w:rPr>
        <w:t xml:space="preserve">. Except as specifically defined herein, ai capitalized terms used in this Amendment shall have the meaning defined in the Agreement. If any provisions of this Amendment and the Agreement conflict, the provisions of this Amendment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Counterparts</w:t>
      </w:r>
      <w:r>
        <w:rPr>
          <w:rFonts w:ascii="Times New Roman" w:hAnsi="Times New Roman"/>
          <w:sz w:val="20"/>
        </w:rPr>
        <w:t xml:space="preserve">. This Amendment may be executed in one or more counterparts, each of which shall constitute an original but all of which shall be but one and the same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he parties have caused this Amendment to be executed by their duly authorized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0"/>
        <w:gridCol w:w="107"/>
        <w:gridCol w:w="3832"/>
        <w:gridCol w:w="107"/>
        <w:gridCol w:w="786"/>
        <w:gridCol w:w="107"/>
        <w:gridCol w:w="661"/>
        <w:gridCol w:w="107"/>
        <w:gridCol w:w="3838"/>
      </w:tblGrid>
      <w:tr>
        <w:trPr/>
        <w:tc>
          <w:tcPr>
            <w:tcW w:w="6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bottom"/>
          </w:tcPr>
          <w:p>
            <w:pPr>
              <w:pStyle w:val="TableContents"/>
              <w:bidi w:val="0"/>
              <w:spacing w:before="0" w:after="283"/>
              <w:jc w:val="left"/>
              <w:rPr/>
            </w:pPr>
            <w:r>
              <w:rPr/>
              <w:t>Janssen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6" w:type="dxa"/>
            <w:gridSpan w:val="3"/>
            <w:tcBorders/>
            <w:vAlign w:val="bottom"/>
          </w:tcPr>
          <w:p>
            <w:pPr>
              <w:pStyle w:val="TableContents"/>
              <w:bidi w:val="0"/>
              <w:spacing w:before="0" w:after="283"/>
              <w:jc w:val="left"/>
              <w:rPr/>
            </w:pPr>
            <w:r>
              <w:rPr/>
              <w:t>Licensee</w:t>
            </w:r>
          </w:p>
        </w:tc>
      </w:tr>
      <w:tr>
        <w:trPr>
          <w:trHeight w:val="240" w:hRule="atLeast"/>
        </w:trPr>
        <w:tc>
          <w:tcPr>
            <w:tcW w:w="4599" w:type="dxa"/>
            <w:gridSpan w:val="3"/>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4713" w:type="dxa"/>
            <w:gridSpan w:val="4"/>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bottom"/>
          </w:tcPr>
          <w:p>
            <w:pPr>
              <w:pStyle w:val="TableContents"/>
              <w:bidi w:val="0"/>
              <w:spacing w:before="0" w:after="283"/>
              <w:jc w:val="left"/>
              <w:rPr>
                <w:b/>
              </w:rPr>
            </w:pPr>
            <w:r>
              <w:rPr>
                <w:b/>
              </w:rPr>
              <w:t>JANSSEN PHARMACEUTICA NV</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6" w:type="dxa"/>
            <w:gridSpan w:val="3"/>
            <w:tcBorders/>
            <w:vAlign w:val="bottom"/>
          </w:tcPr>
          <w:p>
            <w:pPr>
              <w:pStyle w:val="TableContents"/>
              <w:bidi w:val="0"/>
              <w:spacing w:before="0" w:after="283"/>
              <w:jc w:val="left"/>
              <w:rPr>
                <w:b/>
              </w:rPr>
            </w:pPr>
            <w:r>
              <w:rPr>
                <w:b/>
              </w:rPr>
              <w:t>RAPPORT THERAPEUTICS, INC.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939"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768" w:type="dxa"/>
            <w:gridSpan w:val="2"/>
            <w:tcBorders/>
            <w:vAlign w:val="center"/>
          </w:tcPr>
          <w:p>
            <w:pPr>
              <w:pStyle w:val="TableContents"/>
              <w:bidi w:val="0"/>
              <w:spacing w:before="0" w:after="283"/>
              <w:jc w:val="left"/>
              <w:rPr>
                <w:sz w:val="4"/>
                <w:szCs w:val="4"/>
              </w:rPr>
            </w:pPr>
            <w:r>
              <w:rPr>
                <w:sz w:val="4"/>
                <w:szCs w:val="4"/>
              </w:rPr>
            </w:r>
          </w:p>
        </w:tc>
        <w:tc>
          <w:tcPr>
            <w:tcW w:w="3945"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32" w:type="dxa"/>
            <w:tcBorders>
              <w:bottom w:val="single" w:sz="2" w:space="0" w:color="000000"/>
            </w:tcBorders>
            <w:tcMar>
              <w:bottom w:w="28" w:type="dxa"/>
            </w:tcMar>
            <w:vAlign w:val="bottom"/>
          </w:tcPr>
          <w:p>
            <w:pPr>
              <w:pStyle w:val="TableContents"/>
              <w:bidi w:val="0"/>
              <w:spacing w:before="0" w:after="283"/>
              <w:jc w:val="left"/>
              <w:rPr/>
            </w:pPr>
            <w:r>
              <w:rPr/>
              <w:t>/s/ Jan Van der Goten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38" w:type="dxa"/>
            <w:tcBorders>
              <w:bottom w:val="single" w:sz="2" w:space="0" w:color="000000"/>
            </w:tcBorders>
            <w:tcMar>
              <w:bottom w:w="28" w:type="dxa"/>
            </w:tcMar>
            <w:vAlign w:val="bottom"/>
          </w:tcPr>
          <w:p>
            <w:pPr>
              <w:pStyle w:val="TableContents"/>
              <w:bidi w:val="0"/>
              <w:spacing w:before="0" w:after="283"/>
              <w:jc w:val="left"/>
              <w:rPr/>
            </w:pPr>
            <w:r>
              <w:rPr/>
              <w:t>/s/ Abraham Ceesay</w:t>
            </w:r>
          </w:p>
        </w:tc>
      </w:tr>
      <w:tr>
        <w:trPr/>
        <w:tc>
          <w:tcPr>
            <w:tcW w:w="660"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Jan Van der Goten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Abraham Ceesay</w:t>
            </w:r>
          </w:p>
        </w:tc>
      </w:tr>
      <w:tr>
        <w:trPr/>
        <w:tc>
          <w:tcPr>
            <w:tcW w:w="660"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Member of Board of Directors</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CEO</w:t>
            </w:r>
          </w:p>
        </w:tc>
      </w:tr>
      <w:tr>
        <w:trPr/>
        <w:tc>
          <w:tcPr>
            <w:tcW w:w="660" w:type="dxa"/>
            <w:tcBorders/>
            <w:vAlign w:val="bottom"/>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11 April 2023</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18 April 2023</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3.1.1.1.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3 to </w:t>
      </w:r>
    </w:p>
    <w:p>
      <w:pPr>
        <w:pStyle w:val="TextBody"/>
        <w:bidi w:val="0"/>
        <w:spacing w:before="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Amendment No. 3 (this </w:t>
      </w:r>
      <w:r>
        <w:rPr>
          <w:rFonts w:ascii="Times New Roman" w:hAnsi="Times New Roman"/>
          <w:sz w:val="20"/>
          <w:u w:val="single"/>
        </w:rPr>
        <w:t>Amendment</w:t>
      </w:r>
      <w:r>
        <w:rPr>
          <w:rFonts w:ascii="Times New Roman" w:hAnsi="Times New Roman"/>
          <w:sz w:val="20"/>
        </w:rPr>
        <w:t>) is entered into as of the date of full execution by the parties (the </w:t>
      </w:r>
      <w:r>
        <w:rPr>
          <w:rFonts w:ascii="Times New Roman" w:hAnsi="Times New Roman"/>
          <w:sz w:val="20"/>
          <w:u w:val="single"/>
        </w:rPr>
        <w:t>3rd Amendment Effective Date</w:t>
      </w:r>
      <w:r>
        <w:rPr>
          <w:rFonts w:ascii="Times New Roman" w:hAnsi="Times New Roman"/>
          <w:sz w:val="20"/>
        </w:rPr>
        <w:t>), by and between JANSSEN PHARMACEUTICA NV (</w:t>
      </w:r>
      <w:r>
        <w:rPr>
          <w:rFonts w:ascii="Times New Roman" w:hAnsi="Times New Roman"/>
          <w:sz w:val="20"/>
          <w:u w:val="single"/>
        </w:rPr>
        <w:t>Janssen</w:t>
      </w:r>
      <w:r>
        <w:rPr>
          <w:rFonts w:ascii="Times New Roman" w:hAnsi="Times New Roman"/>
          <w:sz w:val="20"/>
        </w:rPr>
        <w:t>) and Rapport Therapeutics, Inc., formerly known as Precision Neuroscience Newco, Inc. (</w:t>
      </w:r>
      <w:r>
        <w:rPr>
          <w:rFonts w:ascii="Times New Roman" w:hAnsi="Times New Roman"/>
          <w:sz w:val="20"/>
          <w:u w:val="single"/>
        </w:rPr>
        <w:t>License</w:t>
      </w:r>
      <w:r>
        <w:rPr>
          <w:rFonts w:ascii="Times New Roman" w:hAnsi="Times New Roman"/>
          <w:sz w:val="20"/>
        </w:rPr>
        <w:t xml:space="preserve">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Janssen and Precision Neuroscience Newco, Inc. entered into that certain Option and License Agreement dated August 9, 2022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Precision Neuroscience Newco, Inc. changed its name to Rapport Therapeutics, Inc. on October 7, 2022;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Janssen and Licensee amended the Agreement in an Amendment No. 1 to Option and License Agreement dated March 16, 2023;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Janssen and Licensee amended the Agreement in an Amendment No. 2 to Option and License Agreement dated April 18, 2023;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Janssen and Licensee desire to further amend the Agreement as described herein.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in exchange for good and valuable consideration, the sufficiency and receipt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1. Schedule 3.1.1.1. As of the 3rd Amendment Effective Date, Sched</w:t>
      </w:r>
      <w:r>
        <w:rPr>
          <w:rFonts w:ascii="Times New Roman" w:hAnsi="Times New Roman"/>
          <w:sz w:val="20"/>
          <w:u w:val="single"/>
        </w:rPr>
        <w:t>ule 3</w:t>
      </w:r>
      <w:r>
        <w:rPr>
          <w:rFonts w:ascii="Times New Roman" w:hAnsi="Times New Roman"/>
          <w:sz w:val="20"/>
        </w:rPr>
        <w:t>.1</w:t>
      </w:r>
      <w:r>
        <w:rPr>
          <w:rFonts w:ascii="Times New Roman" w:hAnsi="Times New Roman"/>
          <w:sz w:val="20"/>
          <w:u w:val="single"/>
        </w:rPr>
        <w:t>.1.1</w:t>
      </w:r>
      <w:r>
        <w:rPr>
          <w:rFonts w:ascii="Times New Roman" w:hAnsi="Times New Roman"/>
          <w:sz w:val="20"/>
        </w:rPr>
        <w:t xml:space="preserve"> of the Agreement is hereby amended as attached to this Amendment. All references in the Agreement to </w:t>
      </w:r>
      <w:r>
        <w:rPr>
          <w:rFonts w:ascii="Times New Roman" w:hAnsi="Times New Roman"/>
          <w:sz w:val="20"/>
          <w:u w:val="single"/>
        </w:rPr>
        <w:t>Schedule 3.1.1.1</w:t>
      </w:r>
      <w:r>
        <w:rPr>
          <w:rFonts w:ascii="Times New Roman" w:hAnsi="Times New Roman"/>
          <w:sz w:val="20"/>
        </w:rPr>
        <w:t xml:space="preserve"> shall, on and after the Amendment Effective Date, refer to the attached </w:t>
      </w:r>
      <w:r>
        <w:rPr>
          <w:rFonts w:ascii="Times New Roman" w:hAnsi="Times New Roman"/>
          <w:sz w:val="20"/>
          <w:u w:val="single"/>
        </w:rPr>
        <w:t>Schedule 3.1.1.1</w:t>
      </w:r>
      <w:r>
        <w:rPr>
          <w:rFonts w:ascii="Times New Roman" w:hAnsi="Times New Roman"/>
          <w:sz w:val="20"/>
        </w:rPr>
        <w:t xml:space="preserve">. The Parties Agree that Janssens sole obligation for the transfer of information in </w:t>
      </w:r>
      <w:r>
        <w:rPr>
          <w:rFonts w:ascii="Times New Roman" w:hAnsi="Times New Roman"/>
          <w:sz w:val="20"/>
          <w:u w:val="single"/>
        </w:rPr>
        <w:t>Section 1.3.1</w:t>
      </w:r>
      <w:r>
        <w:rPr>
          <w:rFonts w:ascii="Times New Roman" w:hAnsi="Times New Roman"/>
          <w:sz w:val="20"/>
        </w:rPr>
        <w:t xml:space="preserve"> of </w:t>
      </w:r>
      <w:r>
        <w:rPr>
          <w:rFonts w:ascii="Times New Roman" w:hAnsi="Times New Roman"/>
          <w:sz w:val="20"/>
          <w:u w:val="single"/>
        </w:rPr>
        <w:t>Schedule 3.1.1.1</w:t>
      </w:r>
      <w:r>
        <w:rPr>
          <w:rFonts w:ascii="Times New Roman" w:hAnsi="Times New Roman"/>
          <w:sz w:val="20"/>
        </w:rPr>
        <w:t xml:space="preserve"> shall be to authorize the contract research organizations (</w:t>
      </w:r>
      <w:r>
        <w:rPr>
          <w:rFonts w:ascii="Times New Roman" w:hAnsi="Times New Roman"/>
          <w:sz w:val="20"/>
          <w:u w:val="single"/>
        </w:rPr>
        <w:t>CRO</w:t>
      </w:r>
      <w:r>
        <w:rPr>
          <w:rFonts w:ascii="Times New Roman" w:hAnsi="Times New Roman"/>
          <w:sz w:val="20"/>
        </w:rPr>
        <w:t xml:space="preserve">) identified in </w:t>
      </w:r>
      <w:r>
        <w:rPr>
          <w:rFonts w:ascii="Times New Roman" w:hAnsi="Times New Roman"/>
          <w:sz w:val="20"/>
          <w:u w:val="single"/>
        </w:rPr>
        <w:t>Section 1.3</w:t>
      </w:r>
      <w:r>
        <w:rPr>
          <w:rFonts w:ascii="Times New Roman" w:hAnsi="Times New Roman"/>
          <w:sz w:val="20"/>
        </w:rPr>
        <w:t xml:space="preserve"> to transfer such information to Licensee. The Parties further Agree that Janssens sole obligation for the transfer of information in </w:t>
      </w:r>
      <w:r>
        <w:rPr>
          <w:rFonts w:ascii="Times New Roman" w:hAnsi="Times New Roman"/>
          <w:sz w:val="20"/>
          <w:u w:val="single"/>
        </w:rPr>
        <w:t>Section 1.3.3</w:t>
      </w:r>
      <w:r>
        <w:rPr>
          <w:rFonts w:ascii="Times New Roman" w:hAnsi="Times New Roman"/>
          <w:sz w:val="20"/>
        </w:rPr>
        <w:t xml:space="preserve"> of </w:t>
      </w:r>
      <w:r>
        <w:rPr>
          <w:rFonts w:ascii="Times New Roman" w:hAnsi="Times New Roman"/>
          <w:sz w:val="20"/>
          <w:u w:val="single"/>
        </w:rPr>
        <w:t>Schedule 3.1.1.</w:t>
      </w:r>
      <w:r>
        <w:rPr>
          <w:rFonts w:ascii="Times New Roman" w:hAnsi="Times New Roman"/>
          <w:sz w:val="20"/>
        </w:rPr>
        <w:t xml:space="preserve">1 shall be one discussion between the Parties. The Parties hereby agree that since the request for, and identification of, the [***] set forth in </w:t>
      </w:r>
      <w:r>
        <w:rPr>
          <w:rFonts w:ascii="Times New Roman" w:hAnsi="Times New Roman"/>
          <w:sz w:val="20"/>
          <w:u w:val="single"/>
        </w:rPr>
        <w:t>Section 3.2.1</w:t>
      </w:r>
      <w:r>
        <w:rPr>
          <w:rFonts w:ascii="Times New Roman" w:hAnsi="Times New Roman"/>
          <w:sz w:val="20"/>
        </w:rPr>
        <w:t xml:space="preserve"> of the Agreement, Janssen will have met the timing obligations for transfer set forth in </w:t>
      </w:r>
      <w:r>
        <w:rPr>
          <w:rFonts w:ascii="Times New Roman" w:hAnsi="Times New Roman"/>
          <w:sz w:val="20"/>
          <w:u w:val="single"/>
        </w:rPr>
        <w:t>Section 3.2.1</w:t>
      </w:r>
      <w:r>
        <w:rPr>
          <w:rFonts w:ascii="Times New Roman" w:hAnsi="Times New Roman"/>
          <w:sz w:val="20"/>
        </w:rPr>
        <w:t xml:space="preserve"> by initiating an internal request for signatures of this Amendment by [***].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Reaffirmation o</w:t>
      </w:r>
      <w:r>
        <w:rPr>
          <w:rFonts w:ascii="Times New Roman" w:hAnsi="Times New Roman"/>
          <w:sz w:val="20"/>
        </w:rPr>
        <w:t xml:space="preserve">f Agreement, Except as expressly set forth herein, the Agreement is not amended, modified or affected by this Amendment, and the Agreement and the obligations of the parties thereunder are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3. D</w:t>
      </w:r>
      <w:r>
        <w:rPr>
          <w:rFonts w:ascii="Times New Roman" w:hAnsi="Times New Roman"/>
          <w:sz w:val="20"/>
          <w:u w:val="single"/>
        </w:rPr>
        <w:t>efinitions</w:t>
      </w:r>
      <w:r>
        <w:rPr>
          <w:rFonts w:ascii="Times New Roman" w:hAnsi="Times New Roman"/>
          <w:sz w:val="20"/>
        </w:rPr>
        <w:t xml:space="preserve">. Except as specifically defined herein, all capitalized terms used in this Amendment shall have the meaning defined in the Agreement. If any provisions of this Amendment and the Agreement conflict, the provisions of this Amendment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Counterparts.</w:t>
      </w:r>
      <w:r>
        <w:rPr>
          <w:rFonts w:ascii="Times New Roman" w:hAnsi="Times New Roman"/>
          <w:sz w:val="20"/>
        </w:rPr>
        <w:t xml:space="preserve"> This Amendment may be executed in one or more counterparts, each of which shall constitute an original but all of which shall be but one and the same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have caused this Amendment to be executed by their duly authorized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0"/>
        <w:gridCol w:w="107"/>
        <w:gridCol w:w="3832"/>
        <w:gridCol w:w="107"/>
        <w:gridCol w:w="786"/>
        <w:gridCol w:w="107"/>
        <w:gridCol w:w="661"/>
        <w:gridCol w:w="107"/>
        <w:gridCol w:w="3838"/>
      </w:tblGrid>
      <w:tr>
        <w:trPr/>
        <w:tc>
          <w:tcPr>
            <w:tcW w:w="6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bottom"/>
          </w:tcPr>
          <w:p>
            <w:pPr>
              <w:pStyle w:val="TableContents"/>
              <w:bidi w:val="0"/>
              <w:spacing w:before="0" w:after="283"/>
              <w:jc w:val="left"/>
              <w:rPr/>
            </w:pPr>
            <w:r>
              <w:rPr/>
              <w:t>Janssen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6" w:type="dxa"/>
            <w:gridSpan w:val="3"/>
            <w:tcBorders/>
            <w:vAlign w:val="bottom"/>
          </w:tcPr>
          <w:p>
            <w:pPr>
              <w:pStyle w:val="TableContents"/>
              <w:bidi w:val="0"/>
              <w:spacing w:before="0" w:after="283"/>
              <w:jc w:val="left"/>
              <w:rPr/>
            </w:pPr>
            <w:r>
              <w:rPr/>
              <w:t>Licensee</w:t>
            </w:r>
          </w:p>
        </w:tc>
      </w:tr>
      <w:tr>
        <w:trPr>
          <w:trHeight w:val="240" w:hRule="atLeast"/>
        </w:trPr>
        <w:tc>
          <w:tcPr>
            <w:tcW w:w="4599" w:type="dxa"/>
            <w:gridSpan w:val="3"/>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4713" w:type="dxa"/>
            <w:gridSpan w:val="4"/>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bottom"/>
          </w:tcPr>
          <w:p>
            <w:pPr>
              <w:pStyle w:val="TableContents"/>
              <w:bidi w:val="0"/>
              <w:spacing w:before="0" w:after="283"/>
              <w:jc w:val="left"/>
              <w:rPr>
                <w:b/>
              </w:rPr>
            </w:pPr>
            <w:r>
              <w:rPr>
                <w:b/>
              </w:rPr>
              <w:t>JANSSEN PHARMACEUTICA NV</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06" w:type="dxa"/>
            <w:gridSpan w:val="3"/>
            <w:tcBorders/>
            <w:vAlign w:val="bottom"/>
          </w:tcPr>
          <w:p>
            <w:pPr>
              <w:pStyle w:val="TableContents"/>
              <w:bidi w:val="0"/>
              <w:spacing w:before="0" w:after="283"/>
              <w:jc w:val="left"/>
              <w:rPr>
                <w:b/>
              </w:rPr>
            </w:pPr>
            <w:r>
              <w:rPr>
                <w:b/>
              </w:rPr>
              <w:t>RAPPORT THERAPEUTICS, INC.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939"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c>
          <w:tcPr>
            <w:tcW w:w="768" w:type="dxa"/>
            <w:gridSpan w:val="2"/>
            <w:tcBorders/>
            <w:vAlign w:val="center"/>
          </w:tcPr>
          <w:p>
            <w:pPr>
              <w:pStyle w:val="TableContents"/>
              <w:bidi w:val="0"/>
              <w:spacing w:before="0" w:after="283"/>
              <w:jc w:val="left"/>
              <w:rPr>
                <w:sz w:val="4"/>
                <w:szCs w:val="4"/>
              </w:rPr>
            </w:pPr>
            <w:r>
              <w:rPr>
                <w:sz w:val="4"/>
                <w:szCs w:val="4"/>
              </w:rPr>
            </w:r>
          </w:p>
        </w:tc>
        <w:tc>
          <w:tcPr>
            <w:tcW w:w="3945"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32" w:type="dxa"/>
            <w:tcBorders>
              <w:bottom w:val="single" w:sz="2" w:space="0" w:color="000000"/>
            </w:tcBorders>
            <w:tcMar>
              <w:bottom w:w="28" w:type="dxa"/>
            </w:tcMar>
            <w:vAlign w:val="bottom"/>
          </w:tcPr>
          <w:p>
            <w:pPr>
              <w:pStyle w:val="TableContents"/>
              <w:bidi w:val="0"/>
              <w:spacing w:before="0" w:after="283"/>
              <w:jc w:val="left"/>
              <w:rPr/>
            </w:pPr>
            <w:r>
              <w:rPr/>
              <w:t>/s/ Jan Van der Goten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838" w:type="dxa"/>
            <w:tcBorders>
              <w:bottom w:val="single" w:sz="2" w:space="0" w:color="000000"/>
            </w:tcBorders>
            <w:tcMar>
              <w:bottom w:w="28" w:type="dxa"/>
            </w:tcMar>
            <w:vAlign w:val="bottom"/>
          </w:tcPr>
          <w:p>
            <w:pPr>
              <w:pStyle w:val="TableContents"/>
              <w:bidi w:val="0"/>
              <w:spacing w:before="0" w:after="283"/>
              <w:jc w:val="left"/>
              <w:rPr/>
            </w:pPr>
            <w:r>
              <w:rPr/>
              <w:t>/s/ Abraham Ceesay</w:t>
            </w:r>
          </w:p>
        </w:tc>
      </w:tr>
      <w:tr>
        <w:trPr/>
        <w:tc>
          <w:tcPr>
            <w:tcW w:w="660"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Jan Van der Goten</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Abraham Ceesay</w:t>
            </w:r>
          </w:p>
        </w:tc>
      </w:tr>
      <w:tr>
        <w:trPr/>
        <w:tc>
          <w:tcPr>
            <w:tcW w:w="660"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Member of Board of Directors</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CEO</w:t>
            </w:r>
          </w:p>
        </w:tc>
      </w:tr>
      <w:tr>
        <w:trPr/>
        <w:tc>
          <w:tcPr>
            <w:tcW w:w="660" w:type="dxa"/>
            <w:tcBorders/>
            <w:vAlign w:val="bottom"/>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3832" w:type="dxa"/>
            <w:tcBorders/>
            <w:vAlign w:val="bottom"/>
          </w:tcPr>
          <w:p>
            <w:pPr>
              <w:pStyle w:val="TableContents"/>
              <w:bidi w:val="0"/>
              <w:spacing w:before="0" w:after="283"/>
              <w:jc w:val="left"/>
              <w:rPr/>
            </w:pPr>
            <w:r>
              <w:rPr/>
              <w:t>25 April 2023</w:t>
            </w:r>
          </w:p>
        </w:tc>
        <w:tc>
          <w:tcPr>
            <w:tcW w:w="10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Date:</w:t>
            </w:r>
          </w:p>
        </w:tc>
        <w:tc>
          <w:tcPr>
            <w:tcW w:w="107" w:type="dxa"/>
            <w:tcBorders/>
            <w:vAlign w:val="bottom"/>
          </w:tcPr>
          <w:p>
            <w:pPr>
              <w:pStyle w:val="TableContents"/>
              <w:bidi w:val="0"/>
              <w:spacing w:before="0" w:after="283"/>
              <w:jc w:val="left"/>
              <w:rPr/>
            </w:pPr>
            <w:r>
              <w:rPr/>
              <w:t> </w:t>
            </w:r>
          </w:p>
        </w:tc>
        <w:tc>
          <w:tcPr>
            <w:tcW w:w="3838" w:type="dxa"/>
            <w:tcBorders/>
            <w:vAlign w:val="bottom"/>
          </w:tcPr>
          <w:p>
            <w:pPr>
              <w:pStyle w:val="TableContents"/>
              <w:bidi w:val="0"/>
              <w:spacing w:before="0" w:after="283"/>
              <w:jc w:val="left"/>
              <w:rPr/>
            </w:pPr>
            <w:r>
              <w:rPr/>
              <w:t>2 May 2023</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3.1.1.1.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4 to </w:t>
      </w:r>
    </w:p>
    <w:p>
      <w:pPr>
        <w:pStyle w:val="TextBody"/>
        <w:bidi w:val="0"/>
        <w:spacing w:before="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Amendment No. 4 (this </w:t>
      </w:r>
      <w:r>
        <w:rPr>
          <w:rFonts w:ascii="Times New Roman" w:hAnsi="Times New Roman"/>
          <w:sz w:val="20"/>
          <w:u w:val="single"/>
        </w:rPr>
        <w:t>Amendment</w:t>
      </w:r>
      <w:r>
        <w:rPr>
          <w:rFonts w:ascii="Times New Roman" w:hAnsi="Times New Roman"/>
          <w:sz w:val="20"/>
        </w:rPr>
        <w:t>) is entered into as of the date of full execution by the parties (the </w:t>
      </w:r>
      <w:r>
        <w:rPr>
          <w:rFonts w:ascii="Times New Roman" w:hAnsi="Times New Roman"/>
          <w:sz w:val="20"/>
          <w:u w:val="single"/>
        </w:rPr>
        <w:t>4th Amendment Effective Date</w:t>
      </w:r>
      <w:r>
        <w:rPr>
          <w:rFonts w:ascii="Times New Roman" w:hAnsi="Times New Roman"/>
          <w:sz w:val="20"/>
        </w:rPr>
        <w:t xml:space="preserve">), by and between </w:t>
      </w:r>
      <w:r>
        <w:rPr>
          <w:rFonts w:ascii="Times New Roman" w:hAnsi="Times New Roman"/>
          <w:b/>
          <w:sz w:val="20"/>
        </w:rPr>
        <w:t xml:space="preserve">JANSSEN PHARMACEUTICA NV </w:t>
      </w:r>
      <w:r>
        <w:rPr>
          <w:rFonts w:ascii="Times New Roman" w:hAnsi="Times New Roman"/>
          <w:sz w:val="20"/>
        </w:rPr>
        <w:t>(</w:t>
      </w:r>
      <w:r>
        <w:rPr>
          <w:rFonts w:ascii="Times New Roman" w:hAnsi="Times New Roman"/>
          <w:sz w:val="20"/>
          <w:u w:val="single"/>
        </w:rPr>
        <w:t>Janssen</w:t>
      </w:r>
      <w:r>
        <w:rPr>
          <w:rFonts w:ascii="Times New Roman" w:hAnsi="Times New Roman"/>
          <w:sz w:val="20"/>
        </w:rPr>
        <w:t>) and Rapport Therapeutics, Inc., formerly known as Precision Neuroscience Newco, Inc. (</w:t>
      </w:r>
      <w:r>
        <w:rPr>
          <w:rFonts w:ascii="Times New Roman" w:hAnsi="Times New Roman"/>
          <w:sz w:val="20"/>
          <w:u w:val="single"/>
        </w:rPr>
        <w:t>Licensee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Janssen and Precision Neuroscience Newco, Inc. entered into that certain Option and License Agreement dated August 9, 2022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Precision Neuroscience Newco, Inc. changed its name to Rapport Therapeutics, Inc. on October 7, 2022;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1 to Option and License Agreement dated March 16,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2 to Option and License Agreement dated April 18,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3 to Option and License Agreement dated May 2,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desire to further amend the Agreement as described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exchange for good and valuable consideration, the sufficiency and receipt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Schedule 3.1.1.1</w:t>
      </w:r>
      <w:r>
        <w:rPr>
          <w:rFonts w:ascii="Times New Roman" w:hAnsi="Times New Roman"/>
          <w:sz w:val="20"/>
        </w:rPr>
        <w:t xml:space="preserve">. As of the 4th Amendment Effective Date, </w:t>
      </w:r>
      <w:r>
        <w:rPr>
          <w:rFonts w:ascii="Times New Roman" w:hAnsi="Times New Roman"/>
          <w:sz w:val="20"/>
          <w:u w:val="single"/>
        </w:rPr>
        <w:t>Schedule 3.1.1.1</w:t>
      </w:r>
      <w:r>
        <w:rPr>
          <w:rFonts w:ascii="Times New Roman" w:hAnsi="Times New Roman"/>
          <w:sz w:val="20"/>
        </w:rPr>
        <w:t xml:space="preserve"> of the Agreement is hereby amended as attached to this Amendment. All references in the Agreement to </w:t>
      </w:r>
      <w:r>
        <w:rPr>
          <w:rFonts w:ascii="Times New Roman" w:hAnsi="Times New Roman"/>
          <w:sz w:val="20"/>
          <w:u w:val="single"/>
        </w:rPr>
        <w:t>Schedule 3.1.1.1</w:t>
      </w:r>
      <w:r>
        <w:rPr>
          <w:rFonts w:ascii="Times New Roman" w:hAnsi="Times New Roman"/>
          <w:sz w:val="20"/>
        </w:rPr>
        <w:t xml:space="preserve"> shall, on and after the Amendment Effective Date, refer to the attached </w:t>
      </w:r>
      <w:r>
        <w:rPr>
          <w:rFonts w:ascii="Times New Roman" w:hAnsi="Times New Roman"/>
          <w:sz w:val="20"/>
          <w:u w:val="single"/>
        </w:rPr>
        <w:t>Schedule 3.1.1.1</w:t>
      </w:r>
      <w:r>
        <w:rPr>
          <w:rFonts w:ascii="Times New Roman" w:hAnsi="Times New Roman"/>
          <w:sz w:val="20"/>
        </w:rPr>
        <w:t xml:space="preserve">. The Parties Agree that Janssens sole obligation for the transfer of information in </w:t>
      </w:r>
      <w:r>
        <w:rPr>
          <w:rFonts w:ascii="Times New Roman" w:hAnsi="Times New Roman"/>
          <w:sz w:val="20"/>
          <w:u w:val="single"/>
        </w:rPr>
        <w:t>Section 1.3.1</w:t>
      </w:r>
      <w:r>
        <w:rPr>
          <w:rFonts w:ascii="Times New Roman" w:hAnsi="Times New Roman"/>
          <w:sz w:val="20"/>
        </w:rPr>
        <w:t xml:space="preserve"> of </w:t>
      </w:r>
      <w:r>
        <w:rPr>
          <w:rFonts w:ascii="Times New Roman" w:hAnsi="Times New Roman"/>
          <w:sz w:val="20"/>
          <w:u w:val="single"/>
        </w:rPr>
        <w:t>Schedule 3.1.1.1</w:t>
      </w:r>
      <w:r>
        <w:rPr>
          <w:rFonts w:ascii="Times New Roman" w:hAnsi="Times New Roman"/>
          <w:sz w:val="20"/>
        </w:rPr>
        <w:t xml:space="preserve"> shall be to authorize the contract research organizations (</w:t>
      </w:r>
      <w:r>
        <w:rPr>
          <w:rFonts w:ascii="Times New Roman" w:hAnsi="Times New Roman"/>
          <w:sz w:val="20"/>
          <w:u w:val="single"/>
        </w:rPr>
        <w:t>CRO</w:t>
      </w:r>
      <w:r>
        <w:rPr>
          <w:rFonts w:ascii="Times New Roman" w:hAnsi="Times New Roman"/>
          <w:sz w:val="20"/>
        </w:rPr>
        <w:t xml:space="preserve">) identified in </w:t>
      </w:r>
      <w:r>
        <w:rPr>
          <w:rFonts w:ascii="Times New Roman" w:hAnsi="Times New Roman"/>
          <w:sz w:val="20"/>
          <w:u w:val="single"/>
        </w:rPr>
        <w:t>Section 1.3</w:t>
      </w:r>
      <w:r>
        <w:rPr>
          <w:rFonts w:ascii="Times New Roman" w:hAnsi="Times New Roman"/>
          <w:sz w:val="20"/>
        </w:rPr>
        <w:t xml:space="preserve"> to transfer such information to Licensee. The Parties further Agree that Janssens sole obligation for the transfer of information in </w:t>
      </w:r>
      <w:r>
        <w:rPr>
          <w:rFonts w:ascii="Times New Roman" w:hAnsi="Times New Roman"/>
          <w:sz w:val="20"/>
          <w:u w:val="single"/>
        </w:rPr>
        <w:t>Section 1.3.3</w:t>
      </w:r>
      <w:r>
        <w:rPr>
          <w:rFonts w:ascii="Times New Roman" w:hAnsi="Times New Roman"/>
          <w:sz w:val="20"/>
        </w:rPr>
        <w:t xml:space="preserve"> of </w:t>
      </w:r>
      <w:r>
        <w:rPr>
          <w:rFonts w:ascii="Times New Roman" w:hAnsi="Times New Roman"/>
          <w:sz w:val="20"/>
          <w:u w:val="single"/>
        </w:rPr>
        <w:t>Schedule 3.1.1.1</w:t>
      </w:r>
      <w:r>
        <w:rPr>
          <w:rFonts w:ascii="Times New Roman" w:hAnsi="Times New Roman"/>
          <w:sz w:val="20"/>
        </w:rPr>
        <w:t xml:space="preserve"> shall be one discussion between the Parties. The Parties hereby agree that since the request for, and identification of, the [***] set forth in </w:t>
      </w:r>
      <w:r>
        <w:rPr>
          <w:rFonts w:ascii="Times New Roman" w:hAnsi="Times New Roman"/>
          <w:sz w:val="20"/>
          <w:u w:val="single"/>
        </w:rPr>
        <w:t>Section 3.2.1</w:t>
      </w:r>
      <w:r>
        <w:rPr>
          <w:rFonts w:ascii="Times New Roman" w:hAnsi="Times New Roman"/>
          <w:sz w:val="20"/>
        </w:rPr>
        <w:t xml:space="preserve"> of the Agreement, Janssen will have met the timing obligations for transfer set forth in </w:t>
      </w:r>
      <w:r>
        <w:rPr>
          <w:rFonts w:ascii="Times New Roman" w:hAnsi="Times New Roman"/>
          <w:sz w:val="20"/>
          <w:u w:val="single"/>
        </w:rPr>
        <w:t>Section 3.2.1</w:t>
      </w:r>
      <w:r>
        <w:rPr>
          <w:rFonts w:ascii="Times New Roman" w:hAnsi="Times New Roman"/>
          <w:sz w:val="20"/>
        </w:rPr>
        <w:t xml:space="preserve"> by initiating an internal request for signatures of this Amendment by [***]. The Parties further to waive the timing obligations for transfer set forth in </w:t>
      </w:r>
      <w:r>
        <w:rPr>
          <w:rFonts w:ascii="Times New Roman" w:hAnsi="Times New Roman"/>
          <w:sz w:val="20"/>
          <w:u w:val="single"/>
        </w:rPr>
        <w:t>Section 3.2.1</w:t>
      </w:r>
      <w:r>
        <w:rPr>
          <w:rFonts w:ascii="Times New Roman" w:hAnsi="Times New Roman"/>
          <w:sz w:val="20"/>
        </w:rPr>
        <w:t xml:space="preserve"> for the plasmids and cell lines listed in Part I of Schedule 3.1.1.1,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Reaffirmation of Agreement</w:t>
      </w:r>
      <w:r>
        <w:rPr>
          <w:rFonts w:ascii="Times New Roman" w:hAnsi="Times New Roman"/>
          <w:sz w:val="20"/>
        </w:rPr>
        <w:t xml:space="preserve">. Except as expressly set forth herein, the Agreement is not amended, modified or affected by this Amendment, and the Agreement and the obligations of the parties thereunder are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Definitions</w:t>
      </w:r>
      <w:r>
        <w:rPr>
          <w:rFonts w:ascii="Times New Roman" w:hAnsi="Times New Roman"/>
          <w:sz w:val="20"/>
        </w:rPr>
        <w:t xml:space="preserve">. Except as specifically defined herein, all capitalized terms used in this Amendment shall have the meaning defined in the Agreement. If any provisions of this Amendment and the Agreement conflict, the provisions of this Amendment shall prevail.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Counterparts</w:t>
      </w:r>
      <w:r>
        <w:rPr>
          <w:rFonts w:ascii="Times New Roman" w:hAnsi="Times New Roman"/>
          <w:sz w:val="20"/>
        </w:rPr>
        <w:t xml:space="preserve">. This Amendment may be executed in one or more counterparts, each of which shall constitute an original but all of which shall be but one and the same agreement.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by their duly authorized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3"/>
        <w:gridCol w:w="106"/>
        <w:gridCol w:w="3912"/>
        <w:gridCol w:w="106"/>
        <w:gridCol w:w="789"/>
        <w:gridCol w:w="127"/>
        <w:gridCol w:w="654"/>
        <w:gridCol w:w="127"/>
        <w:gridCol w:w="3731"/>
      </w:tblGrid>
      <w:tr>
        <w:trPr/>
        <w:tc>
          <w:tcPr>
            <w:tcW w:w="65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4671" w:type="dxa"/>
            <w:gridSpan w:val="3"/>
            <w:tcBorders/>
            <w:vAlign w:val="bottom"/>
          </w:tcPr>
          <w:p>
            <w:pPr>
              <w:pStyle w:val="TableContents"/>
              <w:bidi w:val="0"/>
              <w:spacing w:before="0" w:after="283"/>
              <w:jc w:val="left"/>
              <w:rPr/>
            </w:pPr>
            <w:r>
              <w:rPr/>
              <w:t>Janssen</w:t>
            </w:r>
          </w:p>
        </w:tc>
        <w:tc>
          <w:tcPr>
            <w:tcW w:w="10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512" w:type="dxa"/>
            <w:gridSpan w:val="3"/>
            <w:tcBorders/>
            <w:vAlign w:val="bottom"/>
          </w:tcPr>
          <w:p>
            <w:pPr>
              <w:pStyle w:val="TableContents"/>
              <w:bidi w:val="0"/>
              <w:spacing w:before="0" w:after="283"/>
              <w:jc w:val="left"/>
              <w:rPr/>
            </w:pPr>
            <w:r>
              <w:rPr/>
              <w:t>Licensee</w:t>
            </w:r>
          </w:p>
        </w:tc>
      </w:tr>
      <w:tr>
        <w:trPr>
          <w:trHeight w:val="240" w:hRule="atLeast"/>
        </w:trPr>
        <w:tc>
          <w:tcPr>
            <w:tcW w:w="4671" w:type="dxa"/>
            <w:gridSpan w:val="3"/>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4639" w:type="dxa"/>
            <w:gridSpan w:val="4"/>
            <w:tcBorders/>
            <w:vAlign w:val="center"/>
          </w:tcPr>
          <w:p>
            <w:pPr>
              <w:pStyle w:val="TableContents"/>
              <w:bidi w:val="0"/>
              <w:spacing w:before="0" w:after="283"/>
              <w:jc w:val="left"/>
              <w:rPr>
                <w:sz w:val="4"/>
                <w:szCs w:val="4"/>
              </w:rPr>
            </w:pPr>
            <w:r>
              <w:rPr>
                <w:sz w:val="4"/>
                <w:szCs w:val="4"/>
              </w:rPr>
            </w:r>
          </w:p>
        </w:tc>
      </w:tr>
      <w:tr>
        <w:trPr/>
        <w:tc>
          <w:tcPr>
            <w:tcW w:w="4671" w:type="dxa"/>
            <w:gridSpan w:val="3"/>
            <w:tcBorders/>
            <w:vAlign w:val="bottom"/>
          </w:tcPr>
          <w:p>
            <w:pPr>
              <w:pStyle w:val="TableContents"/>
              <w:bidi w:val="0"/>
              <w:spacing w:before="0" w:after="283"/>
              <w:jc w:val="left"/>
              <w:rPr>
                <w:b/>
              </w:rPr>
            </w:pPr>
            <w:r>
              <w:rPr>
                <w:b/>
              </w:rPr>
              <w:t>JANSSEN PHARMACEUTICA NV</w:t>
            </w:r>
          </w:p>
        </w:tc>
        <w:tc>
          <w:tcPr>
            <w:tcW w:w="10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512" w:type="dxa"/>
            <w:gridSpan w:val="3"/>
            <w:tcBorders/>
            <w:vAlign w:val="bottom"/>
          </w:tcPr>
          <w:p>
            <w:pPr>
              <w:pStyle w:val="TableContents"/>
              <w:bidi w:val="0"/>
              <w:spacing w:before="0" w:after="283"/>
              <w:jc w:val="left"/>
              <w:rPr>
                <w:b/>
              </w:rPr>
            </w:pPr>
            <w:r>
              <w:rPr>
                <w:b/>
              </w:rPr>
              <w:t>RAPPORT THERAPEUTICS, INC.</w:t>
            </w:r>
          </w:p>
        </w:tc>
      </w:tr>
      <w:tr>
        <w:trPr>
          <w:trHeight w:val="240" w:hRule="atLeast"/>
        </w:trPr>
        <w:tc>
          <w:tcPr>
            <w:tcW w:w="653" w:type="dxa"/>
            <w:tcBorders/>
            <w:vAlign w:val="center"/>
          </w:tcPr>
          <w:p>
            <w:pPr>
              <w:pStyle w:val="TableContents"/>
              <w:bidi w:val="0"/>
              <w:spacing w:before="0" w:after="283"/>
              <w:jc w:val="left"/>
              <w:rPr>
                <w:sz w:val="4"/>
                <w:szCs w:val="4"/>
              </w:rPr>
            </w:pPr>
            <w:r>
              <w:rPr>
                <w:sz w:val="4"/>
                <w:szCs w:val="4"/>
              </w:rPr>
            </w:r>
          </w:p>
        </w:tc>
        <w:tc>
          <w:tcPr>
            <w:tcW w:w="4018"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c>
          <w:tcPr>
            <w:tcW w:w="781" w:type="dxa"/>
            <w:gridSpan w:val="2"/>
            <w:tcBorders/>
            <w:vAlign w:val="center"/>
          </w:tcPr>
          <w:p>
            <w:pPr>
              <w:pStyle w:val="TableContents"/>
              <w:bidi w:val="0"/>
              <w:spacing w:before="0" w:after="283"/>
              <w:jc w:val="left"/>
              <w:rPr>
                <w:sz w:val="4"/>
                <w:szCs w:val="4"/>
              </w:rPr>
            </w:pPr>
            <w:r>
              <w:rPr>
                <w:sz w:val="4"/>
                <w:szCs w:val="4"/>
              </w:rPr>
            </w:r>
          </w:p>
        </w:tc>
        <w:tc>
          <w:tcPr>
            <w:tcW w:w="3858" w:type="dxa"/>
            <w:gridSpan w:val="2"/>
            <w:tcBorders/>
            <w:vAlign w:val="center"/>
          </w:tcPr>
          <w:p>
            <w:pPr>
              <w:pStyle w:val="TableContents"/>
              <w:bidi w:val="0"/>
              <w:spacing w:before="0" w:after="283"/>
              <w:jc w:val="left"/>
              <w:rPr>
                <w:sz w:val="4"/>
                <w:szCs w:val="4"/>
              </w:rPr>
            </w:pPr>
            <w:r>
              <w:rPr>
                <w:sz w:val="4"/>
                <w:szCs w:val="4"/>
              </w:rPr>
            </w:r>
          </w:p>
        </w:tc>
      </w:tr>
      <w:tr>
        <w:trPr/>
        <w:tc>
          <w:tcPr>
            <w:tcW w:w="653" w:type="dxa"/>
            <w:tcBorders/>
            <w:vAlign w:val="bottom"/>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912" w:type="dxa"/>
            <w:tcBorders>
              <w:bottom w:val="single" w:sz="2" w:space="0" w:color="000000"/>
            </w:tcBorders>
            <w:tcMar>
              <w:bottom w:w="28" w:type="dxa"/>
            </w:tcMar>
            <w:vAlign w:val="bottom"/>
          </w:tcPr>
          <w:p>
            <w:pPr>
              <w:pStyle w:val="TableContents"/>
              <w:bidi w:val="0"/>
              <w:spacing w:before="0" w:after="283"/>
              <w:jc w:val="left"/>
              <w:rPr/>
            </w:pPr>
            <w:r>
              <w:rPr/>
              <w:t>/s/ Jan Van der Goten</w:t>
            </w:r>
          </w:p>
        </w:tc>
        <w:tc>
          <w:tcPr>
            <w:tcW w:w="10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3731" w:type="dxa"/>
            <w:tcBorders>
              <w:bottom w:val="single" w:sz="2" w:space="0" w:color="000000"/>
            </w:tcBorders>
            <w:tcMar>
              <w:bottom w:w="28" w:type="dxa"/>
            </w:tcMar>
            <w:vAlign w:val="bottom"/>
          </w:tcPr>
          <w:p>
            <w:pPr>
              <w:pStyle w:val="TableContents"/>
              <w:bidi w:val="0"/>
              <w:spacing w:before="0" w:after="283"/>
              <w:jc w:val="left"/>
              <w:rPr/>
            </w:pPr>
            <w:r>
              <w:rPr/>
              <w:t>/s/ David Bredt</w:t>
            </w:r>
          </w:p>
        </w:tc>
      </w:tr>
      <w:tr>
        <w:trPr/>
        <w:tc>
          <w:tcPr>
            <w:tcW w:w="653" w:type="dxa"/>
            <w:tcBorders/>
            <w:vAlign w:val="bottom"/>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3912" w:type="dxa"/>
            <w:tcBorders/>
            <w:vAlign w:val="bottom"/>
          </w:tcPr>
          <w:p>
            <w:pPr>
              <w:pStyle w:val="TableContents"/>
              <w:bidi w:val="0"/>
              <w:spacing w:before="0" w:after="283"/>
              <w:jc w:val="left"/>
              <w:rPr/>
            </w:pPr>
            <w:r>
              <w:rPr/>
              <w:t>Jan Van der Goten</w:t>
            </w:r>
          </w:p>
        </w:tc>
        <w:tc>
          <w:tcPr>
            <w:tcW w:w="10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3731" w:type="dxa"/>
            <w:tcBorders/>
            <w:vAlign w:val="bottom"/>
          </w:tcPr>
          <w:p>
            <w:pPr>
              <w:pStyle w:val="TableContents"/>
              <w:bidi w:val="0"/>
              <w:spacing w:before="0" w:after="283"/>
              <w:jc w:val="left"/>
              <w:rPr/>
            </w:pPr>
            <w:r>
              <w:rPr/>
              <w:t>David Bredt</w:t>
            </w:r>
          </w:p>
        </w:tc>
      </w:tr>
      <w:tr>
        <w:trPr/>
        <w:tc>
          <w:tcPr>
            <w:tcW w:w="653" w:type="dxa"/>
            <w:tcBorders/>
            <w:vAlign w:val="bottom"/>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3912" w:type="dxa"/>
            <w:tcBorders/>
            <w:vAlign w:val="bottom"/>
          </w:tcPr>
          <w:p>
            <w:pPr>
              <w:pStyle w:val="TableContents"/>
              <w:bidi w:val="0"/>
              <w:spacing w:before="0" w:after="283"/>
              <w:jc w:val="left"/>
              <w:rPr/>
            </w:pPr>
            <w:r>
              <w:rPr/>
              <w:t>Member of Board of Directors</w:t>
            </w:r>
          </w:p>
        </w:tc>
        <w:tc>
          <w:tcPr>
            <w:tcW w:w="10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3731" w:type="dxa"/>
            <w:tcBorders/>
            <w:vAlign w:val="bottom"/>
          </w:tcPr>
          <w:p>
            <w:pPr>
              <w:pStyle w:val="TableContents"/>
              <w:bidi w:val="0"/>
              <w:spacing w:before="0" w:after="283"/>
              <w:jc w:val="left"/>
              <w:rPr/>
            </w:pPr>
            <w:r>
              <w:rPr/>
              <w:t>CSO</w:t>
            </w:r>
          </w:p>
        </w:tc>
      </w:tr>
      <w:tr>
        <w:trPr/>
        <w:tc>
          <w:tcPr>
            <w:tcW w:w="653" w:type="dxa"/>
            <w:tcBorders/>
            <w:vAlign w:val="bottom"/>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3912" w:type="dxa"/>
            <w:tcBorders/>
            <w:vAlign w:val="bottom"/>
          </w:tcPr>
          <w:p>
            <w:pPr>
              <w:pStyle w:val="TableContents"/>
              <w:bidi w:val="0"/>
              <w:spacing w:before="0" w:after="283"/>
              <w:jc w:val="left"/>
              <w:rPr/>
            </w:pPr>
            <w:r>
              <w:rPr/>
              <w:t>October 2, 2023</w:t>
            </w:r>
          </w:p>
        </w:tc>
        <w:tc>
          <w:tcPr>
            <w:tcW w:w="10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Date:</w:t>
            </w:r>
          </w:p>
        </w:tc>
        <w:tc>
          <w:tcPr>
            <w:tcW w:w="127" w:type="dxa"/>
            <w:tcBorders/>
            <w:vAlign w:val="bottom"/>
          </w:tcPr>
          <w:p>
            <w:pPr>
              <w:pStyle w:val="TableContents"/>
              <w:bidi w:val="0"/>
              <w:spacing w:before="0" w:after="283"/>
              <w:jc w:val="left"/>
              <w:rPr/>
            </w:pPr>
            <w:r>
              <w:rPr/>
              <w:t>  </w:t>
            </w:r>
          </w:p>
        </w:tc>
        <w:tc>
          <w:tcPr>
            <w:tcW w:w="3731" w:type="dxa"/>
            <w:tcBorders/>
            <w:vAlign w:val="bottom"/>
          </w:tcPr>
          <w:p>
            <w:pPr>
              <w:pStyle w:val="TableContents"/>
              <w:bidi w:val="0"/>
              <w:spacing w:before="0" w:after="283"/>
              <w:jc w:val="left"/>
              <w:rPr/>
            </w:pPr>
            <w:r>
              <w:rPr/>
              <w:t>October 2, 2023</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3.1.1.1.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5 to </w:t>
      </w:r>
    </w:p>
    <w:p>
      <w:pPr>
        <w:pStyle w:val="TextBody"/>
        <w:bidi w:val="0"/>
        <w:spacing w:before="0" w:after="0"/>
        <w:jc w:val="center"/>
        <w:rPr>
          <w:rFonts w:ascii="Times New Roman" w:hAnsi="Times New Roman"/>
          <w:b/>
          <w:sz w:val="20"/>
        </w:rPr>
      </w:pPr>
      <w:r>
        <w:rPr>
          <w:rFonts w:ascii="Times New Roman" w:hAnsi="Times New Roman"/>
          <w:b/>
          <w:sz w:val="20"/>
        </w:rPr>
        <w:t xml:space="preserve">OPTION AND LICENSE AGREEMENT </w:t>
      </w:r>
    </w:p>
    <w:p>
      <w:pPr>
        <w:pStyle w:val="TextBody"/>
        <w:bidi w:val="0"/>
        <w:spacing w:before="240" w:after="0"/>
        <w:jc w:val="left"/>
        <w:rPr>
          <w:rFonts w:ascii="Times New Roman" w:hAnsi="Times New Roman"/>
          <w:sz w:val="20"/>
        </w:rPr>
      </w:pPr>
      <w:r>
        <w:rPr>
          <w:rFonts w:ascii="Times New Roman" w:hAnsi="Times New Roman"/>
          <w:sz w:val="20"/>
        </w:rPr>
        <w:t>This Amendment No. 5 (this </w:t>
      </w:r>
      <w:r>
        <w:rPr>
          <w:rFonts w:ascii="Times New Roman" w:hAnsi="Times New Roman"/>
          <w:sz w:val="20"/>
          <w:u w:val="single"/>
        </w:rPr>
        <w:t>Amendment</w:t>
      </w:r>
      <w:r>
        <w:rPr>
          <w:rFonts w:ascii="Times New Roman" w:hAnsi="Times New Roman"/>
          <w:sz w:val="20"/>
        </w:rPr>
        <w:t>) is entered into as of the date of full execution by the Parties (the </w:t>
      </w:r>
      <w:r>
        <w:rPr>
          <w:rFonts w:ascii="Times New Roman" w:hAnsi="Times New Roman"/>
          <w:sz w:val="20"/>
          <w:u w:val="single"/>
        </w:rPr>
        <w:t>5th Amendment Effective Date</w:t>
      </w:r>
      <w:r>
        <w:rPr>
          <w:rFonts w:ascii="Times New Roman" w:hAnsi="Times New Roman"/>
          <w:sz w:val="20"/>
        </w:rPr>
        <w:t xml:space="preserve">), by and between </w:t>
      </w:r>
      <w:r>
        <w:rPr>
          <w:rFonts w:ascii="Times New Roman" w:hAnsi="Times New Roman"/>
          <w:b/>
          <w:sz w:val="20"/>
        </w:rPr>
        <w:t>JANSSEN PHARMACEUTICA NV</w:t>
      </w:r>
      <w:r>
        <w:rPr>
          <w:rFonts w:ascii="Times New Roman" w:hAnsi="Times New Roman"/>
          <w:sz w:val="20"/>
        </w:rPr>
        <w:t xml:space="preserve"> (</w:t>
      </w:r>
      <w:r>
        <w:rPr>
          <w:rFonts w:ascii="Times New Roman" w:hAnsi="Times New Roman"/>
          <w:sz w:val="20"/>
          <w:u w:val="single"/>
        </w:rPr>
        <w:t>Janssen</w:t>
      </w:r>
      <w:r>
        <w:rPr>
          <w:rFonts w:ascii="Times New Roman" w:hAnsi="Times New Roman"/>
          <w:sz w:val="20"/>
        </w:rPr>
        <w:t>) and Rapport Therapeutics, Inc., formerly known as Precision Neuroscience Newco, Inc. (</w:t>
      </w:r>
      <w:r>
        <w:rPr>
          <w:rFonts w:ascii="Times New Roman" w:hAnsi="Times New Roman"/>
          <w:sz w:val="20"/>
          <w:u w:val="single"/>
        </w:rPr>
        <w:t>Licensee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Precision Neuroscience Newco, Inc. entered into that certain Option and License Agreement dated August 9, 2022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Precision Neuroscience Newco, Inc. changed its name to Rapport Therapeutics, Inc. on October 7, 2022;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1 to Option and License Agreement dated March 16,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2 to Option and License Agreement dated April 18,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3 to Option and License Agreement dated May 2,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amended the Agreement in an Amendment No. 4 to Option and License Agreement dated October 2,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Janssen and Licensee desire to further amend the Agreement as described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exchange for good and valuable consideration, the sufficiency and receipt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Schedule 3.1.1.1</w:t>
      </w:r>
      <w:r>
        <w:rPr>
          <w:rFonts w:ascii="Times New Roman" w:hAnsi="Times New Roman"/>
          <w:sz w:val="20"/>
        </w:rPr>
        <w:t xml:space="preserve">. As of the 5th Amendment Effective Date, </w:t>
      </w:r>
      <w:r>
        <w:rPr>
          <w:rFonts w:ascii="Times New Roman" w:hAnsi="Times New Roman"/>
          <w:sz w:val="20"/>
          <w:u w:val="single"/>
        </w:rPr>
        <w:t>Schedule 3.1.1.1</w:t>
      </w:r>
      <w:r>
        <w:rPr>
          <w:rFonts w:ascii="Times New Roman" w:hAnsi="Times New Roman"/>
          <w:sz w:val="20"/>
        </w:rPr>
        <w:t xml:space="preserve"> of the Agreement is hereby deleted in its entirety and replaced with Schedule 3.1.1.1 as attached to this Amendment. The Parties agree that Janssen has met the timing obligations for transfer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Reaffirmation of Agreement.</w:t>
      </w:r>
      <w:r>
        <w:rPr>
          <w:rFonts w:ascii="Times New Roman" w:hAnsi="Times New Roman"/>
          <w:sz w:val="20"/>
        </w:rPr>
        <w:t xml:space="preserve"> Except as expressly set forth herein, the Agreement is not amended, modified or affected by this Amendment, and the Agreement and the obligations of the parties thereunder are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Definitions</w:t>
      </w:r>
      <w:r>
        <w:rPr>
          <w:rFonts w:ascii="Times New Roman" w:hAnsi="Times New Roman"/>
          <w:b/>
          <w:sz w:val="20"/>
        </w:rPr>
        <w:t>.</w:t>
      </w:r>
      <w:r>
        <w:rPr>
          <w:rFonts w:ascii="Times New Roman" w:hAnsi="Times New Roman"/>
          <w:sz w:val="20"/>
        </w:rPr>
        <w:t xml:space="preserve"> Except as specifically defined herein, all capitalized terms used in this Amendment shall have the meaning defined in the Agreement. If any provisions of this Amendment and the Agreement conflict, the provisions of this Amendment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Counterparts.</w:t>
      </w:r>
      <w:r>
        <w:rPr>
          <w:rFonts w:ascii="Times New Roman" w:hAnsi="Times New Roman"/>
          <w:sz w:val="20"/>
        </w:rPr>
        <w:t xml:space="preserve"> This Amendment may be executed in one or more counterparts, each of which shall constitute an original but all of which shall be but one and the same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Amendment to be executed by their duly authorized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
        <w:gridCol w:w="127"/>
        <w:gridCol w:w="2637"/>
        <w:gridCol w:w="127"/>
        <w:gridCol w:w="2447"/>
        <w:gridCol w:w="127"/>
        <w:gridCol w:w="609"/>
        <w:gridCol w:w="127"/>
        <w:gridCol w:w="655"/>
        <w:gridCol w:w="127"/>
        <w:gridCol w:w="2589"/>
      </w:tblGrid>
      <w:tr>
        <w:trPr/>
        <w:tc>
          <w:tcPr>
            <w:tcW w:w="6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Pr>
          <w:p>
            <w:pPr>
              <w:pStyle w:val="TableContents"/>
              <w:bidi w:val="0"/>
              <w:spacing w:before="0" w:after="283"/>
              <w:jc w:val="left"/>
              <w:rPr/>
            </w:pPr>
            <w:r>
              <w:rPr/>
              <w:t>Janssen</w:t>
            </w:r>
          </w:p>
        </w:tc>
        <w:tc>
          <w:tcPr>
            <w:tcW w:w="127" w:type="dxa"/>
            <w:tcBorders/>
            <w:vAlign w:val="bottom"/>
          </w:tcPr>
          <w:p>
            <w:pPr>
              <w:pStyle w:val="TableContents"/>
              <w:bidi w:val="0"/>
              <w:spacing w:before="0" w:after="283"/>
              <w:jc w:val="left"/>
              <w:rPr/>
            </w:pPr>
            <w:r>
              <w:rPr/>
              <w:t>  </w:t>
            </w:r>
          </w:p>
        </w:tc>
        <w:tc>
          <w:tcPr>
            <w:tcW w:w="244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371" w:type="dxa"/>
            <w:gridSpan w:val="3"/>
            <w:tcBorders/>
          </w:tcPr>
          <w:p>
            <w:pPr>
              <w:pStyle w:val="TableContents"/>
              <w:bidi w:val="0"/>
              <w:spacing w:before="0" w:after="283"/>
              <w:jc w:val="left"/>
              <w:rPr/>
            </w:pPr>
            <w:r>
              <w:rPr/>
              <w:t>Licensee</w:t>
            </w:r>
          </w:p>
        </w:tc>
      </w:tr>
      <w:tr>
        <w:trPr>
          <w:trHeight w:val="240" w:hRule="atLeast"/>
        </w:trPr>
        <w:tc>
          <w:tcPr>
            <w:tcW w:w="5971" w:type="dxa"/>
            <w:gridSpan w:val="5"/>
            <w:tcBorders/>
            <w:vAlign w:val="center"/>
          </w:tcPr>
          <w:p>
            <w:pPr>
              <w:pStyle w:val="TableContents"/>
              <w:bidi w:val="0"/>
              <w:spacing w:before="0" w:after="283"/>
              <w:jc w:val="left"/>
              <w:rPr>
                <w:sz w:val="4"/>
                <w:szCs w:val="4"/>
              </w:rPr>
            </w:pPr>
            <w:r>
              <w:rPr>
                <w:sz w:val="4"/>
                <w:szCs w:val="4"/>
              </w:rPr>
            </w:r>
          </w:p>
        </w:tc>
        <w:tc>
          <w:tcPr>
            <w:tcW w:w="736" w:type="dxa"/>
            <w:gridSpan w:val="2"/>
            <w:tcBorders/>
            <w:vAlign w:val="center"/>
          </w:tcPr>
          <w:p>
            <w:pPr>
              <w:pStyle w:val="TableContents"/>
              <w:bidi w:val="0"/>
              <w:spacing w:before="0" w:after="283"/>
              <w:jc w:val="left"/>
              <w:rPr>
                <w:sz w:val="4"/>
                <w:szCs w:val="4"/>
              </w:rPr>
            </w:pPr>
            <w:r>
              <w:rPr>
                <w:sz w:val="4"/>
                <w:szCs w:val="4"/>
              </w:rPr>
            </w:r>
          </w:p>
        </w:tc>
        <w:tc>
          <w:tcPr>
            <w:tcW w:w="3498" w:type="dxa"/>
            <w:gridSpan w:val="4"/>
            <w:tcBorders/>
            <w:vAlign w:val="center"/>
          </w:tcPr>
          <w:p>
            <w:pPr>
              <w:pStyle w:val="TableContents"/>
              <w:bidi w:val="0"/>
              <w:spacing w:before="0" w:after="283"/>
              <w:jc w:val="left"/>
              <w:rPr>
                <w:sz w:val="4"/>
                <w:szCs w:val="4"/>
              </w:rPr>
            </w:pPr>
            <w:r>
              <w:rPr>
                <w:sz w:val="4"/>
                <w:szCs w:val="4"/>
              </w:rPr>
            </w:r>
          </w:p>
        </w:tc>
      </w:tr>
      <w:tr>
        <w:trPr/>
        <w:tc>
          <w:tcPr>
            <w:tcW w:w="5971" w:type="dxa"/>
            <w:gridSpan w:val="5"/>
            <w:tcBorders/>
          </w:tcPr>
          <w:p>
            <w:pPr>
              <w:pStyle w:val="TableContents"/>
              <w:bidi w:val="0"/>
              <w:spacing w:before="0" w:after="283"/>
              <w:jc w:val="left"/>
              <w:rPr>
                <w:b/>
              </w:rPr>
            </w:pPr>
            <w:r>
              <w:rPr>
                <w:b/>
              </w:rPr>
              <w:t>JANSSEN PHARMACEUTICA NV</w:t>
            </w:r>
          </w:p>
        </w:tc>
        <w:tc>
          <w:tcPr>
            <w:tcW w:w="127"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371" w:type="dxa"/>
            <w:gridSpan w:val="3"/>
            <w:tcBorders/>
          </w:tcPr>
          <w:p>
            <w:pPr>
              <w:pStyle w:val="TableContents"/>
              <w:bidi w:val="0"/>
              <w:spacing w:before="0" w:after="283"/>
              <w:jc w:val="left"/>
              <w:rPr>
                <w:b/>
              </w:rPr>
            </w:pPr>
            <w:r>
              <w:rPr>
                <w:b/>
              </w:rPr>
              <w:t>RAPPORT THERAPEUTICS, INC.</w:t>
            </w:r>
          </w:p>
        </w:tc>
      </w:tr>
      <w:tr>
        <w:trPr>
          <w:trHeight w:val="240" w:hRule="atLeast"/>
        </w:trPr>
        <w:tc>
          <w:tcPr>
            <w:tcW w:w="633" w:type="dxa"/>
            <w:tcBorders/>
            <w:vAlign w:val="center"/>
          </w:tcPr>
          <w:p>
            <w:pPr>
              <w:pStyle w:val="TableContents"/>
              <w:bidi w:val="0"/>
              <w:spacing w:before="0" w:after="283"/>
              <w:jc w:val="left"/>
              <w:rPr>
                <w:sz w:val="4"/>
                <w:szCs w:val="4"/>
              </w:rPr>
            </w:pPr>
            <w:r>
              <w:rPr>
                <w:sz w:val="4"/>
                <w:szCs w:val="4"/>
              </w:rPr>
            </w:r>
          </w:p>
        </w:tc>
        <w:tc>
          <w:tcPr>
            <w:tcW w:w="2764" w:type="dxa"/>
            <w:gridSpan w:val="2"/>
            <w:tcBorders/>
            <w:vAlign w:val="center"/>
          </w:tcPr>
          <w:p>
            <w:pPr>
              <w:pStyle w:val="TableContents"/>
              <w:bidi w:val="0"/>
              <w:spacing w:before="0" w:after="283"/>
              <w:jc w:val="left"/>
              <w:rPr>
                <w:sz w:val="4"/>
                <w:szCs w:val="4"/>
              </w:rPr>
            </w:pPr>
            <w:r>
              <w:rPr>
                <w:sz w:val="4"/>
                <w:szCs w:val="4"/>
              </w:rPr>
            </w:r>
          </w:p>
        </w:tc>
        <w:tc>
          <w:tcPr>
            <w:tcW w:w="2574" w:type="dxa"/>
            <w:gridSpan w:val="2"/>
            <w:tcBorders/>
            <w:vAlign w:val="center"/>
          </w:tcPr>
          <w:p>
            <w:pPr>
              <w:pStyle w:val="TableContents"/>
              <w:bidi w:val="0"/>
              <w:spacing w:before="0" w:after="283"/>
              <w:jc w:val="left"/>
              <w:rPr>
                <w:sz w:val="4"/>
                <w:szCs w:val="4"/>
              </w:rPr>
            </w:pPr>
            <w:r>
              <w:rPr>
                <w:sz w:val="4"/>
                <w:szCs w:val="4"/>
              </w:rPr>
            </w:r>
          </w:p>
        </w:tc>
        <w:tc>
          <w:tcPr>
            <w:tcW w:w="736" w:type="dxa"/>
            <w:gridSpan w:val="2"/>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before="0" w:after="283"/>
              <w:jc w:val="left"/>
              <w:rPr>
                <w:sz w:val="4"/>
                <w:szCs w:val="4"/>
              </w:rPr>
            </w:pPr>
            <w:r>
              <w:rPr>
                <w:sz w:val="4"/>
                <w:szCs w:val="4"/>
              </w:rPr>
            </w:r>
          </w:p>
        </w:tc>
        <w:tc>
          <w:tcPr>
            <w:tcW w:w="2716" w:type="dxa"/>
            <w:gridSpan w:val="2"/>
            <w:tcBorders/>
            <w:vAlign w:val="center"/>
          </w:tcPr>
          <w:p>
            <w:pPr>
              <w:pStyle w:val="TableContents"/>
              <w:bidi w:val="0"/>
              <w:spacing w:before="0" w:after="283"/>
              <w:jc w:val="left"/>
              <w:rPr>
                <w:sz w:val="4"/>
                <w:szCs w:val="4"/>
              </w:rPr>
            </w:pPr>
            <w:r>
              <w:rPr>
                <w:sz w:val="4"/>
                <w:szCs w:val="4"/>
              </w:rPr>
            </w:r>
          </w:p>
        </w:tc>
      </w:tr>
      <w:tr>
        <w:trPr/>
        <w:tc>
          <w:tcPr>
            <w:tcW w:w="633"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7" w:type="dxa"/>
            <w:tcBorders>
              <w:bottom w:val="single" w:sz="2" w:space="0" w:color="000000"/>
            </w:tcBorders>
            <w:tcMar>
              <w:bottom w:w="28" w:type="dxa"/>
            </w:tcMar>
          </w:tcPr>
          <w:p>
            <w:pPr>
              <w:pStyle w:val="TableContents"/>
              <w:bidi w:val="0"/>
              <w:spacing w:before="0" w:after="283"/>
              <w:jc w:val="left"/>
              <w:rPr/>
            </w:pPr>
            <w:r>
              <w:rPr/>
              <w:t>/s/ Peter Janssens</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447" w:type="dxa"/>
            <w:tcBorders>
              <w:bottom w:val="single" w:sz="2" w:space="0" w:color="000000"/>
            </w:tcBorders>
            <w:tcMar>
              <w:bottom w:w="28" w:type="dxa"/>
            </w:tcMar>
          </w:tcPr>
          <w:p>
            <w:pPr>
              <w:pStyle w:val="TableContents"/>
              <w:bidi w:val="0"/>
              <w:spacing w:before="0" w:after="283"/>
              <w:jc w:val="left"/>
              <w:rPr/>
            </w:pPr>
            <w:r>
              <w:rPr/>
              <w:t>/s/ Jan Van der Goten</w:t>
            </w:r>
          </w:p>
        </w:tc>
        <w:tc>
          <w:tcPr>
            <w:tcW w:w="127"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589" w:type="dxa"/>
            <w:tcBorders>
              <w:bottom w:val="single" w:sz="2" w:space="0" w:color="000000"/>
            </w:tcBorders>
            <w:tcMar>
              <w:bottom w:w="28" w:type="dxa"/>
            </w:tcMar>
          </w:tcPr>
          <w:p>
            <w:pPr>
              <w:pStyle w:val="TableContents"/>
              <w:bidi w:val="0"/>
              <w:spacing w:before="0" w:after="283"/>
              <w:jc w:val="left"/>
              <w:rPr/>
            </w:pPr>
            <w:r>
              <w:rPr/>
              <w:t>/s/ Cheryl Gault</w:t>
            </w:r>
          </w:p>
        </w:tc>
      </w:tr>
      <w:tr>
        <w:trPr/>
        <w:tc>
          <w:tcPr>
            <w:tcW w:w="633"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7" w:type="dxa"/>
            <w:tcBorders/>
          </w:tcPr>
          <w:p>
            <w:pPr>
              <w:pStyle w:val="TableContents"/>
              <w:bidi w:val="0"/>
              <w:spacing w:before="0" w:after="283"/>
              <w:jc w:val="left"/>
              <w:rPr/>
            </w:pPr>
            <w:r>
              <w:rPr/>
              <w:t>Peter Janssen</w:t>
            </w:r>
          </w:p>
        </w:tc>
        <w:tc>
          <w:tcPr>
            <w:tcW w:w="127" w:type="dxa"/>
            <w:tcBorders/>
            <w:vAlign w:val="bottom"/>
          </w:tcPr>
          <w:p>
            <w:pPr>
              <w:pStyle w:val="TableContents"/>
              <w:bidi w:val="0"/>
              <w:spacing w:before="0" w:after="283"/>
              <w:jc w:val="left"/>
              <w:rPr/>
            </w:pPr>
            <w:r>
              <w:rPr/>
              <w:t>  </w:t>
            </w:r>
          </w:p>
        </w:tc>
        <w:tc>
          <w:tcPr>
            <w:tcW w:w="2447" w:type="dxa"/>
            <w:tcBorders/>
          </w:tcPr>
          <w:p>
            <w:pPr>
              <w:pStyle w:val="TableContents"/>
              <w:bidi w:val="0"/>
              <w:spacing w:before="0" w:after="283"/>
              <w:jc w:val="left"/>
              <w:rPr/>
            </w:pPr>
            <w:r>
              <w:rPr/>
              <w:t>Jan Van der Goten</w:t>
            </w:r>
          </w:p>
        </w:tc>
        <w:tc>
          <w:tcPr>
            <w:tcW w:w="127"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283"/>
              <w:jc w:val="left"/>
              <w:rPr/>
            </w:pPr>
            <w:r>
              <w:rPr/>
              <w:t>Cheryl Gault</w:t>
            </w:r>
          </w:p>
        </w:tc>
      </w:tr>
      <w:tr>
        <w:trPr/>
        <w:tc>
          <w:tcPr>
            <w:tcW w:w="633"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7" w:type="dxa"/>
            <w:tcBorders/>
          </w:tcPr>
          <w:p>
            <w:pPr>
              <w:pStyle w:val="TableContents"/>
              <w:bidi w:val="0"/>
              <w:spacing w:before="0" w:after="283"/>
              <w:jc w:val="left"/>
              <w:rPr/>
            </w:pPr>
            <w:r>
              <w:rPr/>
              <w:t>Members of Board of Directors</w:t>
            </w:r>
          </w:p>
        </w:tc>
        <w:tc>
          <w:tcPr>
            <w:tcW w:w="127" w:type="dxa"/>
            <w:tcBorders/>
            <w:vAlign w:val="bottom"/>
          </w:tcPr>
          <w:p>
            <w:pPr>
              <w:pStyle w:val="TableContents"/>
              <w:bidi w:val="0"/>
              <w:spacing w:before="0" w:after="283"/>
              <w:jc w:val="left"/>
              <w:rPr/>
            </w:pPr>
            <w:r>
              <w:rPr/>
              <w:t>  </w:t>
            </w:r>
          </w:p>
        </w:tc>
        <w:tc>
          <w:tcPr>
            <w:tcW w:w="244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283"/>
              <w:jc w:val="left"/>
              <w:rPr/>
            </w:pPr>
            <w:r>
              <w:rPr/>
              <w:t>Chief Operating Officer</w:t>
            </w:r>
          </w:p>
        </w:tc>
      </w:tr>
      <w:tr>
        <w:trPr/>
        <w:tc>
          <w:tcPr>
            <w:tcW w:w="633" w:type="dxa"/>
            <w:tcBorders/>
          </w:tcPr>
          <w:p>
            <w:pPr>
              <w:pStyle w:val="TableContents"/>
              <w:bidi w:val="0"/>
              <w:spacing w:before="0" w:after="283"/>
              <w:jc w:val="left"/>
              <w:rPr/>
            </w:pPr>
            <w:r>
              <w:rPr/>
              <w:t>Date:</w:t>
            </w:r>
          </w:p>
        </w:tc>
        <w:tc>
          <w:tcPr>
            <w:tcW w:w="127" w:type="dxa"/>
            <w:tcBorders/>
            <w:vAlign w:val="bottom"/>
          </w:tcPr>
          <w:p>
            <w:pPr>
              <w:pStyle w:val="TableContents"/>
              <w:bidi w:val="0"/>
              <w:spacing w:before="0" w:after="283"/>
              <w:jc w:val="left"/>
              <w:rPr/>
            </w:pPr>
            <w:r>
              <w:rPr/>
              <w:t>  </w:t>
            </w:r>
          </w:p>
        </w:tc>
        <w:tc>
          <w:tcPr>
            <w:tcW w:w="2637" w:type="dxa"/>
            <w:tcBorders/>
          </w:tcPr>
          <w:p>
            <w:pPr>
              <w:pStyle w:val="TableContents"/>
              <w:bidi w:val="0"/>
              <w:spacing w:before="0" w:after="283"/>
              <w:jc w:val="left"/>
              <w:rPr/>
            </w:pPr>
            <w:r>
              <w:rPr/>
              <w:t>April 9, 2024</w:t>
            </w:r>
          </w:p>
        </w:tc>
        <w:tc>
          <w:tcPr>
            <w:tcW w:w="127" w:type="dxa"/>
            <w:tcBorders/>
            <w:vAlign w:val="bottom"/>
          </w:tcPr>
          <w:p>
            <w:pPr>
              <w:pStyle w:val="TableContents"/>
              <w:bidi w:val="0"/>
              <w:spacing w:before="0" w:after="283"/>
              <w:jc w:val="left"/>
              <w:rPr/>
            </w:pPr>
            <w:r>
              <w:rPr/>
              <w:t>  </w:t>
            </w:r>
          </w:p>
        </w:tc>
        <w:tc>
          <w:tcPr>
            <w:tcW w:w="244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55" w:type="dxa"/>
            <w:tcBorders/>
          </w:tcPr>
          <w:p>
            <w:pPr>
              <w:pStyle w:val="TableContents"/>
              <w:bidi w:val="0"/>
              <w:spacing w:before="0" w:after="283"/>
              <w:jc w:val="left"/>
              <w:rPr/>
            </w:pPr>
            <w:r>
              <w:rPr/>
              <w:t>Date:</w:t>
            </w:r>
          </w:p>
        </w:tc>
        <w:tc>
          <w:tcPr>
            <w:tcW w:w="127"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283"/>
              <w:jc w:val="left"/>
              <w:rPr/>
            </w:pPr>
            <w:r>
              <w:rPr/>
              <w:t>March 28, 2024</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3.1.1.1 </w:t>
      </w:r>
    </w:p>
    <w:p>
      <w:pPr>
        <w:pStyle w:val="TextBody"/>
        <w:bidi w:val="0"/>
        <w:spacing w:before="12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50" w:name="d803738dex1011.htm"/>
      <w:bookmarkStart w:id="51" w:name="ksd803738dex1011"/>
      <w:bookmarkEnd w:id="50"/>
      <w:bookmarkEnd w:id="51"/>
      <w:r>
        <w:rPr>
          <w:rFonts w:ascii="Times New Roman" w:hAnsi="Times New Roman"/>
          <w:b/>
          <w:sz w:val="20"/>
        </w:rPr>
        <w:t xml:space="preserve">Exhibit 10.11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MASTER SERVICES AGREEMENT </w:t>
      </w:r>
    </w:p>
    <w:p>
      <w:pPr>
        <w:pStyle w:val="TextBody"/>
        <w:bidi w:val="0"/>
        <w:spacing w:before="240" w:after="0"/>
        <w:jc w:val="left"/>
        <w:rPr>
          <w:rFonts w:ascii="Times New Roman" w:hAnsi="Times New Roman"/>
          <w:sz w:val="20"/>
        </w:rPr>
      </w:pPr>
      <w:r>
        <w:rPr>
          <w:rFonts w:ascii="Times New Roman" w:hAnsi="Times New Roman"/>
          <w:sz w:val="20"/>
        </w:rPr>
        <w:t>This Master Services Agreement (together with any SOWs, the </w:t>
      </w:r>
      <w:r>
        <w:rPr>
          <w:rFonts w:ascii="Times New Roman" w:hAnsi="Times New Roman"/>
          <w:b/>
          <w:sz w:val="20"/>
        </w:rPr>
        <w:t>Agreement</w:t>
      </w:r>
      <w:r>
        <w:rPr>
          <w:rFonts w:ascii="Times New Roman" w:hAnsi="Times New Roman"/>
          <w:sz w:val="20"/>
        </w:rPr>
        <w:t>) is dated as of November 28, 2023 (the </w:t>
      </w:r>
      <w:r>
        <w:rPr>
          <w:rFonts w:ascii="Times New Roman" w:hAnsi="Times New Roman"/>
          <w:b/>
          <w:sz w:val="20"/>
        </w:rPr>
        <w:t>Effective Date</w:t>
      </w:r>
      <w:r>
        <w:rPr>
          <w:rFonts w:ascii="Times New Roman" w:hAnsi="Times New Roman"/>
          <w:sz w:val="20"/>
        </w:rPr>
        <w:t>) and is by and between Rapport Therapeutics, Inc., with a principal business address at 1325 Boylston Street, Suite 401, Boston, MA 02215 USA (</w:t>
      </w:r>
      <w:r>
        <w:rPr>
          <w:rFonts w:ascii="Times New Roman" w:hAnsi="Times New Roman"/>
          <w:b/>
          <w:sz w:val="20"/>
        </w:rPr>
        <w:t>Rapport</w:t>
      </w:r>
      <w:r>
        <w:rPr>
          <w:rFonts w:ascii="Times New Roman" w:hAnsi="Times New Roman"/>
          <w:sz w:val="20"/>
        </w:rPr>
        <w:t>) and NeuroPace Inc., with a principal place of business at 455 N. Bernardo Avenue, Mountain View, CA. 94043 (</w:t>
      </w:r>
      <w:r>
        <w:rPr>
          <w:rFonts w:ascii="Times New Roman" w:hAnsi="Times New Roman"/>
          <w:b/>
          <w:sz w:val="20"/>
        </w:rPr>
        <w:t>NeuroPace</w:t>
      </w:r>
      <w:r>
        <w:rPr>
          <w:rFonts w:ascii="Times New Roman" w:hAnsi="Times New Roman"/>
          <w:sz w:val="20"/>
        </w:rPr>
        <w:t>). Rapport and NeuroPace may be referred to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Rapport is engaged in the research, development and commercialization of pharmaceutical products; </w:t>
      </w:r>
    </w:p>
    <w:p>
      <w:pPr>
        <w:pStyle w:val="TextBody"/>
        <w:bidi w:val="0"/>
        <w:spacing w:before="240" w:after="0"/>
        <w:jc w:val="left"/>
        <w:rPr>
          <w:rFonts w:ascii="Times New Roman" w:hAnsi="Times New Roman"/>
          <w:sz w:val="20"/>
        </w:rPr>
      </w:pPr>
      <w:r>
        <w:rPr>
          <w:rFonts w:ascii="Times New Roman" w:hAnsi="Times New Roman"/>
          <w:sz w:val="20"/>
        </w:rPr>
        <w:t>WHEREAS, NeuroPace manufacturers and distributes the RNS® System (</w:t>
      </w:r>
      <w:r>
        <w:rPr>
          <w:rFonts w:ascii="Times New Roman" w:hAnsi="Times New Roman"/>
          <w:b/>
          <w:sz w:val="20"/>
        </w:rPr>
        <w:t>RNS System</w:t>
      </w:r>
      <w:r>
        <w:rPr>
          <w:rFonts w:ascii="Times New Roman" w:hAnsi="Times New Roman"/>
          <w:sz w:val="20"/>
        </w:rPr>
        <w:t xml:space="preserve">), the only commercially available closed-loop system for the treatment of drug-resistant focal epilepsy; </w:t>
      </w:r>
    </w:p>
    <w:p>
      <w:pPr>
        <w:pStyle w:val="TextBody"/>
        <w:bidi w:val="0"/>
        <w:spacing w:before="240" w:after="0"/>
        <w:jc w:val="left"/>
        <w:rPr>
          <w:rFonts w:ascii="Times New Roman" w:hAnsi="Times New Roman"/>
          <w:sz w:val="20"/>
        </w:rPr>
      </w:pPr>
      <w:r>
        <w:rPr>
          <w:rFonts w:ascii="Times New Roman" w:hAnsi="Times New Roman"/>
          <w:sz w:val="20"/>
        </w:rPr>
        <w:t>WHEREAS, the RNS System continuously monitors and records brain activity, including detection of baseline activity and abnormal activity related to clinical seizures (</w:t>
      </w:r>
      <w:r>
        <w:rPr>
          <w:rFonts w:ascii="Times New Roman" w:hAnsi="Times New Roman"/>
          <w:b/>
          <w:sz w:val="20"/>
        </w:rPr>
        <w:t>RNS Data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the Parties desire that NeuroPace provide certain services with respect to the RNS Data (</w:t>
      </w:r>
      <w:r>
        <w:rPr>
          <w:rFonts w:ascii="Times New Roman" w:hAnsi="Times New Roman"/>
          <w:b/>
          <w:sz w:val="20"/>
        </w:rPr>
        <w:t>Services</w:t>
      </w:r>
      <w:r>
        <w:rPr>
          <w:rFonts w:ascii="Times New Roman" w:hAnsi="Times New Roman"/>
          <w:sz w:val="20"/>
        </w:rPr>
        <w:t xml:space="preserve">) to Rapport from time to time, on a project-by-project basis,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hereinafter set forth,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Statement of Work (SOW)</w:t>
            </w:r>
            <w:r>
              <w:rPr>
                <w:rFonts w:ascii="Times New Roman" w:hAnsi="Times New Roman"/>
                <w:sz w:val="20"/>
              </w:rPr>
              <w:t xml:space="preserve">. From time to time, Rapport may desire NeuroPace to provide certain Services. This Agreement sets forth the general terms and conditions under which Rapport will engage NeuroPace and under which NeuroPace will provide such services. NeuroPace and Rapport shall execute an SOW before any specific Services are provided. Each SOW will be in substantially the same format as </w:t>
            </w:r>
            <w:r>
              <w:rPr>
                <w:rFonts w:ascii="Times New Roman" w:hAnsi="Times New Roman"/>
                <w:sz w:val="20"/>
                <w:u w:val="single"/>
              </w:rPr>
              <w:t>Exhibit A</w:t>
            </w:r>
            <w:r>
              <w:rPr>
                <w:rFonts w:ascii="Times New Roman" w:hAnsi="Times New Roman"/>
                <w:sz w:val="20"/>
              </w:rPr>
              <w:t xml:space="preserve"> hereto, and shall include, as appropriate, the scope of work, specifications, timeline, budget and payment schedule, and Deliverables (as defined below in Section 2(b)). Each SOW shall automatically incorporate the terms and conditions of this Agreement and once signed by a duly authorized representative of each Party, shall become a part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Provision of Services</w:t>
            </w:r>
            <w:r>
              <w:rPr>
                <w:rFonts w:ascii="Times New Roman" w:hAnsi="Times New Roman"/>
                <w:sz w:val="20"/>
              </w:rPr>
              <w:t xml:space="preserve">. NeuroPace agrees to provide all Services identified in any SOW in accordance with (i) the applicable industry standards and practices for the performance of similar services and (ii) the requirements of each SOW. For each SOW, NeuroPace will designate a project leader who will be available for communications with Rapport regarding the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Conflict in Terms</w:t>
            </w:r>
            <w:r>
              <w:rPr>
                <w:rFonts w:ascii="Times New Roman" w:hAnsi="Times New Roman"/>
                <w:sz w:val="20"/>
              </w:rPr>
              <w:t xml:space="preserve">. The terms in an SOW will only govern the Services described in that SOW. If there is a contradiction between a provision of this Agreement and an SOW, then the provision in an SOW will take precedence unless the Agreement specifically states that it takes precedence over the SOW with respect to the provision. Neither Rapport nor NeuroPace is obligated to execute any SOWs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Subcontracting of Services</w:t>
            </w:r>
            <w:r>
              <w:rPr>
                <w:rFonts w:ascii="Times New Roman" w:hAnsi="Times New Roman"/>
                <w:sz w:val="20"/>
              </w:rPr>
              <w:t>. NeuroPace may subcontract the performance of certain of its obligations under a specific SOW to a third party (each a </w:t>
            </w:r>
            <w:r>
              <w:rPr>
                <w:rFonts w:ascii="Times New Roman" w:hAnsi="Times New Roman"/>
                <w:b/>
                <w:sz w:val="20"/>
              </w:rPr>
              <w:t>Subcontractor</w:t>
            </w:r>
            <w:r>
              <w:rPr>
                <w:rFonts w:ascii="Times New Roman" w:hAnsi="Times New Roman"/>
                <w:sz w:val="20"/>
              </w:rPr>
              <w:t xml:space="preserve">), provided that (a) each Subcontractor performs such Services in a manner consistent with the terms and conditions of this Agreement, and (b) NeuroPace remains liable for the performance of each Subcontractor. Rapport may subcontract the performance of certain of its obligations under a specific SOW to a Subcontractor provided that (a) each Subcontractor performs such Services in a manner consistent with the terms and conditions of this Agreement, including confidentiality obligations as set forth herein, and (b) Rapport remains liable for the performance of each Subcontractor.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Exclusivity</w:t>
            </w:r>
            <w:r>
              <w:rPr>
                <w:rFonts w:ascii="Times New Roman" w:hAnsi="Times New Roman"/>
                <w:sz w:val="20"/>
              </w:rPr>
              <w:t xml:space="preserve">. At all times while providing services under this agreement and for a [***] months after final Clinical Study Report, NeuroPace shall not perform any services that are the same as the Services described herein for any business that directly competes with Rapport (Rapport Direct Competitors). Rapport Direct Competitors are those companies that are developing GAMA 8 Receptor Associated Proteins (RAP) compounds. For avoidance of doubt, NeuroPace shall be free at any time to provide services similar to the Services described herein for any other company not developing RAP compounds.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Budget and Payment Schedule; Invoices</w:t>
            </w:r>
            <w:r>
              <w:rPr>
                <w:rFonts w:ascii="Times New Roman" w:hAnsi="Times New Roman"/>
                <w:sz w:val="20"/>
              </w:rPr>
              <w:t xml:space="preserve">. As full consideration for the Services provided under an SOW, Rapport shall pay NeuroPace in accordance with the budget and payment schedule set forth in the applicable SOW. Prior to payment by Rapport of all or any portion of the Service Fees, NeuroPace must submit an invoice to Rapport describing the Services performed under the relevant SOW, in sufficient detail, which shall reference the applicable purchase order number provided to NeuroPace by Rapport and the SOW to which it pertains. NeuroPace shall invoice Rapport at the following address: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Rapport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Attention: Accounts Payable </w:t>
      </w:r>
    </w:p>
    <w:p>
      <w:pPr>
        <w:pStyle w:val="TextBody"/>
        <w:bidi w:val="0"/>
        <w:spacing w:before="0" w:after="0"/>
        <w:jc w:val="left"/>
        <w:rPr>
          <w:rFonts w:ascii="Times New Roman" w:hAnsi="Times New Roman"/>
          <w:sz w:val="20"/>
        </w:rPr>
      </w:pPr>
      <w:r>
        <w:rPr>
          <w:rFonts w:ascii="Times New Roman" w:hAnsi="Times New Roman"/>
          <w:sz w:val="20"/>
        </w:rPr>
        <w:t xml:space="preserve">1325 Boylston Street, Suite 401 </w:t>
      </w:r>
    </w:p>
    <w:p>
      <w:pPr>
        <w:pStyle w:val="TextBody"/>
        <w:bidi w:val="0"/>
        <w:spacing w:before="0" w:after="0"/>
        <w:jc w:val="left"/>
        <w:rPr>
          <w:rFonts w:ascii="Times New Roman" w:hAnsi="Times New Roman"/>
          <w:sz w:val="20"/>
        </w:rPr>
      </w:pPr>
      <w:r>
        <w:rPr>
          <w:rFonts w:ascii="Times New Roman" w:hAnsi="Times New Roman"/>
          <w:sz w:val="20"/>
        </w:rPr>
        <w:t xml:space="preserve">Boston, MA 02215 USA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Payment; Disputed Payments</w:t>
            </w:r>
            <w:r>
              <w:rPr>
                <w:rFonts w:ascii="Times New Roman" w:hAnsi="Times New Roman"/>
                <w:sz w:val="20"/>
              </w:rPr>
              <w:t xml:space="preserve">. As applicable, the SOW sets forth the types of payments that Rapport shall make to NeuroPace, which may include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NeuroPace Milestone Payments</w:t>
            </w:r>
            <w:r>
              <w:rPr>
                <w:rFonts w:ascii="Times New Roman" w:hAnsi="Times New Roman"/>
                <w:sz w:val="20"/>
              </w:rPr>
              <w:t>: These are key deliverables required from NeuroPace to advance the SOW forward. The parties agree that delivery of each Milestone work product (</w:t>
            </w:r>
            <w:r>
              <w:rPr>
                <w:rFonts w:ascii="Times New Roman" w:hAnsi="Times New Roman"/>
                <w:b/>
                <w:sz w:val="20"/>
              </w:rPr>
              <w:t>Deliverable</w:t>
            </w:r>
            <w:r>
              <w:rPr>
                <w:rFonts w:ascii="Times New Roman" w:hAnsi="Times New Roman"/>
                <w:sz w:val="20"/>
              </w:rPr>
              <w:t xml:space="preserve">) represents the expected progress by NeuroPace. All NeuroPace Milestone Payments shall be due and owing to NeuroPace within [***] of the date that NeuroPace submits the specified Milestone Deliverable and associated invoice to Rapport.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Recurring Payments</w:t>
            </w:r>
            <w:r>
              <w:rPr>
                <w:rFonts w:ascii="Times New Roman" w:hAnsi="Times New Roman"/>
                <w:sz w:val="20"/>
              </w:rPr>
              <w:t xml:space="preserve">: These payments represent the ongoing effort required to sustain the SOW. These payments cover the added expectations of NeuroPace within each phase (these are in addition to the efforts required to deliver Milestone work product). All Recurring Payments shall be due and owing to NeuroPace within [***] of the date that NeuroPace submits the associated invoice to Rapport, which shall be on or around the first business day of the first month of the applicable quarter that payment is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Patient Enrollment Milestone Payments</w:t>
            </w:r>
            <w:r>
              <w:rPr>
                <w:rFonts w:ascii="Times New Roman" w:hAnsi="Times New Roman"/>
                <w:sz w:val="20"/>
              </w:rPr>
              <w:t xml:space="preserve">: These payments made to NeuroPace represent risk-sharing between NeuroPace and Rapport with respect to patient enrollment. All Patient Enrollment Milestone Payments shall be made to NeuroPace within [***] of the date Rapport notifies NeuroPace in writing of the achievement of said milestone. For avoidance of doubt, Rapport will notify NeuroPace in writing within [***] upon completion of each Patient Enrollment Milestone being met, as set forth in the SOW.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dispute regarding whether a payment is owed hereunder, senior representatives of each Party shall meet to resolve the matter in good faith. If such senior representatives are unable to resolve such matter within [***] after such matter has been referred for resolution, then either Party may seek other resolution of the matter. In the event any Services performed under this Agreement do not substantially conform in any respect, to meet the specifications agreed to in the relevant SOW 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conditions of this Agreement (</w:t>
            </w:r>
            <w:r>
              <w:rPr>
                <w:b/>
              </w:rPr>
              <w:t>Nonconforming Services</w:t>
            </w:r>
            <w:r>
              <w:rPr/>
              <w:t xml:space="preserve">), the Parties shall follow the procedure set forth in 3(b) whereby NeuroPace shall first be given a [***] to cure said Non-conforming Services to the satisfaction of Rapport. In the event there is partial cure of the Nonconforming Services, Rapport may elect to grant NeuroPace an additional [***] to cure prior to proceeding with other remedies as set forth in 3(b).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and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Term</w:t>
            </w:r>
            <w:r>
              <w:rPr>
                <w:rFonts w:ascii="Times New Roman" w:hAnsi="Times New Roman"/>
                <w:sz w:val="20"/>
              </w:rPr>
              <w:t xml:space="preserve">. This Agreement will commence on the Effective Date and will expire on the later of (i) [***] from the Effective Date or (ii) the completion of all Services under all SOWs executed prior to the third anniversary of this Agreement; unless earlier terminated in accordance with this Agreement or extended by mutual written agreement of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Termination for Material Breach</w:t>
            </w:r>
            <w:r>
              <w:rPr>
                <w:rFonts w:ascii="Times New Roman" w:hAnsi="Times New Roman"/>
                <w:sz w:val="20"/>
              </w:rPr>
              <w:t>. Either Party may terminate this Agreement or any SOW(s) for cause at any time upon [***] prior written notice to the other Party. </w:t>
            </w:r>
            <w:r>
              <w:rPr>
                <w:rFonts w:ascii="Times New Roman" w:hAnsi="Times New Roman"/>
                <w:b/>
                <w:sz w:val="20"/>
              </w:rPr>
              <w:t>Cause</w:t>
            </w:r>
            <w:r>
              <w:rPr>
                <w:rFonts w:ascii="Times New Roman" w:hAnsi="Times New Roman"/>
                <w:sz w:val="20"/>
              </w:rPr>
              <w:t> shall mean (i) a material breach by either Party of this Agreement or of a SOW where such breach, if curable, is not remedied to the other Partys reasonable satisfaction within such [***] period (</w:t>
            </w:r>
            <w:r>
              <w:rPr>
                <w:rFonts w:ascii="Times New Roman" w:hAnsi="Times New Roman"/>
                <w:b/>
                <w:sz w:val="20"/>
              </w:rPr>
              <w:t>Material Breach</w:t>
            </w:r>
            <w:r>
              <w:rPr>
                <w:rFonts w:ascii="Times New Roman" w:hAnsi="Times New Roman"/>
                <w:sz w:val="20"/>
              </w:rPr>
              <w:t xml:space="preserve">). Either Party may immediately terminate this Agreement at any time upon written notice to the other Party in the event of a Material Breach of this Agreement by the other Party which cannot be cured (e.g., breach of confidentiality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Termination Without Cause</w:t>
            </w:r>
            <w:r>
              <w:rPr>
                <w:rFonts w:ascii="Times New Roman" w:hAnsi="Times New Roman"/>
                <w:sz w:val="20"/>
              </w:rPr>
              <w:t xml:space="preserve">. Either Party may terminate this Agreement or any SOW at any time without cause upon not less than [***] prior written notice to the other Party. If NeuroPace exercises this termination without cause, then during the [***] period and through study completion, NeuroPace agrees to continue to provide all data referenced as device data, and certain derived metrics necessary for the completion of the trial [***] to Rapport for patients enrolled in study (Study Wind-down Period). During the Study Wind-down Period, Rapport shall continue to make all Recurring Payments as scheduled, including any NeuroPace Milestone Payments or Patient Enrollment Payments that may be reached during the Study Wind-down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Effect of Termination</w:t>
            </w:r>
            <w:r>
              <w:rPr>
                <w:rFonts w:ascii="Times New Roman" w:hAnsi="Times New Roman"/>
                <w:sz w:val="20"/>
              </w:rPr>
              <w:t xml:space="preserve">. Upon termination or expiration of this Agreement, neither Rapport nor NeuroPace shall have any further obligations under this Agreement, or in the case of termination or expiration of an SOW, under such SOW, except that (i) NeuroPace shall terminate all Services in progress in an orderly manner as soon as practical and in accordance with a mutually agreed upon written schedule, provide all data referenced as Device Data, and certain Derived Metrics necessary for the completion of the trial [***] </w:t>
            </w:r>
            <w:r>
              <w:rPr>
                <w:rFonts w:ascii="Times New Roman" w:hAnsi="Times New Roman"/>
                <w:b/>
                <w:sz w:val="20"/>
              </w:rPr>
              <w:t xml:space="preserve">to Rapport </w:t>
            </w:r>
            <w:r>
              <w:rPr>
                <w:rFonts w:ascii="Times New Roman" w:hAnsi="Times New Roman"/>
                <w:sz w:val="20"/>
              </w:rPr>
              <w:t xml:space="preserve">for patients enrolled in the study unless Rapport specifies in the notice of termination that Services in progress should not be completed, (ii) NeuroPace shall deliver to Rapport any Materials (as defined below in 6(b) in its possession or control and all Deliverables developed through termination or expiration, (iii) Rapport shall either recollect all RNS Data from its Subcontractors; or pursuant to section 5(d) below, require destruction of Materials and certify the same. Rapport shall pay NeuroPace any undisputed monies due and owing NeuroPace, up to the time of termination or expiration, for Services actually performed and all authorized expenses actually incurred (as specified in the applicable SOW), and (iv) Each Party shall immediately return to the other Party all of its respective Confidential Information and copies thereof provided under this Agreement or destroy such information under section 5(d) including any under any SOW which has been terminated or has expired. For avoidance of doubt, all NeuroPace Milestone Payments associated with Deliverables provided prior to termination shall be due and payable at such time as they are completed as per Section 2(b) above; all Patient Enrollment Milestone Payments due and owing at such time as they are completed as per Section 2(b) above; and all Recurring Payments that are scheduled prior to the date of termination notice shall be due and payable as per Section 2(b)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Valid Corporation; Duly Authorized Agreement</w:t>
            </w:r>
            <w:r>
              <w:rPr>
                <w:rFonts w:ascii="Times New Roman" w:hAnsi="Times New Roman"/>
                <w:sz w:val="20"/>
              </w:rPr>
              <w:t xml:space="preserve">. Each Party hereby represents and warrants to the other Party that it is and at all times during the term of this Agreement will remain a corporation duly organized, validly existing and in good standing under the laws of its jurisdiction of organization and the execution and delivery of this Agreement has been duly authorized by all requisite corporate action.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Compliance</w:t>
            </w:r>
            <w:r>
              <w:rPr>
                <w:rFonts w:ascii="Times New Roman" w:hAnsi="Times New Roman"/>
                <w:sz w:val="20"/>
              </w:rPr>
              <w:t>. NeuroPace hereby represents and warrants that all Services will be rendered in compliance with (a) this Agreement, (b) the specifications of the applicable SOW, (c) applicable Rapport quality standards and standard operating procedures, which have been agreed to in writing by the Parties, and (d) all applicable laws, rules, regulations and guidance documents (domestic or foreign), as may be amended from time to time, including without limitation, the Federal Food, Drug and Cosmetic Act, the regulations of the U.S. Food and Drug Administration (</w:t>
            </w:r>
            <w:r>
              <w:rPr>
                <w:rFonts w:ascii="Times New Roman" w:hAnsi="Times New Roman"/>
                <w:b/>
                <w:sz w:val="20"/>
              </w:rPr>
              <w:t>FDA</w:t>
            </w:r>
            <w:r>
              <w:rPr>
                <w:rFonts w:ascii="Times New Roman" w:hAnsi="Times New Roman"/>
                <w:sz w:val="20"/>
              </w:rPr>
              <w:t>), Good Laboratory Practice for Non-Clinical Laboratory Studies (21 CFR Part 58), current Good Manufacturing Practices (21 CFR Parts 210 and 211), the General Biological Products Standards (21 CFR Part 610), the U.S. Foreign Corrupt Practices Act and the U.K. Bribery Act (2010), the Federal Anti-Kickback Statute, 42 U.S.C. § 1320a-7(b), all applicable U.S. securities laws and regulations, all applicable privacy and data protection laws, rules, regulations and guidance documents including, but not limited to, Regulation (EU) 2016/679 (the </w:t>
            </w:r>
            <w:r>
              <w:rPr>
                <w:rFonts w:ascii="Times New Roman" w:hAnsi="Times New Roman"/>
                <w:b/>
                <w:sz w:val="20"/>
              </w:rPr>
              <w:t>General Data Protection Regulation</w:t>
            </w:r>
            <w:r>
              <w:rPr>
                <w:rFonts w:ascii="Times New Roman" w:hAnsi="Times New Roman"/>
                <w:sz w:val="20"/>
              </w:rPr>
              <w:t> or </w:t>
            </w:r>
            <w:r>
              <w:rPr>
                <w:rFonts w:ascii="Times New Roman" w:hAnsi="Times New Roman"/>
                <w:b/>
                <w:sz w:val="20"/>
              </w:rPr>
              <w:t>GDPR</w:t>
            </w:r>
            <w:r>
              <w:rPr>
                <w:rFonts w:ascii="Times New Roman" w:hAnsi="Times New Roman"/>
                <w:sz w:val="20"/>
              </w:rPr>
              <w:t>) and the Health Insurance Portability and Accountability Act of 1996, as amended by the Health Information Technology for Economic and Clinical Health Act enacted as part of the American Recovery and Reinvestment Act of 2009, and any regulations and official guidance promulgated thereunder (</w:t>
            </w:r>
            <w:r>
              <w:rPr>
                <w:rFonts w:ascii="Times New Roman" w:hAnsi="Times New Roman"/>
                <w:b/>
                <w:sz w:val="20"/>
              </w:rPr>
              <w:t>HIPAA</w:t>
            </w:r>
            <w:r>
              <w:rPr>
                <w:rFonts w:ascii="Times New Roman" w:hAnsi="Times New Roman"/>
                <w:sz w:val="20"/>
              </w:rPr>
              <w:t xml:space="preserve">). NeuroPace will promptly notify Rapport and provide Rapport with a copy of any correspondence or other reports submitted to or received from any governmental agency concerning the Services. Rapport hereby represents and warrants that it shall treat all RNS Data, which constitutes Protected Health Information (PHI) as defined under HIPAA, in accordance with all applicable regulations promulgated under HIPAA.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NeuroPace Personnel</w:t>
            </w:r>
            <w:r>
              <w:rPr>
                <w:rFonts w:ascii="Times New Roman" w:hAnsi="Times New Roman"/>
                <w:sz w:val="20"/>
              </w:rPr>
              <w:t xml:space="preserve">. NeuroPace hereby represents and warrants that (i) NeuroPace has and will engage personnel with the proper skill, training and experience to provide the Services, (ii) NeuroPace shall be solely responsible for paying NeuroPace personnel and providing any employee benefits that they are owed, paying any remuneration, (iii) before providing Services, all NeuroPace personnel and Subcontractors shall have agreed in writing to (x) confidentiality obligations consistent with the terms of this Agreement and (y) terms that effectively vest in NeuroPace any and all rights that such personnel might otherwise have in the results of their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No Disbarment</w:t>
            </w:r>
            <w:r>
              <w:rPr>
                <w:rFonts w:ascii="Times New Roman" w:hAnsi="Times New Roman"/>
                <w:sz w:val="20"/>
              </w:rPr>
              <w:t>. NeuroPace hereby represents and warrants, on behalf of itself and its Affiliates, that NeuroPace, its personnel and each such Affiliate: (1) has not been debarred or convicted, and is not subject to any pending debarment or conviction, pursuant to section 306 of the Federal Food Drug and Cosmetic Act, 21 U.S.C. § 335a (the </w:t>
            </w:r>
            <w:r>
              <w:rPr>
                <w:rFonts w:ascii="Times New Roman" w:hAnsi="Times New Roman"/>
                <w:b/>
                <w:sz w:val="20"/>
              </w:rPr>
              <w:t>Act</w:t>
            </w:r>
            <w:r>
              <w:rPr>
                <w:rFonts w:ascii="Times New Roman" w:hAnsi="Times New Roman"/>
                <w:sz w:val="20"/>
              </w:rPr>
              <w:t>); (2) has not been listed by any government or regulatory agencies as ineligible to participate in any government healthcare programs or government procurement or non-procurement programs (as such term is defined in 42 U.S.C. 1320a-7b(f)), or excluded, debarred, suspended or otherwise made ineligible to participate in any such programs, and is not the subject of any pending action, suit, claim, investigation or proceeding that could render it ineligible to participate in any such programs, including pursuant to section 306 of the Act; and (3) has not been convicted of a criminal offense that falls within the ambit of 42 U.S.C. § 1320a-7(a) or is otherwise related to the provision of healthcare items or services, and is not subject to any such pending action, suit, claim, investigation or proceeding. NeuroPace covenants that neither it nor any of its Affiliates will use the services of any person or entity subject to any of the foregoing in connection with the performance of Services under this Agreement or any SOW. NeuroPace shall immediately notify Rapport in writing if NeuroPace or any of its Affiliates or any person or entity employed or retained by NeuroPace or any of its Affiliates to perform any of the Services, has been or becomes subject to any of the foregoing or if any action, suit, claim, investigation or proceeding relating to the foregoing is pending. Prior to permitting any person or entity to perform any Services hereunder, NeuroPace shall perform a screening, and at Rapports request shall provide evidence of such screening, to ensure that such individual or entity does not appear on any Exclusion List (as defined herein). As used herein, </w:t>
            </w:r>
            <w:r>
              <w:rPr>
                <w:rFonts w:ascii="Times New Roman" w:hAnsi="Times New Roman"/>
                <w:b/>
                <w:sz w:val="20"/>
              </w:rPr>
              <w:t>Exclusion Lists</w:t>
            </w:r>
            <w:r>
              <w:rPr>
                <w:rFonts w:ascii="Times New Roman" w:hAnsi="Times New Roman"/>
                <w:sz w:val="20"/>
              </w:rPr>
              <w:t xml:space="preserve"> include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Debarment List at http://www.fda.gov/ICECI/EnforcementActions/FDADebarmentList/default.htm;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Services Administration Excluded Parties List System (GSA EPLS) at </w:t>
            </w:r>
            <w:r>
              <w:rPr>
                <w:rFonts w:ascii="Times New Roman" w:hAnsi="Times New Roman"/>
                <w:sz w:val="20"/>
                <w:u w:val="single"/>
              </w:rPr>
              <w:t>http://www.epls.gov</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lists maintained by the Office of Inspector General at </w:t>
            </w:r>
            <w:r>
              <w:rPr>
                <w:rFonts w:ascii="Times New Roman" w:hAnsi="Times New Roman"/>
                <w:sz w:val="20"/>
                <w:u w:val="single"/>
              </w:rPr>
              <w:t>http://www.oig.hhs.gov</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Disqualified / Restricted Lists for Clinical Investigators at </w:t>
            </w:r>
            <w:r>
              <w:rPr>
                <w:rFonts w:ascii="Times New Roman" w:hAnsi="Times New Roman"/>
                <w:sz w:val="20"/>
                <w:u w:val="single"/>
              </w:rPr>
              <w:t>http://www.accessdata.fda.gov/scripts/SDA/sdNavigation.cfm?sd=clinicalinvestigatorsdisqualificationproceedings&amp;previewMode=true&amp;displayAll=true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 Third-Party Conflict</w:t>
            </w:r>
            <w:r>
              <w:rPr>
                <w:rFonts w:ascii="Times New Roman" w:hAnsi="Times New Roman"/>
                <w:sz w:val="20"/>
              </w:rPr>
              <w:t xml:space="preserve">. The terms of this Agreement and NeuroPaces performance of Services do not and will not conflict with any of NeuroPaces obligations to any third parties and Rapports use of Services and Deliverables in accordance with this Agreement shall not violate any patent, trade secret or other proprietary or intellectual property right of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Confidentiality &amp; Non-Use.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Definition of Confidential Information/Permitted Use</w:t>
            </w:r>
            <w:r>
              <w:rPr>
                <w:rFonts w:ascii="Times New Roman" w:hAnsi="Times New Roman"/>
                <w:sz w:val="20"/>
              </w:rPr>
              <w:t>. The Parties acknowledge that their relationship is one of high trust and confidence and that in the course of the SOW, the Parties will have access to and contact with Confidential Information belonging to both Parties. As used herein, </w:t>
            </w:r>
            <w:r>
              <w:rPr>
                <w:rFonts w:ascii="Times New Roman" w:hAnsi="Times New Roman"/>
                <w:b/>
                <w:sz w:val="20"/>
              </w:rPr>
              <w:t>Confidential Information</w:t>
            </w:r>
            <w:r>
              <w:rPr>
                <w:rFonts w:ascii="Times New Roman" w:hAnsi="Times New Roman"/>
                <w:sz w:val="20"/>
              </w:rPr>
              <w:t xml:space="preserve"> of a Party means any and all confidential or proprietary information presently or subsequently disclosed or provided to the other Party , whether in oral, electronic, written or other form. Confidential Information includes, without limitation: (i) any technology, inventions, products, chemical compounds and compositions, formulations, molecules, precursors, methods, concepts, ideas, plans, samples, processes, algorithms, specifications, characteristics, techniques, know-how and assays; clinical information such as RNS Data or Rapport study drug data, scientific preclinical or clinical data, research plans, observations, records, databases, dosing regimens, clinical studies or protocols, posters, presentations and abstracts, product pipelines, timelines and schedules; business information such as development, marketing, sales, pricing and commercialization plans, forecasts, proposals, customer lists, suppliers, consulting relationships, operating, performance and cost structures, strategies and techniques, and any other non-public information or other trade secrets, whether scientific, clinical or financial in nature, relating directly or indirectly to the business of a Party; (ii) the terms of this Agreement and any SOW related thereto; and (iii) all Deliverables, except to the extent needed by an authorized regulatory or required by an authorized regulatory body to be published or the parties jointly or separately publish about the Deliverables, subject to the provisions regarding publication set forth below. The Parties will use commercially reasonable efforts to label or identify all Confidential Information as confidential or proprietary. Notwithstanding the foregoing, Confidential Information will include all information that due to its nature would cause a reasonable person in the industry to know that it is confidential or proprietary even if not so marked or identified. The Parties agree to hold Confidential Information in confidence and exercise reasonable precautions to protect the integrity and confidentiality of the Confidential Information and to use Confidential Information solely as reasonably necessary for the performance of the Services and their applicable obligations under the applicable SOW and this Agreement. The Parties shall only disclose Confidential Information to personnel and Subcontractors who have a need to receive such Confidential Information in order to further the purposes of the applicable SOW(s) and who are bound to protect the confidentiality of such Confidential Information, as set forth above. Upon execution of this Agreement, NeuroPace authorizes Rapport to share the RNS Data associated with the Services with its subcontractor Prometrika and to utilize such data in subsequent scientific publications related to Rapport study drug.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Exceptions</w:t>
            </w:r>
            <w:r>
              <w:rPr>
                <w:rFonts w:ascii="Times New Roman" w:hAnsi="Times New Roman"/>
                <w:sz w:val="20"/>
              </w:rPr>
              <w:t xml:space="preserve">. The Parties will have no obligation of confidentiality and non-use with respect to any portion of Confidential Information that: (i) is generally known to the public at the time of disclosure or becomes generally known through no fault of a receiving Party; (ii) is in the receiving Partys possession at the time of disclosure, as evidenced by its written records, other than as a result of the receiving Partys breach of any legal obligation; (iii) is obtained without restriction from a third party having the legal right to disclose the same to receiving Party; or (iv) is independently developed by the receiving Party without the use of Confidential Information, as evidenced by the receiving Partys written records. Nothing in this Agreement precludes a Party from making any disclosure of Confidential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that is required by applicable law or by a valid order of a court or other governmental body having jurisdiction, provided that the receiving Party uses best efforts to limit the scope of the required disclosure, provides notification to the disclosing Party of such requirement as soon as reasonably possible, and cooperates with disclosing Party in seeking an appropriate protective order, confidential treatment, or similar remedy limiting the subsequent use and disclosure of any Confidential Information required to be disclosed. Such disclosed information shall remain Confidential Information to the extent there is no public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Ownership of Confidential Information</w:t>
            </w:r>
            <w:r>
              <w:rPr>
                <w:rFonts w:ascii="Times New Roman" w:hAnsi="Times New Roman"/>
                <w:sz w:val="20"/>
              </w:rPr>
              <w:t xml:space="preserve">. Each Party shall at all times remain the sole owner of its Confidential Information and all IP (as defined below in Section 6) related thereto. Except as expressly set forth in this Agreement, nothing herein shall be construed as granting to a Party, by implication, estoppel or otherwise, any right, title or interest in, or any license under, any IP right of the other Party (including without limitation,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Destruction of Confidential Information</w:t>
            </w:r>
            <w:r>
              <w:rPr>
                <w:rFonts w:ascii="Times New Roman" w:hAnsi="Times New Roman"/>
                <w:sz w:val="20"/>
              </w:rPr>
              <w:t xml:space="preserve">. Upon the request of a Party, the other Party will (a) destroy any and all copies of Confidential Information and (b) provide a written certification to the requesting party regarding such destruction. A Party may, however, (i) retain one (1) copy of the Confidential Information in its confidential files, solely for the purpose of monitoring its continuing obligations of confidentiality hereunder and (ii) not be obligated to erase any Confidential Information contained in an archived computer system backup in accordance with security and/or disaster recovery procedures; provided however, that any such Confidential Information retained under this Section 5(d) shall continue to be subject to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Survival</w:t>
            </w:r>
            <w:r>
              <w:rPr>
                <w:rFonts w:ascii="Times New Roman" w:hAnsi="Times New Roman"/>
                <w:sz w:val="20"/>
              </w:rPr>
              <w:t xml:space="preserve">. The obligations of non-disclosure and non-use hereof will survive any expiration or termination of this Agreement and continue in full force and effect for a period of [***] from the date of expiration or termination of this Agreement (and in the case of trade secrets, until such time as the applicable Party no longer treats such information as a trade secret).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Device Data and Derived Metrics</w:t>
            </w:r>
            <w:r>
              <w:rPr>
                <w:rFonts w:ascii="Times New Roman" w:hAnsi="Times New Roman"/>
                <w:sz w:val="20"/>
              </w:rPr>
              <w:t xml:space="preserve">. Device Data is RNS Data that is collected by the RNS System. Derived Metrics are the outcomes of algorithms that are applied to Device Data. Device Data and Derived Metrics are proprietary to NeuroPace and remain the sole and exclusive property of NeuroPace. NeuroPace grants Rapport a royalty-free, worldwide, exclusive, non-transferable license to all Device Data and Derived Metrics in furtherance of the applicable SOW and in the use of all Deliverables provided hereunder including any related to proving Rapport study drug safety and efficacy in POC study and data analysis relative to study. For avoidance of doubt, in event of termination, NeuroPace will not recollect from Rapport the Device Data and Derived Metrics that comprise the Deliverables, except that Rapport shall retrieve any such data from any third parties with which it has subcontracted for performance of other services associated with the subject matter of the applicable SOW, or, pursuant to section 5(d), certify destruction of said data by third parties. Additionally, the confidentiality survival obligations set forth above in Section 5 shall apply to the retained Deliverables and the Device Data and Derived Metrics that comprise the Deliverables.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Materials</w:t>
            </w:r>
            <w:r>
              <w:rPr>
                <w:rFonts w:ascii="Times New Roman" w:hAnsi="Times New Roman"/>
                <w:sz w:val="20"/>
              </w:rPr>
              <w:t>. All data, documentation, biological materials, chemical compounds, reagents, together with all derivatives, improvements, or modifications thereof or other materials or information controlled or owned by Rapport and furnished to NeuroPace (</w:t>
            </w:r>
            <w:r>
              <w:rPr>
                <w:rFonts w:ascii="Times New Roman" w:hAnsi="Times New Roman"/>
                <w:b/>
                <w:sz w:val="20"/>
              </w:rPr>
              <w:t>Materials</w:t>
            </w:r>
            <w:r>
              <w:rPr>
                <w:rFonts w:ascii="Times New Roman" w:hAnsi="Times New Roman"/>
                <w:sz w:val="20"/>
              </w:rPr>
              <w:t xml:space="preserve">) and all associated IP rights will remain the exclusive property of Rapport. NeuroPace will at all times take such measures as are required to protect the Materials, and any work in process, from risk of loss or damage at all times during the performance of the Services. NeuroPace shall use Materials provided by Rapport solely for rendering the Services under the applicable SOW. Any Materials remaining upon completion of the Services under a SOW shall be, at Rapports direction, either returned to Rapport or destroyed. NeuroPace will ensure that Materials, and any work in process, are free and clear of any liens or encumbrances. NeuroPace will immediately notify Rapport if at any time it believes any Materials have been damaged, lost or stolen.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Intellectual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Intellectual Property or IP</w:t>
            </w:r>
            <w:r>
              <w:rPr>
                <w:rFonts w:ascii="Times New Roman" w:hAnsi="Times New Roman"/>
                <w:sz w:val="20"/>
              </w:rPr>
              <w:t xml:space="preserve">. Intellectual Property or IP means inventions, software, other works of authorship, improvements, or suggestions, whether patentable or copyrightable, conceived, created, adapted, or reduced to practice, whether made alone or in conjunction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Background IP</w:t>
            </w:r>
            <w:r>
              <w:rPr>
                <w:rFonts w:ascii="Times New Roman" w:hAnsi="Times New Roman"/>
                <w:sz w:val="20"/>
              </w:rPr>
              <w:t xml:space="preserve">. Background IP means Intellectual Property in existence before the Parties entered into this Agreement. Each Party retains ownership of their respective Background 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Deliverables-related IP</w:t>
            </w:r>
            <w:r>
              <w:rPr>
                <w:rFonts w:ascii="Times New Roman" w:hAnsi="Times New Roman"/>
                <w:sz w:val="20"/>
              </w:rPr>
              <w:t xml:space="preserve">. Deliverables-related IP means an invention invented solely by an individual or individuals who, at the time the invention is made, is/are under an obligation to assign rights in and to the invention to NeuroPace, where both the terms invention and inventor are determined in accordance with U.S. patent laws, where the invention is a direct result of NeuroPaces performance of the Services set forth in the SOW. NeuroPace shall own all right, title, and interest in Deliverables-related IP, except that NeuroPace grants Rapport a non-exclusive, worldwide, fully paid-up, non-royalty bearing, non-transferable license to use for any legitimate business purpose, have used, disclose, and perform, solely in connection with, and to the extent necessary to use, the Deliverables.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Assignment of Deliverables</w:t>
            </w:r>
            <w:r>
              <w:rPr>
                <w:rFonts w:ascii="Times New Roman" w:hAnsi="Times New Roman"/>
                <w:sz w:val="20"/>
              </w:rPr>
              <w:t xml:space="preserve">. NeuroPace hereby assigns, and agrees to assign, to Rapport (and/or its designee specified by Rapport in writing), all ownership and right, title and interest in all Deliverables such that Rapport shall enjoy and shall be entitled to exercise all the rights of a sole, exclusive holder in such Deliverables. As set forth above, NeuroPace grants Rapport a royalty-free, worldwide, exclusive, non-transferable license to all Device Data and Derived Metrics in furtherance of the applicable SOW and in the use of all Deliverables provided hereunder for any legitimate Rapport business purpose. NeuroPace shall keep and maintain adequate and current written records of all Deliverables, and such records will be available to and remain the sole property of Rapport at all times. Without limiting the foregoing, all original works of authorship which are made by NeuroPace (solely or jointly with others) within the scope of this Agreement and which are protectable by copyright are works made for hire, as that term is defined in the United States Copyright Act. During and after the term of this Agreement, NeuroPace will cooperate fully in obtaining patent and other proprietary protection for any and all Deliverables, all in the name of Rapport (and/or its designee) and at Rapports expense, and shall execute and deliver all requested applications, assignments and other documents, and take such other measures as Rapport may reasonably request, in order to perfect and enforce Rapports (and/or its designees) rights in any and all Deliverables. NeuroPace hereby appoints Rapport as its attorney-in-fact to execute and deliver any such documents on behalf of NeuroPace in the event NeuroPace shall fail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No Third-Party Resources</w:t>
            </w:r>
            <w:r>
              <w:rPr>
                <w:rFonts w:ascii="Times New Roman" w:hAnsi="Times New Roman"/>
                <w:sz w:val="20"/>
              </w:rPr>
              <w:t xml:space="preserve">. NeuroPace will not use in the performance of Services, any equipment, confidential information or trade secrets of any third party which are not generally available to the public, unless NeuroPace has obtained written authorization from such third party for their possession and use and obtains Rapports written consent prior to such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Publication of results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NeuroPace agrees that Rapport will be permitted to, in a manner consistent with customary academic standards, (a) publish in journals, theses, dissertations, or other formats of their own choosing and (b) to present at symposia and national or regional professional meetings, the methods and results of the Project deliverables, provided in each case, however, that (i) Rapport agrees that any such publication or presentation will not breach any confidentiality provisions contained in the Agreement and (ii) NeuroPace will be furnished copies of any proposed publication or summaries of any prepared presentation at least [***] in advance of the submission of such proposed publication or presentation to any third party solely for the purpose of NeuroPace review of RNS Data accuracy and to confirm appropriate application of the confidentiality obligations set forth above at Paragraph 5. During such [***] period, NeuroPace will communicate to Rapport any concerns or objections relating solely to 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data accuracy and/or confidentiality that NeuroPace has relating to the proposed publication. The parties agree to resolve through good faith discussions any concerns raised by NeuroPace, to enable Rapport to proceed with the intended publication. To the extent that NeuroPace wishes to publish, it shall follow the same procedure described above, and Rapport shall be afforded the right of review to confirm all accuracy strictly as it relates to descriptions of Rapport, Rapports business or its products, and to confirm appropriate application of the confidentiality obligations set forth above at Paragraph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Records; Records Storage.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Records</w:t>
            </w:r>
            <w:r>
              <w:rPr>
                <w:rFonts w:ascii="Times New Roman" w:hAnsi="Times New Roman"/>
                <w:sz w:val="20"/>
              </w:rPr>
              <w:t>. NeuroPace shall maintain all Materials and all other data and documentation obtained or generated by NeuroPace in the course of providing Services hereunder, including all computerized records and files (the </w:t>
            </w:r>
            <w:r>
              <w:rPr>
                <w:rFonts w:ascii="Times New Roman" w:hAnsi="Times New Roman"/>
                <w:b/>
                <w:sz w:val="20"/>
              </w:rPr>
              <w:t>Records</w:t>
            </w:r>
            <w:r>
              <w:rPr>
                <w:rFonts w:ascii="Times New Roman" w:hAnsi="Times New Roman"/>
                <w:sz w:val="20"/>
              </w:rPr>
              <w:t xml:space="preserve">) in a secure area reasonably protected from fire, theft and destruction.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Record Retention</w:t>
            </w:r>
            <w:r>
              <w:rPr>
                <w:rFonts w:ascii="Times New Roman" w:hAnsi="Times New Roman"/>
                <w:sz w:val="20"/>
              </w:rPr>
              <w:t xml:space="preserve">. Upon written instruction of Rapport, all Records shall, at Rapports option either be (i) delivered to Rapport or to its designee in such form as is then currently in the possession of NeuroPace, (ii) retained by NeuroPace for a period of [***], or such longer period as required as a matter of law, or (iii) disposed of, at the direction and written request of Rapport, unless such Records are otherwise required to be stored or maintained by NeuroPace as a matter of law. In no event shall NeuroPace dispose of any such Records without first giving Rapport [***] prior written notice of its intent to do so. Notwithstanding the foregoing, NeuroPace may retain one copy of any such Records for regulatory or insurance purposes only, subject to NeuroPaces obligations of confidentiality set forth in Section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Limitation of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Indemnification by Rapport</w:t>
            </w:r>
            <w:r>
              <w:rPr>
                <w:rFonts w:ascii="Times New Roman" w:hAnsi="Times New Roman"/>
                <w:sz w:val="20"/>
              </w:rPr>
              <w:t>. Rapport will indemnify, defend and hold harmless NeuroPace, its Affiliates, and its and their respective officers, directors, employees and agents (collectively, the </w:t>
            </w:r>
            <w:r>
              <w:rPr>
                <w:rFonts w:ascii="Times New Roman" w:hAnsi="Times New Roman"/>
                <w:b/>
                <w:sz w:val="20"/>
              </w:rPr>
              <w:t>NeuroPace Indemnitees</w:t>
            </w:r>
            <w:r>
              <w:rPr>
                <w:rFonts w:ascii="Times New Roman" w:hAnsi="Times New Roman"/>
                <w:sz w:val="20"/>
              </w:rPr>
              <w:t xml:space="preserve">) against any third party claims, including reasonable attorneys fees for defending those claims, to the extent such claims arise out of or relate to (i) the use of the Deliverables by Rapport or its Affiliates (except to the extent such claims result from NeuroPaces breach of this Agreement or a NeuroPace Indemnitees negligence or willful misconduct); (ii) any Rapport Indemnitees negligence or willful misconduct in performing obligations under this Agreement; or (iii) Rapports breach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Indemnification by NeuroPace</w:t>
            </w:r>
            <w:r>
              <w:rPr>
                <w:rFonts w:ascii="Times New Roman" w:hAnsi="Times New Roman"/>
                <w:sz w:val="20"/>
              </w:rPr>
              <w:t>. NeuroPace will indemnify, defend and hold harmless Rapport, its Affiliates, and its and their respective officers, directors, employees and agents (collectively, the </w:t>
            </w:r>
            <w:r>
              <w:rPr>
                <w:rFonts w:ascii="Times New Roman" w:hAnsi="Times New Roman"/>
                <w:b/>
                <w:sz w:val="20"/>
              </w:rPr>
              <w:t>Rapport Indemnitees</w:t>
            </w:r>
            <w:r>
              <w:rPr>
                <w:rFonts w:ascii="Times New Roman" w:hAnsi="Times New Roman"/>
                <w:sz w:val="20"/>
              </w:rPr>
              <w:t xml:space="preserve">) against any third party claims, including reasonable attorneys fees for defending those claims, to the extent such claims arise out of or relate to (i) the performance of Services by any NeuroPace personnel or Subcontractor (except to the extent such claims result from Rapports breach of this Agreement or a Rapport Indemnitees negligence or willful misconduct); (ii) any NeuroPace Indemnitees negligence or willful misconduct in performing obligations under this Agreement; (iii) NeuroPaces breach of this Agreement or (iv) infringement of any intellectual property rights of a third party bringing any such claims in connection with the Services to the extent based on the practice or use of NeuroPace Property independent of the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Indemnification Procedures</w:t>
            </w:r>
            <w:r>
              <w:rPr>
                <w:rFonts w:ascii="Times New Roman" w:hAnsi="Times New Roman"/>
                <w:sz w:val="20"/>
              </w:rPr>
              <w:t xml:space="preserve">. Each Party must notify the other Party within [***] after receipt of any claims made for which the other Party might be liable under Section 8(a) or 8(b), as applicable. The indemnifying Party will have the sole right to defend, negotiate, and settle such claims. The indemnified Party will be entitled to participate in the defense of such matter and to employ counsel at its expense to assist in such defense; provided, however, that the indemnifying Party will have final decision-making authority regarding all aspects of the defense of the claim. The indemnified Party will provide the indemnifying Party with such information and assistance as the indemnifying Party may reasonably request, at the expense of the indemnifying Party. Neither Party will be responsible nor bound by any settlement of any claim or suit made without its prior written consent; provided, however, that the indemnified Party will not unreasonably withhold or delay such consent.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LIMITATION OF LIABILITY</w:t>
            </w:r>
            <w:r>
              <w:rPr>
                <w:rFonts w:ascii="Times New Roman" w:hAnsi="Times New Roman"/>
                <w:sz w:val="20"/>
              </w:rPr>
              <w:t xml:space="preserve">. EXCEPT FOR LOSSES ARISING FROM BREACH OF CONFIDENTIALITY OBLIGATIONS, GROSS NEGLIGENCE OR WILLFUL MISCONDUCT OR FROM CLAIMS FOR WHICH A PARTY HAS INDEMNIFICATION OBLIGATIONS, (A) NEITHER PARTY WILL BE LIABLE TO THE OTHER PARTY FOR SPECIAL, CONSEQUENTIAL, EXEMPLARY, PUNITIVE OR INCIDENTAL DAMAGES, EVEN IF SUCH PARTY HAS BEEN ADVISED OF THE POSSIBILITY OF SUCH DAMAGES AND (B) EACH PARTYS MAXIMUM AGGREGATE TOTAL LIABILITY WILL NOT EXCEED [***] TIMES THE TOTAL AMOUNTS PAID UNDER THIS AGREEMENT.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10.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Coverage</w:t>
            </w:r>
            <w:r>
              <w:rPr>
                <w:rFonts w:ascii="Times New Roman" w:hAnsi="Times New Roman"/>
                <w:sz w:val="20"/>
              </w:rPr>
              <w:t xml:space="preserve">. NeuroPace shall, at its own expense, provide and keep in full force and effect during the term of this Agreement and for a period of [***] following each SOW termination date the following types and minimum amounts of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Workers compensation insurance as required by the laws of the jurisdiction in which the Services are performed, and employers liability insurance with limits of at least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general liability insurance which shall include bodily injury, property damage, independent contractor coverage, completed operations or products coverage, blanket contractual, and broad-form property damage with limits of at least $[***] and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Evidence of Coverage</w:t>
            </w:r>
            <w:r>
              <w:rPr>
                <w:rFonts w:ascii="Times New Roman" w:hAnsi="Times New Roman"/>
                <w:sz w:val="20"/>
              </w:rPr>
              <w:t xml:space="preserve">. Within [***] after execution of this Agreement, Service shall provide Rapport with copies of all certificates of insurance evidencing the coverage required hereunder. </w:t>
            </w:r>
          </w:p>
        </w:tc>
      </w:tr>
    </w:tbl>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Use of Name</w:t>
      </w:r>
      <w:r>
        <w:rPr>
          <w:rFonts w:ascii="Times New Roman" w:hAnsi="Times New Roman"/>
          <w:sz w:val="20"/>
        </w:rPr>
        <w:t xml:space="preserve">. Neither Party shall use the other Partys name in any form of advertising, promotion or publicity, including press releases, without the prior written consent of the other Party. This term does not restrict a Partys ability to use the other Partys name in filings with the Securities and Exchange Commission, FDA or other governmental agencies when required to do so. The Parties agree to work in good faith to draft a joint press release and/or individual press releases to promote this collaboration upon the execution of this Agreement and the applicable SOW. The Parties shall coordinate timing of the joint press release so that it is released [***].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Independent Contractor Relationship</w:t>
      </w:r>
      <w:r>
        <w:rPr>
          <w:rFonts w:ascii="Times New Roman" w:hAnsi="Times New Roman"/>
          <w:sz w:val="20"/>
        </w:rPr>
        <w:t xml:space="preserve">. Nothing contained in this Agreement shall be deemed to constitute NeuroPace an employee of Rapport, it being the intent of the Parties to establish an independent contractor relationship, nor shall NeuroPace have authority to bind Rapport in any manner whatsoever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Assignment</w:t>
      </w:r>
      <w:r>
        <w:rPr>
          <w:rFonts w:ascii="Times New Roman" w:hAnsi="Times New Roman"/>
          <w:sz w:val="20"/>
        </w:rPr>
        <w:t xml:space="preserve">. This Agreement may not be assigned by a Party without the prior written consent of the other Party; provided, however, that a Party may assign, upon written notice to the other Party, this Agreement to a successor of substantially all of the assets and business of the assigning Party to which this Agreement relates, whether in a merger, sale of stock, sale of assets, reorganization or other transaction, and the resulting entity assumes all the obligations under this Agreement. Subject to the foregoing, this Agreement shall be binding on the Parties and their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Force Majeure</w:t>
      </w:r>
      <w:r>
        <w:rPr>
          <w:rFonts w:ascii="Times New Roman" w:hAnsi="Times New Roman"/>
          <w:sz w:val="20"/>
        </w:rPr>
        <w:t>. Neither Party shall be responsible for any failure or delay in performance of this Agreement if the failure or delay is due to an event beyond the reasonable control and without the fault or negligence of the Party seeking to excuse performance, including without limitation, acts of God, acts of terrorism, war, labor disputes and strikes, fire, flood, riot, and unforeseen delays in third-party provided transportation or communications (a </w:t>
      </w:r>
      <w:r>
        <w:rPr>
          <w:rFonts w:ascii="Times New Roman" w:hAnsi="Times New Roman"/>
          <w:b/>
          <w:sz w:val="20"/>
        </w:rPr>
        <w:t>Force Majeure Event</w:t>
      </w:r>
      <w:r>
        <w:rPr>
          <w:rFonts w:ascii="Times New Roman" w:hAnsi="Times New Roman"/>
          <w:sz w:val="20"/>
        </w:rPr>
        <w:t xml:space="preserve">). Any Party seeking to excuse or delay performance due to a Force Majeure Event under this Section 13 will provide detailed written notice to the other Party promptly after the occurrence of such Force Majeure Event, detailing the nature and anticipated duration of the delay. A Party claiming the benefit of a Force Majeure Event shall use reasonable efforts to avoid or overcome the causes affecting performance and diligently fulfill all outstanding obligations within [***]. In the event that a NeuroPace Force Majeure Event continues for longer than [***], Rapport shall have the right to terminate this Agreement upon [***] notice to the NeuroPace, provided that if the Force Majeure Event ceases within such [***] notice period, this Agreement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Audit Rights</w:t>
      </w:r>
      <w:r>
        <w:rPr>
          <w:rFonts w:ascii="Times New Roman" w:hAnsi="Times New Roman"/>
          <w:sz w:val="20"/>
        </w:rPr>
        <w:t xml:space="preserve">. During the term of this Agreement and for a period of [***] after expiration or termination of this Agreement, Rapport will have the right to audit, upon reasonable notice, any of NeuroPaces records related to this Agreement and/or any SOW, including contracts with third parties and financial records relating to NeuroPace performance thereunder. NeuroPace will refund any sums due to Rapport arising as a result of such audit immediately after delivery of the audit to NeuroPace.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Any termination of this Agreement shall be without prejudice to any obligation of either Party that shall have accrued and then be owing prior to termination. Without limiting the foregoing, Section 1(c) and Sections 2 through 21 of this Agreement shall survive any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Entire Agreement; Amendment; Severability; Waiver</w:t>
      </w:r>
      <w:r>
        <w:rPr>
          <w:rFonts w:ascii="Times New Roman" w:hAnsi="Times New Roman"/>
          <w:sz w:val="20"/>
        </w:rPr>
        <w:t xml:space="preserve">. This Agreement, including the exhibits attached hereto, contains the entire agreement between the Parties with respect to its subject matter and supersedes all prior agreements, written or oral, between the Parties with respect to its subject matter. This Agreement may not be modified, changed or discharged, in whole or in part, except by an agreement in writing signed by the Parties. In the event that any one or more of the provisions contained in this Agreement are, for any reason, held to be invalid, illegal or unenforceable in any respect, such invalidity, illegality or unenforceability will not affect any other provisions of this Agreement, and all other provisions will remain in full force and effect. If any provision of this Agreement is held to be excessively broad, it will be reformed and construed by limiting and reducing it so as to be enforceable to the maximum extent permitted by law. No waiver of any rights under this Agreement shall be effective unless in writing signed by the Party to be charged. A waiver of a breach or violation of any provision of this Agreement will not constitute or be construed as a waiver of any subsequent breach or violation of that provision or as a waiver of any breach or violation of any other provision of this Agreement.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Counterparts and Signatures</w:t>
      </w:r>
      <w:r>
        <w:rPr>
          <w:rFonts w:ascii="Times New Roman" w:hAnsi="Times New Roman"/>
          <w:sz w:val="20"/>
        </w:rPr>
        <w:t xml:space="preserve">. This Agreement may be executed in one or more counterparts, each of which will be deemed an original, and all of which together will be deemed to be one and the same instrument. The Parties agree that electronic signatures or signatures affixed to any one of the originals and delivered by facsimile, portable document format (PDF), or other electronic means shall be valid, binding and enforceable.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Equitable Relief</w:t>
      </w:r>
      <w:r>
        <w:rPr>
          <w:rFonts w:ascii="Times New Roman" w:hAnsi="Times New Roman"/>
          <w:sz w:val="20"/>
        </w:rPr>
        <w:t xml:space="preserve">. NeuroPace acknowledges that irreparable harm may be done to Rapports business through the breach of NeuroPaces confidentiality and non-use obligations set forth in Section 5 above, for which damages at law may not be an adequate remedy. Accordingly, nothing in this Agreement shall prevent Rapport from seeking injunctive or other equitable relief from any court of competent jurisdiction at any time to protect its Confidential Information.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required or permitted under this Agreement must be in writing, addressed to the attention of Chief Executive Officer and must be given by directing the notice to the address for the recipient set forth in this Agreement or at such other address as the recipient may specify in writing under this procedure.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Agreement shall in all events and for all purposes be governed by, and construed in accordance with, the law of the State of Delaware, without regard to any choice of law principle that would dictate the application of the law of another jurisdiction.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Defend Trade Secrets Act of 2016</w:t>
      </w:r>
      <w:r>
        <w:rPr>
          <w:rFonts w:ascii="Times New Roman" w:hAnsi="Times New Roman"/>
          <w:sz w:val="20"/>
        </w:rPr>
        <w:t xml:space="preserve">. NeuroPace acknowledges receipt of the following notice under 18 U.S.C §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have executed this Agreement by their duly authorized representatives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9"/>
        <w:gridCol w:w="107"/>
        <w:gridCol w:w="4357"/>
        <w:gridCol w:w="107"/>
        <w:gridCol w:w="434"/>
        <w:gridCol w:w="107"/>
        <w:gridCol w:w="370"/>
        <w:gridCol w:w="107"/>
        <w:gridCol w:w="4247"/>
      </w:tblGrid>
      <w:tr>
        <w:trPr/>
        <w:tc>
          <w:tcPr>
            <w:tcW w:w="36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247"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vAlign w:val="bottom"/>
          </w:tcPr>
          <w:p>
            <w:pPr>
              <w:pStyle w:val="TableContents"/>
              <w:bidi w:val="0"/>
              <w:spacing w:before="0" w:after="283"/>
              <w:jc w:val="left"/>
              <w:rPr>
                <w:b/>
              </w:rPr>
            </w:pPr>
            <w:r>
              <w:rPr>
                <w:b/>
              </w:rPr>
              <w:t>RAPPORT THERAPEUTICS, INC.</w:t>
            </w:r>
          </w:p>
        </w:tc>
        <w:tc>
          <w:tcPr>
            <w:tcW w:w="107"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24" w:type="dxa"/>
            <w:gridSpan w:val="3"/>
            <w:tcBorders/>
            <w:vAlign w:val="bottom"/>
          </w:tcPr>
          <w:p>
            <w:pPr>
              <w:pStyle w:val="TableContents"/>
              <w:bidi w:val="0"/>
              <w:spacing w:before="0" w:after="283"/>
              <w:jc w:val="left"/>
              <w:rPr>
                <w:b/>
              </w:rPr>
            </w:pPr>
            <w:r>
              <w:rPr>
                <w:b/>
              </w:rPr>
              <w:t>NEUROPACE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541"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354"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57" w:type="dxa"/>
            <w:tcBorders>
              <w:bottom w:val="single" w:sz="2" w:space="0" w:color="000000"/>
            </w:tcBorders>
            <w:tcMar>
              <w:bottom w:w="28" w:type="dxa"/>
            </w:tcMar>
            <w:vAlign w:val="bottom"/>
          </w:tcPr>
          <w:p>
            <w:pPr>
              <w:pStyle w:val="TableContents"/>
              <w:bidi w:val="0"/>
              <w:spacing w:before="0" w:after="283"/>
              <w:jc w:val="left"/>
              <w:rPr/>
            </w:pPr>
            <w:r>
              <w:rPr/>
              <w:t>/s/ Abraham N. Ceesay</w:t>
            </w:r>
          </w:p>
        </w:tc>
        <w:tc>
          <w:tcPr>
            <w:tcW w:w="107" w:type="dxa"/>
            <w:tcBorders/>
            <w:vAlign w:val="bottom"/>
          </w:tcPr>
          <w:p>
            <w:pPr>
              <w:pStyle w:val="TableContents"/>
              <w:bidi w:val="0"/>
              <w:spacing w:before="0" w:after="283"/>
              <w:jc w:val="left"/>
              <w:rPr/>
            </w:pPr>
            <w:r>
              <w:rPr/>
              <w:t> </w:t>
            </w:r>
          </w:p>
        </w:tc>
        <w:tc>
          <w:tcPr>
            <w:tcW w:w="43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247" w:type="dxa"/>
            <w:tcBorders>
              <w:bottom w:val="single" w:sz="2" w:space="0" w:color="000000"/>
            </w:tcBorders>
            <w:tcMar>
              <w:bottom w:w="28" w:type="dxa"/>
            </w:tcMar>
            <w:vAlign w:val="bottom"/>
          </w:tcPr>
          <w:p>
            <w:pPr>
              <w:pStyle w:val="TableContents"/>
              <w:bidi w:val="0"/>
              <w:spacing w:before="0" w:after="283"/>
              <w:jc w:val="left"/>
              <w:rPr/>
            </w:pPr>
            <w:r>
              <w:rPr/>
              <w:t>/s/ Joel Becker</w:t>
            </w:r>
          </w:p>
        </w:tc>
      </w:tr>
    </w:tbl>
    <w:tbl>
      <w:tblPr>
        <w:tblW w:w="5000" w:type="pct"/>
        <w:jc w:val="left"/>
        <w:tblInd w:w="0" w:type="dxa"/>
        <w:tblLayout w:type="fixed"/>
        <w:tblCellMar>
          <w:top w:w="0" w:type="dxa"/>
          <w:left w:w="0" w:type="dxa"/>
          <w:bottom w:w="0" w:type="dxa"/>
          <w:right w:w="0" w:type="dxa"/>
        </w:tblCellMar>
      </w:tblPr>
      <w:tblGrid>
        <w:gridCol w:w="1329"/>
        <w:gridCol w:w="107"/>
        <w:gridCol w:w="3385"/>
        <w:gridCol w:w="107"/>
        <w:gridCol w:w="440"/>
        <w:gridCol w:w="107"/>
        <w:gridCol w:w="1330"/>
        <w:gridCol w:w="107"/>
        <w:gridCol w:w="3293"/>
      </w:tblGrid>
      <w:tr>
        <w:trPr/>
        <w:tc>
          <w:tcPr>
            <w:tcW w:w="132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293" w:type="dxa"/>
            <w:tcBorders/>
            <w:vAlign w:val="center"/>
          </w:tcPr>
          <w:p>
            <w:pPr>
              <w:pStyle w:val="TableContents"/>
              <w:bidi w:val="0"/>
              <w:spacing w:before="0" w:after="283"/>
              <w:jc w:val="left"/>
              <w:rPr>
                <w:sz w:val="4"/>
                <w:szCs w:val="4"/>
              </w:rPr>
            </w:pPr>
            <w:r>
              <w:rPr>
                <w:sz w:val="4"/>
                <w:szCs w:val="4"/>
              </w:rPr>
            </w:r>
          </w:p>
        </w:tc>
      </w:tr>
      <w:tr>
        <w:trPr/>
        <w:tc>
          <w:tcPr>
            <w:tcW w:w="1329" w:type="dxa"/>
            <w:tcBorders/>
            <w:vAlign w:val="bottom"/>
          </w:tcPr>
          <w:p>
            <w:pPr>
              <w:pStyle w:val="TableContents"/>
              <w:bidi w:val="0"/>
              <w:spacing w:before="0" w:after="283"/>
              <w:jc w:val="left"/>
              <w:rPr/>
            </w:pPr>
            <w:r>
              <w:rPr/>
              <w:t>Printed Name:</w:t>
            </w:r>
          </w:p>
        </w:tc>
        <w:tc>
          <w:tcPr>
            <w:tcW w:w="107" w:type="dxa"/>
            <w:tcBorders/>
            <w:vAlign w:val="bottom"/>
          </w:tcPr>
          <w:p>
            <w:pPr>
              <w:pStyle w:val="TableContents"/>
              <w:bidi w:val="0"/>
              <w:spacing w:before="0" w:after="283"/>
              <w:jc w:val="left"/>
              <w:rPr/>
            </w:pPr>
            <w:r>
              <w:rPr/>
              <w:t> </w:t>
            </w:r>
          </w:p>
        </w:tc>
        <w:tc>
          <w:tcPr>
            <w:tcW w:w="3385" w:type="dxa"/>
            <w:tcBorders/>
            <w:vAlign w:val="bottom"/>
          </w:tcPr>
          <w:p>
            <w:pPr>
              <w:pStyle w:val="TableContents"/>
              <w:bidi w:val="0"/>
              <w:spacing w:before="0" w:after="283"/>
              <w:jc w:val="left"/>
              <w:rPr/>
            </w:pPr>
            <w:r>
              <w:rPr/>
              <w:t>Abraham N. Ceesay</w:t>
            </w:r>
          </w:p>
        </w:tc>
        <w:tc>
          <w:tcPr>
            <w:tcW w:w="107"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Printed Name:</w:t>
            </w:r>
          </w:p>
        </w:tc>
        <w:tc>
          <w:tcPr>
            <w:tcW w:w="107" w:type="dxa"/>
            <w:tcBorders/>
            <w:vAlign w:val="bottom"/>
          </w:tcPr>
          <w:p>
            <w:pPr>
              <w:pStyle w:val="TableContents"/>
              <w:bidi w:val="0"/>
              <w:spacing w:before="0" w:after="283"/>
              <w:jc w:val="left"/>
              <w:rPr/>
            </w:pPr>
            <w:r>
              <w:rPr/>
              <w:t> </w:t>
            </w:r>
          </w:p>
        </w:tc>
        <w:tc>
          <w:tcPr>
            <w:tcW w:w="3293" w:type="dxa"/>
            <w:tcBorders/>
            <w:vAlign w:val="bottom"/>
          </w:tcPr>
          <w:p>
            <w:pPr>
              <w:pStyle w:val="TableContents"/>
              <w:bidi w:val="0"/>
              <w:spacing w:before="0" w:after="283"/>
              <w:jc w:val="left"/>
              <w:rPr/>
            </w:pPr>
            <w:r>
              <w:rPr/>
              <w:t>Joel Becker</w:t>
            </w:r>
          </w:p>
        </w:tc>
      </w:tr>
    </w:tbl>
    <w:tbl>
      <w:tblPr>
        <w:tblW w:w="5000" w:type="pct"/>
        <w:jc w:val="left"/>
        <w:tblInd w:w="0" w:type="dxa"/>
        <w:tblLayout w:type="fixed"/>
        <w:tblCellMar>
          <w:top w:w="0" w:type="dxa"/>
          <w:left w:w="0" w:type="dxa"/>
          <w:bottom w:w="0" w:type="dxa"/>
          <w:right w:w="0" w:type="dxa"/>
        </w:tblCellMar>
      </w:tblPr>
      <w:tblGrid>
        <w:gridCol w:w="476"/>
        <w:gridCol w:w="110"/>
        <w:gridCol w:w="4176"/>
        <w:gridCol w:w="110"/>
        <w:gridCol w:w="453"/>
        <w:gridCol w:w="110"/>
        <w:gridCol w:w="477"/>
        <w:gridCol w:w="110"/>
        <w:gridCol w:w="4183"/>
      </w:tblGrid>
      <w:tr>
        <w:trPr/>
        <w:tc>
          <w:tcPr>
            <w:tcW w:w="47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17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183" w:type="dxa"/>
            <w:tcBorders/>
            <w:vAlign w:val="center"/>
          </w:tcPr>
          <w:p>
            <w:pPr>
              <w:pStyle w:val="TableContents"/>
              <w:bidi w:val="0"/>
              <w:spacing w:before="0" w:after="283"/>
              <w:jc w:val="left"/>
              <w:rPr>
                <w:sz w:val="4"/>
                <w:szCs w:val="4"/>
              </w:rPr>
            </w:pPr>
            <w:r>
              <w:rPr>
                <w:sz w:val="4"/>
                <w:szCs w:val="4"/>
              </w:rPr>
            </w:r>
          </w:p>
        </w:tc>
      </w:tr>
      <w:tr>
        <w:trPr/>
        <w:tc>
          <w:tcPr>
            <w:tcW w:w="476" w:type="dxa"/>
            <w:tcBorders/>
            <w:vAlign w:val="bottom"/>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176" w:type="dxa"/>
            <w:tcBorders/>
            <w:vAlign w:val="bottom"/>
          </w:tcPr>
          <w:p>
            <w:pPr>
              <w:pStyle w:val="TableContents"/>
              <w:bidi w:val="0"/>
              <w:spacing w:before="0" w:after="283"/>
              <w:jc w:val="left"/>
              <w:rPr/>
            </w:pPr>
            <w:r>
              <w:rPr/>
              <w:t>November 22, 2023</w:t>
            </w:r>
          </w:p>
        </w:tc>
        <w:tc>
          <w:tcPr>
            <w:tcW w:w="11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183" w:type="dxa"/>
            <w:tcBorders/>
            <w:vAlign w:val="bottom"/>
          </w:tcPr>
          <w:p>
            <w:pPr>
              <w:pStyle w:val="TableContents"/>
              <w:bidi w:val="0"/>
              <w:spacing w:before="0" w:after="283"/>
              <w:jc w:val="left"/>
              <w:rPr/>
            </w:pPr>
            <w:r>
              <w:rPr/>
              <w:t>November 28,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SAMPLE SOW </w:t>
      </w:r>
    </w:p>
    <w:p>
      <w:pPr>
        <w:pStyle w:val="TextBody"/>
        <w:bidi w:val="0"/>
        <w:spacing w:before="0" w:after="0"/>
        <w:jc w:val="center"/>
        <w:rPr>
          <w:rFonts w:ascii="Times New Roman" w:hAnsi="Times New Roman"/>
          <w:b/>
          <w:sz w:val="20"/>
        </w:rPr>
      </w:pPr>
      <w:r>
        <w:rPr>
          <w:rFonts w:ascii="Times New Roman" w:hAnsi="Times New Roman"/>
          <w:b/>
          <w:sz w:val="20"/>
        </w:rPr>
        <w:t xml:space="preserve">SOW # ____ </w:t>
      </w:r>
    </w:p>
    <w:p>
      <w:pPr>
        <w:pStyle w:val="TextBody"/>
        <w:bidi w:val="0"/>
        <w:spacing w:before="240" w:after="0"/>
        <w:jc w:val="left"/>
        <w:rPr>
          <w:rFonts w:ascii="Times New Roman" w:hAnsi="Times New Roman"/>
          <w:sz w:val="20"/>
        </w:rPr>
      </w:pPr>
      <w:r>
        <w:rPr>
          <w:rFonts w:ascii="Times New Roman" w:hAnsi="Times New Roman"/>
          <w:sz w:val="20"/>
        </w:rPr>
        <w:t>This SOW together with any attachments (the </w:t>
      </w:r>
      <w:r>
        <w:rPr>
          <w:rFonts w:ascii="Times New Roman" w:hAnsi="Times New Roman"/>
          <w:b/>
          <w:sz w:val="20"/>
        </w:rPr>
        <w:t>SOW</w:t>
      </w:r>
      <w:r>
        <w:rPr>
          <w:rFonts w:ascii="Times New Roman" w:hAnsi="Times New Roman"/>
          <w:sz w:val="20"/>
        </w:rPr>
        <w:t>) is by and between Rapport Therapeutics, Inc., with a principal business address at 1325 Boylston Street, Suite 401, Boston, MA 02215 USA (</w:t>
      </w:r>
      <w:r>
        <w:rPr>
          <w:rFonts w:ascii="Times New Roman" w:hAnsi="Times New Roman"/>
          <w:b/>
          <w:sz w:val="20"/>
        </w:rPr>
        <w:t>Rapport</w:t>
      </w:r>
      <w:r>
        <w:rPr>
          <w:rFonts w:ascii="Times New Roman" w:hAnsi="Times New Roman"/>
          <w:sz w:val="20"/>
        </w:rPr>
        <w:t>) and NeuroPace Inc. with a principal place of business at 455 N. Bernardo Avenue, Mountain View, CA. 94043 (</w:t>
      </w:r>
      <w:r>
        <w:rPr>
          <w:rFonts w:ascii="Times New Roman" w:hAnsi="Times New Roman"/>
          <w:b/>
          <w:sz w:val="20"/>
        </w:rPr>
        <w:t>NeuroPace</w:t>
      </w:r>
      <w:r>
        <w:rPr>
          <w:rFonts w:ascii="Times New Roman" w:hAnsi="Times New Roman"/>
          <w:sz w:val="20"/>
        </w:rPr>
        <w:t>), and, upon execution, will be incorporated into, subject to and governed by the Master Services Agreement between Rapport and NeuroPace dated ___________ 20__ (the </w:t>
      </w:r>
      <w:r>
        <w:rPr>
          <w:rFonts w:ascii="Times New Roman" w:hAnsi="Times New Roman"/>
          <w:b/>
          <w:sz w:val="20"/>
        </w:rPr>
        <w:t>Agreement</w:t>
      </w:r>
      <w:r>
        <w:rPr>
          <w:rFonts w:ascii="Times New Roman" w:hAnsi="Times New Roman"/>
          <w:sz w:val="20"/>
        </w:rPr>
        <w:t xml:space="preserve">). Capitalized terms not otherwise defined in this SOW shall have the same meaning as set forth in the Agreement. Rapport hereby engages NeuroPace to provide Services, as follows: </w:t>
      </w:r>
    </w:p>
    <w:p>
      <w:pPr>
        <w:pStyle w:val="TextBody"/>
        <w:bidi w:val="0"/>
        <w:spacing w:before="240" w:after="0"/>
        <w:jc w:val="left"/>
        <w:rPr>
          <w:rFonts w:ascii="Times New Roman" w:hAnsi="Times New Roman"/>
          <w:sz w:val="20"/>
        </w:rPr>
      </w:pPr>
      <w:r>
        <w:rPr>
          <w:rFonts w:ascii="Times New Roman" w:hAnsi="Times New Roman"/>
          <w:sz w:val="20"/>
        </w:rPr>
        <w:t xml:space="preserve">All terms and conditions of the Agreement apply to this SOW.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SOW to be executed in duplicate by their duly authorized representatives, effective as of the date of the last Party to sign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50"/>
        <w:gridCol w:w="312"/>
        <w:gridCol w:w="3158"/>
        <w:gridCol w:w="119"/>
        <w:gridCol w:w="495"/>
        <w:gridCol w:w="119"/>
        <w:gridCol w:w="1181"/>
        <w:gridCol w:w="260"/>
        <w:gridCol w:w="3111"/>
      </w:tblGrid>
      <w:tr>
        <w:trPr/>
        <w:tc>
          <w:tcPr>
            <w:tcW w:w="145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bottom"/>
          </w:tcPr>
          <w:p>
            <w:pPr>
              <w:pStyle w:val="TableContents"/>
              <w:bidi w:val="0"/>
              <w:spacing w:before="0" w:after="283"/>
              <w:jc w:val="left"/>
              <w:rPr>
                <w:b/>
              </w:rPr>
            </w:pPr>
            <w:r>
              <w:rPr>
                <w:b/>
              </w:rPr>
              <w:t>RAPPORT THERAPEUTICS, INC.</w:t>
            </w:r>
          </w:p>
        </w:tc>
        <w:tc>
          <w:tcPr>
            <w:tcW w:w="119"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4552" w:type="dxa"/>
            <w:gridSpan w:val="3"/>
            <w:tcBorders/>
            <w:vAlign w:val="bottom"/>
          </w:tcPr>
          <w:p>
            <w:pPr>
              <w:pStyle w:val="TableContents"/>
              <w:bidi w:val="0"/>
              <w:spacing w:before="0" w:after="283"/>
              <w:jc w:val="left"/>
              <w:rPr>
                <w:b/>
              </w:rPr>
            </w:pPr>
            <w:r>
              <w:rPr>
                <w:b/>
              </w:rPr>
              <w:t>NEUROPACE INC.</w:t>
            </w:r>
          </w:p>
        </w:tc>
      </w:tr>
      <w:tr>
        <w:trPr>
          <w:trHeight w:val="240" w:hRule="atLeast"/>
        </w:trPr>
        <w:tc>
          <w:tcPr>
            <w:tcW w:w="1450"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614" w:type="dxa"/>
            <w:gridSpan w:val="2"/>
            <w:tcBorders/>
            <w:vAlign w:val="center"/>
          </w:tcPr>
          <w:p>
            <w:pPr>
              <w:pStyle w:val="TableContents"/>
              <w:bidi w:val="0"/>
              <w:spacing w:before="0" w:after="283"/>
              <w:jc w:val="left"/>
              <w:rPr>
                <w:sz w:val="4"/>
                <w:szCs w:val="4"/>
              </w:rPr>
            </w:pPr>
            <w:r>
              <w:rPr>
                <w:sz w:val="4"/>
                <w:szCs w:val="4"/>
              </w:rPr>
            </w:r>
          </w:p>
        </w:tc>
        <w:tc>
          <w:tcPr>
            <w:tcW w:w="1300" w:type="dxa"/>
            <w:gridSpan w:val="2"/>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bidi w:val="0"/>
              <w:spacing w:before="0" w:after="283"/>
              <w:jc w:val="left"/>
              <w:rPr/>
            </w:pPr>
            <w:r>
              <w:rPr/>
              <w:t>By:</w:t>
            </w:r>
          </w:p>
        </w:tc>
        <w:tc>
          <w:tcPr>
            <w:tcW w:w="312" w:type="dxa"/>
            <w:tcBorders>
              <w:bottom w:val="single" w:sz="2" w:space="0" w:color="000000"/>
            </w:tcBorders>
            <w:tcMar>
              <w:bottom w:w="28" w:type="dxa"/>
            </w:tcMar>
            <w:vAlign w:val="bottom"/>
          </w:tcPr>
          <w:p>
            <w:pPr>
              <w:pStyle w:val="TableContents"/>
              <w:bidi w:val="0"/>
              <w:spacing w:before="0" w:after="283"/>
              <w:jc w:val="left"/>
              <w:rPr/>
            </w:pPr>
            <w:r>
              <w:rPr/>
              <w:t> </w:t>
            </w:r>
          </w:p>
        </w:tc>
        <w:tc>
          <w:tcPr>
            <w:tcW w:w="3158"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left"/>
              <w:rPr/>
            </w:pPr>
            <w:r>
              <w:rPr/>
              <w:t>By:</w:t>
            </w:r>
          </w:p>
        </w:tc>
        <w:tc>
          <w:tcPr>
            <w:tcW w:w="260" w:type="dxa"/>
            <w:tcBorders>
              <w:bottom w:val="single" w:sz="2" w:space="0" w:color="000000"/>
            </w:tcBorders>
            <w:tcMar>
              <w:bottom w:w="28" w:type="dxa"/>
            </w:tcMar>
            <w:vAlign w:val="bottom"/>
          </w:tcPr>
          <w:p>
            <w:pPr>
              <w:pStyle w:val="TableContents"/>
              <w:bidi w:val="0"/>
              <w:spacing w:before="0" w:after="283"/>
              <w:jc w:val="left"/>
              <w:rPr/>
            </w:pPr>
            <w:r>
              <w:rPr/>
              <w:t> </w:t>
            </w:r>
          </w:p>
        </w:tc>
        <w:tc>
          <w:tcPr>
            <w:tcW w:w="3111" w:type="dxa"/>
            <w:tcBorders>
              <w:bottom w:val="single" w:sz="2" w:space="0" w:color="000000"/>
            </w:tcBorders>
            <w:tcMar>
              <w:bottom w:w="28" w:type="dxa"/>
            </w:tcM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348"/>
        <w:gridCol w:w="110"/>
        <w:gridCol w:w="3305"/>
        <w:gridCol w:w="110"/>
        <w:gridCol w:w="450"/>
        <w:gridCol w:w="110"/>
        <w:gridCol w:w="1349"/>
        <w:gridCol w:w="110"/>
        <w:gridCol w:w="3313"/>
      </w:tblGrid>
      <w:tr>
        <w:trPr/>
        <w:tc>
          <w:tcPr>
            <w:tcW w:w="134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1348" w:type="dxa"/>
            <w:tcBorders/>
            <w:vAlign w:val="bottom"/>
          </w:tcPr>
          <w:p>
            <w:pPr>
              <w:pStyle w:val="TableContents"/>
              <w:bidi w:val="0"/>
              <w:spacing w:before="0" w:after="283"/>
              <w:jc w:val="left"/>
              <w:rPr/>
            </w:pPr>
            <w:r>
              <w:rPr/>
              <w:t>Printed Name:</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5" w:type="dxa"/>
            <w:tcBorders>
              <w:bottom w:val="single" w:sz="2" w:space="0" w:color="000000"/>
            </w:tcBorders>
            <w:tcMar>
              <w:bottom w:w="28" w:type="dxa"/>
            </w:tcMar>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left"/>
              <w:rPr/>
            </w:pPr>
            <w:r>
              <w:rPr/>
              <w:t>Printed Name:</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3" w:type="dxa"/>
            <w:tcBorders>
              <w:bottom w:val="single" w:sz="2" w:space="0" w:color="000000"/>
            </w:tcBorders>
            <w:tcMar>
              <w:bottom w:w="28" w:type="dxa"/>
            </w:tcM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77"/>
        <w:gridCol w:w="109"/>
        <w:gridCol w:w="4183"/>
        <w:gridCol w:w="109"/>
        <w:gridCol w:w="442"/>
        <w:gridCol w:w="109"/>
        <w:gridCol w:w="478"/>
        <w:gridCol w:w="109"/>
        <w:gridCol w:w="4189"/>
      </w:tblGrid>
      <w:tr>
        <w:trPr/>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18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189" w:type="dxa"/>
            <w:tcBorders/>
            <w:vAlign w:val="center"/>
          </w:tcPr>
          <w:p>
            <w:pPr>
              <w:pStyle w:val="TableContents"/>
              <w:bidi w:val="0"/>
              <w:spacing w:before="0" w:after="283"/>
              <w:jc w:val="left"/>
              <w:rPr>
                <w:sz w:val="4"/>
                <w:szCs w:val="4"/>
              </w:rPr>
            </w:pPr>
            <w:r>
              <w:rPr>
                <w:sz w:val="4"/>
                <w:szCs w:val="4"/>
              </w:rPr>
            </w:r>
          </w:p>
        </w:tc>
      </w:tr>
      <w:tr>
        <w:trPr/>
        <w:tc>
          <w:tcPr>
            <w:tcW w:w="477" w:type="dxa"/>
            <w:tcBorders/>
            <w:vAlign w:val="bottom"/>
          </w:tcPr>
          <w:p>
            <w:pPr>
              <w:pStyle w:val="TableContents"/>
              <w:bidi w:val="0"/>
              <w:spacing w:before="0" w:after="283"/>
              <w:jc w:val="left"/>
              <w:rPr/>
            </w:pPr>
            <w:r>
              <w:rPr/>
              <w:t>Date: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183" w:type="dxa"/>
            <w:tcBorders>
              <w:bottom w:val="single" w:sz="2" w:space="0" w:color="000000"/>
            </w:tcBorders>
            <w:tcMar>
              <w:bottom w:w="28" w:type="dxa"/>
            </w:tcMar>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Date: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18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right"/>
        <w:rPr>
          <w:rFonts w:ascii="Times New Roman" w:hAnsi="Times New Roman"/>
          <w:b/>
          <w:sz w:val="20"/>
        </w:rPr>
      </w:pPr>
      <w:bookmarkStart w:id="52" w:name="d803738dex1012.htm"/>
      <w:bookmarkStart w:id="53" w:name="ksd803738dex1012"/>
      <w:bookmarkEnd w:id="52"/>
      <w:bookmarkEnd w:id="53"/>
      <w:r>
        <w:rPr>
          <w:rFonts w:ascii="Times New Roman" w:hAnsi="Times New Roman"/>
          <w:b/>
          <w:sz w:val="20"/>
        </w:rPr>
        <w:t xml:space="preserve">Exhibit 10.12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120" w:after="0"/>
        <w:jc w:val="center"/>
        <w:rPr>
          <w:rFonts w:ascii="Times New Roman" w:hAnsi="Times New Roman"/>
          <w:b/>
          <w:sz w:val="20"/>
        </w:rPr>
      </w:pPr>
      <w:r>
        <w:rPr>
          <w:rFonts w:ascii="Times New Roman" w:hAnsi="Times New Roman"/>
          <w:b/>
          <w:sz w:val="20"/>
        </w:rPr>
        <w:t xml:space="preserve">SOW </w:t>
      </w:r>
      <w:r>
        <w:rPr>
          <w:rFonts w:ascii="Times New Roman" w:hAnsi="Times New Roman"/>
          <w:b/>
          <w:sz w:val="20"/>
          <w:u w:val="single"/>
        </w:rPr>
        <w:t>#1</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SOW together with any attachments (the </w:t>
      </w:r>
      <w:r>
        <w:rPr>
          <w:rFonts w:ascii="Times New Roman" w:hAnsi="Times New Roman"/>
          <w:b/>
          <w:sz w:val="20"/>
        </w:rPr>
        <w:t>SOW</w:t>
      </w:r>
      <w:r>
        <w:rPr>
          <w:rFonts w:ascii="Times New Roman" w:hAnsi="Times New Roman"/>
          <w:sz w:val="20"/>
        </w:rPr>
        <w:t>) is by and between Rapport Therapeutics, Inc., with a principal business address at 1325 Boylston Street, Suite 401, Boston, MA 02215 USA (</w:t>
      </w:r>
      <w:r>
        <w:rPr>
          <w:rFonts w:ascii="Times New Roman" w:hAnsi="Times New Roman"/>
          <w:b/>
          <w:sz w:val="20"/>
        </w:rPr>
        <w:t>Rapport</w:t>
      </w:r>
      <w:r>
        <w:rPr>
          <w:rFonts w:ascii="Times New Roman" w:hAnsi="Times New Roman"/>
          <w:sz w:val="20"/>
        </w:rPr>
        <w:t>) and NeuroPace Inc. with a principal place of business at 455 N. Bernardo Avenue, Mountain View, CA. 94043 (</w:t>
      </w:r>
      <w:r>
        <w:rPr>
          <w:rFonts w:ascii="Times New Roman" w:hAnsi="Times New Roman"/>
          <w:b/>
          <w:sz w:val="20"/>
        </w:rPr>
        <w:t>NeuroPace</w:t>
      </w:r>
      <w:r>
        <w:rPr>
          <w:rFonts w:ascii="Times New Roman" w:hAnsi="Times New Roman"/>
          <w:sz w:val="20"/>
        </w:rPr>
        <w:t>), and, upon execution, will be incorporated into, subject to and governed by the Master Services Agreement between Rapport and NeuroPace dated November 28, 2023 (the </w:t>
      </w:r>
      <w:r>
        <w:rPr>
          <w:rFonts w:ascii="Times New Roman" w:hAnsi="Times New Roman"/>
          <w:b/>
          <w:sz w:val="20"/>
        </w:rPr>
        <w:t>Agreement</w:t>
      </w:r>
      <w:r>
        <w:rPr>
          <w:rFonts w:ascii="Times New Roman" w:hAnsi="Times New Roman"/>
          <w:sz w:val="20"/>
        </w:rPr>
        <w:t xml:space="preserve">). Capitalized terms not otherwise defined in this SOW shall have the same meaning as set forth in the Agreement. Rapport hereby engages NeuroPace to provide Services, as follows: </w:t>
      </w:r>
    </w:p>
    <w:p>
      <w:pPr>
        <w:pStyle w:val="TextBody"/>
        <w:bidi w:val="0"/>
        <w:spacing w:before="120" w:after="0"/>
        <w:jc w:val="left"/>
        <w:rPr>
          <w:rFonts w:ascii="Times New Roman" w:hAnsi="Times New Roman"/>
          <w:sz w:val="20"/>
        </w:rPr>
      </w:pPr>
      <w:r>
        <w:rPr>
          <w:rFonts w:ascii="Times New Roman" w:hAnsi="Times New Roman"/>
          <w:sz w:val="20"/>
        </w:rPr>
        <w:t xml:space="preserve">All terms and conditions of the Agreement apply to this SOW.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SOW to be executed in duplicate by their duly authorized representatives, effective as of the date of the last Party to sign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9"/>
        <w:gridCol w:w="107"/>
        <w:gridCol w:w="4384"/>
        <w:gridCol w:w="107"/>
        <w:gridCol w:w="375"/>
        <w:gridCol w:w="107"/>
        <w:gridCol w:w="370"/>
        <w:gridCol w:w="107"/>
        <w:gridCol w:w="4279"/>
      </w:tblGrid>
      <w:tr>
        <w:trPr/>
        <w:tc>
          <w:tcPr>
            <w:tcW w:w="36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8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279"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Pr>
          <w:p>
            <w:pPr>
              <w:pStyle w:val="TableContents"/>
              <w:bidi w:val="0"/>
              <w:spacing w:before="0" w:after="283"/>
              <w:jc w:val="left"/>
              <w:rPr>
                <w:b/>
              </w:rPr>
            </w:pPr>
            <w:r>
              <w:rPr>
                <w:b/>
              </w:rPr>
              <w:t>RAPPORT THERAPEUTICS, INC.</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56" w:type="dxa"/>
            <w:gridSpan w:val="3"/>
            <w:tcBorders/>
          </w:tcPr>
          <w:p>
            <w:pPr>
              <w:pStyle w:val="TableContents"/>
              <w:bidi w:val="0"/>
              <w:spacing w:before="0" w:after="283"/>
              <w:jc w:val="left"/>
              <w:rPr>
                <w:b/>
              </w:rPr>
            </w:pPr>
            <w:r>
              <w:rPr>
                <w:b/>
              </w:rPr>
              <w:t>NEUROPACE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84" w:type="dxa"/>
            <w:tcBorders>
              <w:bottom w:val="single" w:sz="2" w:space="0" w:color="000000"/>
            </w:tcBorders>
            <w:tcMar>
              <w:bottom w:w="28" w:type="dxa"/>
            </w:tcMar>
          </w:tcPr>
          <w:p>
            <w:pPr>
              <w:pStyle w:val="TableContents"/>
              <w:bidi w:val="0"/>
              <w:spacing w:before="0" w:after="283"/>
              <w:jc w:val="left"/>
              <w:rPr/>
            </w:pPr>
            <w:r>
              <w:rPr/>
              <w:t>/s/ Abraham N. Ceesay</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279" w:type="dxa"/>
            <w:tcBorders>
              <w:bottom w:val="single" w:sz="2" w:space="0" w:color="000000"/>
            </w:tcBorders>
            <w:tcMar>
              <w:bottom w:w="28" w:type="dxa"/>
            </w:tcMar>
          </w:tcPr>
          <w:p>
            <w:pPr>
              <w:pStyle w:val="TableContents"/>
              <w:bidi w:val="0"/>
              <w:spacing w:before="0" w:after="283"/>
              <w:jc w:val="left"/>
              <w:rPr/>
            </w:pPr>
            <w:r>
              <w:rPr/>
              <w:t>/s/ Joel Becker</w:t>
            </w:r>
          </w:p>
        </w:tc>
      </w:tr>
      <w:tr>
        <w:trPr/>
        <w:tc>
          <w:tcPr>
            <w:tcW w:w="4860" w:type="dxa"/>
            <w:gridSpan w:val="3"/>
            <w:tcBorders/>
          </w:tcPr>
          <w:p>
            <w:pPr>
              <w:pStyle w:val="TableContents"/>
              <w:bidi w:val="0"/>
              <w:spacing w:before="0" w:after="283"/>
              <w:jc w:val="left"/>
              <w:rPr>
                <w:sz w:val="20"/>
              </w:rPr>
            </w:pPr>
            <w:r>
              <w:rPr>
                <w:sz w:val="20"/>
              </w:rPr>
              <w:t>Printed Name: Abraham N. Ceesay</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56" w:type="dxa"/>
            <w:gridSpan w:val="3"/>
            <w:tcBorders/>
          </w:tcPr>
          <w:p>
            <w:pPr>
              <w:pStyle w:val="TableContents"/>
              <w:bidi w:val="0"/>
              <w:spacing w:before="0" w:after="283"/>
              <w:jc w:val="left"/>
              <w:rPr>
                <w:sz w:val="20"/>
              </w:rPr>
            </w:pPr>
            <w:r>
              <w:rPr>
                <w:sz w:val="20"/>
              </w:rPr>
              <w:t>Printed Name: Joel Becker</w:t>
            </w:r>
          </w:p>
        </w:tc>
      </w:tr>
      <w:tr>
        <w:trPr>
          <w:trHeight w:val="240" w:hRule="atLeast"/>
        </w:trPr>
        <w:tc>
          <w:tcPr>
            <w:tcW w:w="4860" w:type="dxa"/>
            <w:gridSpan w:val="3"/>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863" w:type="dxa"/>
            <w:gridSpan w:val="4"/>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Pr>
          <w:p>
            <w:pPr>
              <w:pStyle w:val="TableContents"/>
              <w:bidi w:val="0"/>
              <w:spacing w:before="0" w:after="283"/>
              <w:jc w:val="left"/>
              <w:rPr>
                <w:sz w:val="20"/>
              </w:rPr>
            </w:pPr>
            <w:r>
              <w:rPr>
                <w:sz w:val="20"/>
              </w:rPr>
              <w:t>Date: November 22, 2023</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56" w:type="dxa"/>
            <w:gridSpan w:val="3"/>
            <w:tcBorders/>
          </w:tcPr>
          <w:p>
            <w:pPr>
              <w:pStyle w:val="TableContents"/>
              <w:bidi w:val="0"/>
              <w:spacing w:before="0" w:after="283"/>
              <w:jc w:val="left"/>
              <w:rPr>
                <w:sz w:val="20"/>
              </w:rPr>
            </w:pPr>
            <w:r>
              <w:rPr>
                <w:sz w:val="20"/>
              </w:rPr>
              <w:t>Date: November 28, 2023</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SPACE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SOW </w:t>
      </w:r>
      <w:r>
        <w:rPr>
          <w:rFonts w:ascii="Times New Roman" w:hAnsi="Times New Roman"/>
          <w:b/>
          <w:sz w:val="20"/>
          <w:u w:val="single"/>
        </w:rPr>
        <w:t>#1</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Rapport Therapeutics and NeuroPace Collaboration</w:t>
      </w:r>
      <w:r>
        <w:rPr>
          <w:rFonts w:ascii="Times New Roman" w:hAnsi="Times New Roman"/>
          <w:sz w:val="20"/>
        </w:rPr>
        <w:t xml:space="preserve">: Proposed Scope of Work and Budget to support Phase 2a proof-of-concept study of first-in-class TARP-g8 negative allosteric modulator (RAP-219) </w:t>
      </w:r>
    </w:p>
    <w:p>
      <w:pPr>
        <w:pStyle w:val="TextBody"/>
        <w:bidi w:val="0"/>
        <w:spacing w:before="360" w:after="0"/>
        <w:jc w:val="left"/>
        <w:rPr>
          <w:rFonts w:ascii="Times New Roman" w:hAnsi="Times New Roman"/>
          <w:b/>
          <w:sz w:val="20"/>
        </w:rPr>
      </w:pPr>
      <w:r>
        <w:rPr>
          <w:rFonts w:ascii="Times New Roman" w:hAnsi="Times New Roman"/>
          <w:b/>
          <w:sz w:val="20"/>
        </w:rPr>
        <w:t xml:space="preserve">Project Summary and Scope: </w:t>
      </w:r>
    </w:p>
    <w:p>
      <w:pPr>
        <w:pStyle w:val="TextBody"/>
        <w:bidi w:val="0"/>
        <w:spacing w:before="120" w:after="0"/>
        <w:jc w:val="left"/>
        <w:rPr>
          <w:rFonts w:ascii="Times New Roman" w:hAnsi="Times New Roman"/>
          <w:sz w:val="20"/>
        </w:rPr>
      </w:pPr>
      <w:r>
        <w:rPr>
          <w:rFonts w:ascii="Times New Roman" w:hAnsi="Times New Roman"/>
          <w:sz w:val="20"/>
        </w:rPr>
        <w:t xml:space="preserve">Rapport Therapeutics is planning to study a first-in-class anti-seizure medication in focal onset seizure patients with implanted intracranial responsive neurostimulator RNS devices (Project). The RNS System is an approved pioneering treatment device for patients with focal onset seizures refractory to available medical therapies. The device monitors, detects and records epileptiform activity with implanted electrodes and thus allows for sensitive, ambulatory monitoring of epileptiform activity within the epilepsy-onset zone of focal onset seizure patients. </w:t>
      </w:r>
    </w:p>
    <w:p>
      <w:pPr>
        <w:pStyle w:val="TextBody"/>
        <w:bidi w:val="0"/>
        <w:spacing w:before="240" w:after="0"/>
        <w:jc w:val="left"/>
        <w:rPr>
          <w:rFonts w:ascii="Times New Roman" w:hAnsi="Times New Roman"/>
          <w:sz w:val="20"/>
        </w:rPr>
      </w:pPr>
      <w:r>
        <w:rPr>
          <w:rFonts w:ascii="Times New Roman" w:hAnsi="Times New Roman"/>
          <w:sz w:val="20"/>
        </w:rPr>
        <w:t xml:space="preserve">Successful execution of this proof-of-concept study has the potential to help Rapport Therapeutics demonstrate the efficacy of an experimental therapeutic (RAP-219), and to further demonstrate that NeuroPaces RNS device offers a sensitive means of rapidly determining the activity of novel therapeutic agents in focal onset seizure patients. Success of this study will also demonstrate the power of existing data resources within the NeuroPace database, and the inherent power of ambulatory electrocorticographic (ECoG) biomarkers and their potential use in prospective studies of patients with RNS. In addition, the data obtained in this study will further support the use of RNS ECoG data as a physiologic tool to monitor patient outcomes. </w:t>
      </w:r>
    </w:p>
    <w:p>
      <w:pPr>
        <w:pStyle w:val="TextBody"/>
        <w:bidi w:val="0"/>
        <w:spacing w:before="240" w:after="0"/>
        <w:jc w:val="left"/>
        <w:rPr>
          <w:rFonts w:ascii="Times New Roman" w:hAnsi="Times New Roman"/>
          <w:sz w:val="20"/>
        </w:rPr>
      </w:pPr>
      <w:r>
        <w:rPr>
          <w:rFonts w:ascii="Times New Roman" w:hAnsi="Times New Roman"/>
          <w:sz w:val="20"/>
        </w:rPr>
        <w:t xml:space="preserve">Successful execution and operation of the clinical trial will require close collaboration and data sharing between Rapport and NeuroPace and will require negotiation of a more detailed/collaboration services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Data Definitions </w:t>
      </w:r>
    </w:p>
    <w:p>
      <w:pPr>
        <w:pStyle w:val="TextBody"/>
        <w:bidi w:val="0"/>
        <w:spacing w:before="120" w:after="0"/>
        <w:jc w:val="left"/>
        <w:rPr>
          <w:rFonts w:ascii="Times New Roman" w:hAnsi="Times New Roman"/>
          <w:sz w:val="20"/>
        </w:rPr>
      </w:pPr>
      <w:r>
        <w:rPr>
          <w:rFonts w:ascii="Times New Roman" w:hAnsi="Times New Roman"/>
          <w:sz w:val="20"/>
        </w:rPr>
        <w:t xml:space="preserve">Data collected by the NeuroPace® RNS® System and metrics derived from RNS® System data will be provided by NeuroPace to Rapport, as described here. RNS System data are downloaded from the RNS Neurostimulator each time it is interrogated by the patient or clinician, then uploaded to the RNS Patient Data Management System (PDMS). Data and derived metrics will be documented and provided at specified intervals and on demand in CSV formatted text files to facilitate subsequent analysis. </w:t>
      </w:r>
      <w:r>
        <w:rPr>
          <w:rFonts w:ascii="Times New Roman" w:hAnsi="Times New Roman"/>
          <w:b/>
          <w:i/>
          <w:sz w:val="20"/>
        </w:rPr>
        <w:t>Raw data supporting the derived metrics will not be provided.</w:t>
      </w:r>
      <w:r>
        <w:rPr>
          <w:rFonts w:ascii="Times New Roman" w:hAnsi="Times New Roman"/>
          <w:sz w:val="20"/>
        </w:rPr>
        <w:t xml:space="preserve"> Rapport is permitted to share the provided data and derived metrics with authorized third parties detailed in the MSA. The time range of the data provided will be determined by the study protocol and may include both retrospective and prospective data. </w:t>
      </w:r>
    </w:p>
    <w:p>
      <w:pPr>
        <w:pStyle w:val="TextBody"/>
        <w:bidi w:val="0"/>
        <w:spacing w:before="120" w:after="0"/>
        <w:jc w:val="left"/>
        <w:rPr>
          <w:rFonts w:ascii="Times New Roman" w:hAnsi="Times New Roman"/>
          <w:b/>
          <w:sz w:val="20"/>
        </w:rPr>
      </w:pPr>
      <w:r>
        <w:rPr>
          <w:rFonts w:ascii="Times New Roman" w:hAnsi="Times New Roman"/>
          <w:b/>
          <w:sz w:val="20"/>
        </w:rPr>
        <w:t xml:space="preserve">Device data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Derived metrics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Project Phases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Project Initiation 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Clinical Trial Readiness 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Trial Support and Data Analysis </w:t>
            </w:r>
            <w:r>
              <w:rPr>
                <w:rFonts w:ascii="Times New Roman" w:hAnsi="Times New Roman"/>
                <w:sz w:val="20"/>
              </w:rPr>
              <w:t xml:space="preserve"> </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of data 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Phase One: Project Initiation ([***])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Phase Two: Clinical Trial Readiness ([***])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Phase Three: Clinical Trial Support and Data Analysis ([***])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Phase Four: Interpretation of Data ([***])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Under the terms of this collaboration agreement, NeuroPace will not be required to: </w:t>
      </w:r>
    </w:p>
    <w:p>
      <w:pPr>
        <w:pStyle w:val="TextBody"/>
        <w:bidi w:val="0"/>
        <w:spacing w:before="120" w:after="0"/>
        <w:jc w:val="left"/>
        <w:rPr>
          <w:rFonts w:ascii="Times New Roman" w:hAnsi="Times New Roman"/>
          <w:sz w:val="20"/>
        </w:rPr>
      </w:pPr>
      <w:r>
        <w:rPr>
          <w:rFonts w:ascii="Times New Roman" w:hAnsi="Times New Roman"/>
          <w:sz w:val="20"/>
        </w:rPr>
        <w:t xml:space="preserve">Develop or write regulatory submissions, contract with sites, support IRB submissions, develop or perform non-device related statistical analyses or be responsible for clinical trial management. These items will be the responsibility of the trial Sponsor Rapport.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Access to Validation Documentation: </w:t>
      </w:r>
    </w:p>
    <w:p>
      <w:pPr>
        <w:pStyle w:val="TextBody"/>
        <w:bidi w:val="0"/>
        <w:spacing w:before="120" w:after="0"/>
        <w:jc w:val="left"/>
        <w:rPr>
          <w:rFonts w:ascii="Times New Roman" w:hAnsi="Times New Roman"/>
          <w:sz w:val="20"/>
        </w:rPr>
      </w:pPr>
      <w:r>
        <w:rPr>
          <w:rFonts w:ascii="Times New Roman" w:hAnsi="Times New Roman"/>
          <w:sz w:val="20"/>
        </w:rPr>
        <w:t xml:space="preserve">Rapport will have access to all validation documentation related to device-data algorithms and analyses that have been validated by NeuroPace.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Payment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2"/>
        <w:gridCol w:w="207"/>
        <w:gridCol w:w="93"/>
        <w:gridCol w:w="851"/>
        <w:gridCol w:w="60"/>
        <w:gridCol w:w="207"/>
        <w:gridCol w:w="101"/>
        <w:gridCol w:w="912"/>
        <w:gridCol w:w="60"/>
        <w:gridCol w:w="207"/>
        <w:gridCol w:w="76"/>
        <w:gridCol w:w="716"/>
        <w:gridCol w:w="60"/>
        <w:gridCol w:w="207"/>
        <w:gridCol w:w="127"/>
        <w:gridCol w:w="1366"/>
        <w:gridCol w:w="60"/>
        <w:gridCol w:w="206"/>
        <w:gridCol w:w="60"/>
        <w:gridCol w:w="531"/>
        <w:gridCol w:w="66"/>
      </w:tblGrid>
      <w:tr>
        <w:trPr/>
        <w:tc>
          <w:tcPr>
            <w:tcW w:w="403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Payment</w:t>
            </w:r>
          </w:p>
        </w:tc>
        <w:tc>
          <w:tcPr>
            <w:tcW w:w="20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w:t>
              <w:br/>
              <w:t>Type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Milestone</w:t>
              <w:br/>
              <w:t>Number</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w:t>
              <w:br/>
              <w:t>Phase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Description/Deliverable</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5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4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403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32" w:type="dxa"/>
            <w:tcBorders/>
          </w:tcPr>
          <w:p>
            <w:pPr>
              <w:pStyle w:val="TableContents"/>
              <w:bidi w:val="0"/>
              <w:spacing w:before="0" w:after="0"/>
              <w:jc w:val="left"/>
              <w:rPr>
                <w:rFonts w:ascii="Times New Roman" w:hAnsi="Times New Roman"/>
                <w:b/>
                <w:sz w:val="20"/>
              </w:rPr>
            </w:pPr>
            <w:r>
              <w:rPr>
                <w:rFonts w:ascii="Times New Roman" w:hAnsi="Times New Roman"/>
                <w:b/>
                <w:sz w:val="20"/>
              </w:rPr>
              <w:t>SOW Total</w:t>
            </w:r>
          </w:p>
        </w:tc>
        <w:tc>
          <w:tcPr>
            <w:tcW w:w="20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3.7M</w:t>
            </w:r>
          </w:p>
        </w:tc>
        <w:tc>
          <w:tcPr>
            <w:tcW w:w="66" w:type="dxa"/>
            <w:tcBorders/>
            <w:vAlign w:val="bottom"/>
          </w:tcPr>
          <w:p>
            <w:pPr>
              <w:pStyle w:val="TableContents"/>
              <w:bidi w:val="0"/>
              <w:spacing w:before="0" w:after="283"/>
              <w:jc w:val="left"/>
              <w:rPr/>
            </w:pPr>
            <w:r>
              <w:rPr/>
              <w:t> </w:t>
            </w:r>
          </w:p>
        </w:tc>
      </w:tr>
      <w:tr>
        <w:trPr/>
        <w:tc>
          <w:tcPr>
            <w:tcW w:w="403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1"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the clinical trial progress extends [***], the Parties will meet and negotiate in good faith on Recurring Payments to support the ongoing obligations required to reach the Final Report Milestone. In the event of the foregoing, the Parties shall amend the SOW in writing to reflect their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1 to Statement of Work #1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Master Services Agreement between Rapport and NeuroPace dated November 28, 2023 </w:t>
      </w:r>
    </w:p>
    <w:p>
      <w:pPr>
        <w:pStyle w:val="TextBody"/>
        <w:bidi w:val="0"/>
        <w:spacing w:before="240" w:after="0"/>
        <w:jc w:val="left"/>
        <w:rPr>
          <w:rFonts w:ascii="Times New Roman" w:hAnsi="Times New Roman"/>
          <w:sz w:val="20"/>
        </w:rPr>
      </w:pPr>
      <w:r>
        <w:rPr>
          <w:rFonts w:ascii="Times New Roman" w:hAnsi="Times New Roman"/>
          <w:sz w:val="20"/>
        </w:rPr>
        <w:t xml:space="preserve">WHEREAS, Rapport and NeuroPace (the Parties) entered into a Master Services Agreement (MSA) dated November 28, 2023 and a corresponding Statement of Work (SOW) #1, and </w:t>
      </w:r>
    </w:p>
    <w:p>
      <w:pPr>
        <w:pStyle w:val="TextBody"/>
        <w:bidi w:val="0"/>
        <w:spacing w:before="240" w:after="0"/>
        <w:jc w:val="left"/>
        <w:rPr>
          <w:rFonts w:ascii="Times New Roman" w:hAnsi="Times New Roman"/>
          <w:sz w:val="20"/>
        </w:rPr>
      </w:pPr>
      <w:r>
        <w:rPr>
          <w:rFonts w:ascii="Times New Roman" w:hAnsi="Times New Roman"/>
          <w:sz w:val="20"/>
        </w:rPr>
        <w:t>WHEREAS</w:t>
      </w:r>
      <w:r>
        <w:rPr>
          <w:rFonts w:ascii="Times New Roman" w:hAnsi="Times New Roman"/>
          <w:b/>
          <w:sz w:val="20"/>
        </w:rPr>
        <w:t xml:space="preserve">, </w:t>
      </w:r>
      <w:r>
        <w:rPr>
          <w:rFonts w:ascii="Times New Roman" w:hAnsi="Times New Roman"/>
          <w:sz w:val="20"/>
        </w:rPr>
        <w:t xml:space="preserve">the Parties now wish to amend the SOW #1 with certain clarifications as set forth herein in this Amendment 1 to SOW #1,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hereinafter set forth, the Parties agree as follow: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SOW #1 on page 19 at Phase Two Obligations, the following sentence shall be stricken: </w:t>
            </w:r>
          </w:p>
        </w:tc>
      </w:tr>
    </w:tbl>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aforementioned sentence shall be replaced with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herein, no further changes shall be made to the SOW #1. All other terms and conditions of the MSA and SOW are restated and reaffirmed.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Amendment 1 to SOW #1 to be executed by their duly authorized representatives effective as of the date of the last Party to sign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9"/>
        <w:gridCol w:w="107"/>
        <w:gridCol w:w="4384"/>
        <w:gridCol w:w="107"/>
        <w:gridCol w:w="375"/>
        <w:gridCol w:w="107"/>
        <w:gridCol w:w="370"/>
        <w:gridCol w:w="107"/>
        <w:gridCol w:w="4279"/>
      </w:tblGrid>
      <w:tr>
        <w:trPr/>
        <w:tc>
          <w:tcPr>
            <w:tcW w:w="36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8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279"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Pr>
          <w:p>
            <w:pPr>
              <w:pStyle w:val="TableContents"/>
              <w:bidi w:val="0"/>
              <w:spacing w:before="0" w:after="283"/>
              <w:jc w:val="left"/>
              <w:rPr>
                <w:b/>
              </w:rPr>
            </w:pPr>
            <w:r>
              <w:rPr>
                <w:b/>
              </w:rPr>
              <w:t>RAPPORT THERAPEUTICS, INC.</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56" w:type="dxa"/>
            <w:gridSpan w:val="3"/>
            <w:tcBorders/>
          </w:tcPr>
          <w:p>
            <w:pPr>
              <w:pStyle w:val="TableContents"/>
              <w:bidi w:val="0"/>
              <w:spacing w:before="0" w:after="283"/>
              <w:jc w:val="left"/>
              <w:rPr>
                <w:b/>
              </w:rPr>
            </w:pPr>
            <w:r>
              <w:rPr>
                <w:b/>
              </w:rPr>
              <w:t>NEUROPACE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4491" w:type="dxa"/>
            <w:gridSpan w:val="2"/>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386"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84" w:type="dxa"/>
            <w:tcBorders>
              <w:bottom w:val="single" w:sz="2" w:space="0" w:color="000000"/>
            </w:tcBorders>
            <w:tcMar>
              <w:bottom w:w="28" w:type="dxa"/>
            </w:tcMar>
          </w:tcPr>
          <w:p>
            <w:pPr>
              <w:pStyle w:val="TableContents"/>
              <w:bidi w:val="0"/>
              <w:spacing w:before="0" w:after="283"/>
              <w:jc w:val="left"/>
              <w:rPr/>
            </w:pPr>
            <w:r>
              <w:rPr/>
              <w:t>/s/ Abraham N. Ceesay</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279" w:type="dxa"/>
            <w:tcBorders>
              <w:bottom w:val="single" w:sz="2" w:space="0" w:color="000000"/>
            </w:tcBorders>
            <w:tcMar>
              <w:bottom w:w="28" w:type="dxa"/>
            </w:tcMar>
          </w:tcPr>
          <w:p>
            <w:pPr>
              <w:pStyle w:val="TableContents"/>
              <w:bidi w:val="0"/>
              <w:spacing w:before="0" w:after="283"/>
              <w:jc w:val="left"/>
              <w:rPr/>
            </w:pPr>
            <w:r>
              <w:rPr/>
              <w:t>/s/ Joel Becker</w:t>
            </w:r>
          </w:p>
        </w:tc>
      </w:tr>
      <w:tr>
        <w:trPr/>
        <w:tc>
          <w:tcPr>
            <w:tcW w:w="4860" w:type="dxa"/>
            <w:gridSpan w:val="3"/>
            <w:tcBorders/>
          </w:tcPr>
          <w:p>
            <w:pPr>
              <w:pStyle w:val="TableContents"/>
              <w:bidi w:val="0"/>
              <w:spacing w:before="0" w:after="283"/>
              <w:jc w:val="left"/>
              <w:rPr>
                <w:sz w:val="20"/>
              </w:rPr>
            </w:pPr>
            <w:r>
              <w:rPr>
                <w:sz w:val="20"/>
              </w:rPr>
              <w:t>Printed Name: Abraham N. Ceesay</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56" w:type="dxa"/>
            <w:gridSpan w:val="3"/>
            <w:tcBorders/>
          </w:tcPr>
          <w:p>
            <w:pPr>
              <w:pStyle w:val="TableContents"/>
              <w:bidi w:val="0"/>
              <w:spacing w:before="0" w:after="283"/>
              <w:jc w:val="left"/>
              <w:rPr>
                <w:sz w:val="20"/>
              </w:rPr>
            </w:pPr>
            <w:r>
              <w:rPr>
                <w:sz w:val="20"/>
              </w:rPr>
              <w:t>Printed Name: Joel Becker</w:t>
            </w:r>
          </w:p>
        </w:tc>
      </w:tr>
      <w:tr>
        <w:trPr>
          <w:trHeight w:val="240" w:hRule="atLeast"/>
        </w:trPr>
        <w:tc>
          <w:tcPr>
            <w:tcW w:w="4860" w:type="dxa"/>
            <w:gridSpan w:val="3"/>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c>
          <w:tcPr>
            <w:tcW w:w="4863" w:type="dxa"/>
            <w:gridSpan w:val="4"/>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Pr>
          <w:p>
            <w:pPr>
              <w:pStyle w:val="TableContents"/>
              <w:bidi w:val="0"/>
              <w:spacing w:before="0" w:after="283"/>
              <w:jc w:val="left"/>
              <w:rPr>
                <w:sz w:val="20"/>
              </w:rPr>
            </w:pPr>
            <w:r>
              <w:rPr>
                <w:sz w:val="20"/>
              </w:rPr>
              <w:t>Date: March 1, 2024</w:t>
            </w:r>
          </w:p>
        </w:tc>
        <w:tc>
          <w:tcPr>
            <w:tcW w:w="107" w:type="dxa"/>
            <w:tcBorders/>
            <w:vAlign w:val="bottom"/>
          </w:tcPr>
          <w:p>
            <w:pPr>
              <w:pStyle w:val="TableContents"/>
              <w:bidi w:val="0"/>
              <w:spacing w:before="0" w:after="283"/>
              <w:jc w:val="left"/>
              <w:rPr/>
            </w:pPr>
            <w:r>
              <w:rPr/>
              <w:t> </w:t>
            </w:r>
          </w:p>
        </w:tc>
        <w:tc>
          <w:tcPr>
            <w:tcW w:w="37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756" w:type="dxa"/>
            <w:gridSpan w:val="3"/>
            <w:tcBorders/>
          </w:tcPr>
          <w:p>
            <w:pPr>
              <w:pStyle w:val="TableContents"/>
              <w:bidi w:val="0"/>
              <w:spacing w:before="0" w:after="283"/>
              <w:jc w:val="left"/>
              <w:rPr>
                <w:sz w:val="20"/>
              </w:rPr>
            </w:pPr>
            <w:r>
              <w:rPr>
                <w:sz w:val="20"/>
              </w:rPr>
              <w:t>Date: February 28, 2024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54" w:name="d803738dex1013.htm"/>
      <w:bookmarkStart w:id="55" w:name="ksd803738dex1013"/>
      <w:bookmarkEnd w:id="54"/>
      <w:bookmarkEnd w:id="55"/>
      <w:r>
        <w:rPr>
          <w:rFonts w:ascii="Times New Roman" w:hAnsi="Times New Roman"/>
          <w:b/>
          <w:sz w:val="20"/>
        </w:rPr>
        <w:t xml:space="preserve">Exhibit 10.13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SUBLEASE AGREEMENT </w:t>
      </w:r>
    </w:p>
    <w:p>
      <w:pPr>
        <w:pStyle w:val="TextBody"/>
        <w:bidi w:val="0"/>
        <w:spacing w:before="240" w:after="0"/>
        <w:jc w:val="left"/>
        <w:rPr>
          <w:rFonts w:ascii="Times New Roman" w:hAnsi="Times New Roman"/>
          <w:sz w:val="20"/>
        </w:rPr>
      </w:pPr>
      <w:r>
        <w:rPr>
          <w:rFonts w:ascii="Times New Roman" w:hAnsi="Times New Roman"/>
          <w:sz w:val="20"/>
        </w:rPr>
        <w:t>This SUBLEASE AGREEMENT (this </w:t>
      </w:r>
      <w:r>
        <w:rPr>
          <w:rFonts w:ascii="Times New Roman" w:hAnsi="Times New Roman"/>
          <w:sz w:val="20"/>
          <w:u w:val="single"/>
        </w:rPr>
        <w:t>Sublease</w:t>
      </w:r>
      <w:r>
        <w:rPr>
          <w:rFonts w:ascii="Times New Roman" w:hAnsi="Times New Roman"/>
          <w:sz w:val="20"/>
        </w:rPr>
        <w:t>) is made as of the 15th day of June 2023 (the </w:t>
      </w:r>
      <w:r>
        <w:rPr>
          <w:rFonts w:ascii="Times New Roman" w:hAnsi="Times New Roman"/>
          <w:sz w:val="20"/>
          <w:u w:val="single"/>
        </w:rPr>
        <w:t>Effective Date</w:t>
      </w:r>
      <w:r>
        <w:rPr>
          <w:rFonts w:ascii="Times New Roman" w:hAnsi="Times New Roman"/>
          <w:sz w:val="20"/>
        </w:rPr>
        <w:t xml:space="preserve">) between </w:t>
      </w:r>
      <w:r>
        <w:rPr>
          <w:rFonts w:ascii="Times New Roman" w:hAnsi="Times New Roman"/>
          <w:b/>
          <w:sz w:val="20"/>
        </w:rPr>
        <w:t xml:space="preserve">Whoop, Inc., </w:t>
      </w:r>
      <w:r>
        <w:rPr>
          <w:rFonts w:ascii="Times New Roman" w:hAnsi="Times New Roman"/>
          <w:sz w:val="20"/>
        </w:rPr>
        <w:t>a Delaware corporation (</w:t>
      </w:r>
      <w:r>
        <w:rPr>
          <w:rFonts w:ascii="Times New Roman" w:hAnsi="Times New Roman"/>
          <w:sz w:val="20"/>
          <w:u w:val="single"/>
        </w:rPr>
        <w:t>Sublessor</w:t>
      </w:r>
      <w:r>
        <w:rPr>
          <w:rFonts w:ascii="Times New Roman" w:hAnsi="Times New Roman"/>
          <w:sz w:val="20"/>
        </w:rPr>
        <w:t xml:space="preserve">) with an address of One Kenmore Square, Suite 601, Boston, MA 02215 and </w:t>
      </w:r>
      <w:r>
        <w:rPr>
          <w:rFonts w:ascii="Times New Roman" w:hAnsi="Times New Roman"/>
          <w:b/>
          <w:sz w:val="20"/>
        </w:rPr>
        <w:t>Rapport Therapeutics, Inc.</w:t>
      </w:r>
      <w:r>
        <w:rPr>
          <w:rFonts w:ascii="Times New Roman" w:hAnsi="Times New Roman"/>
          <w:sz w:val="20"/>
        </w:rPr>
        <w:t>, a Delaware corporation (</w:t>
      </w:r>
      <w:r>
        <w:rPr>
          <w:rFonts w:ascii="Times New Roman" w:hAnsi="Times New Roman"/>
          <w:sz w:val="20"/>
          <w:u w:val="single"/>
        </w:rPr>
        <w:t>Sublessee</w:t>
      </w:r>
      <w:r>
        <w:rPr>
          <w:rFonts w:ascii="Times New Roman" w:hAnsi="Times New Roman"/>
          <w:sz w:val="20"/>
        </w:rPr>
        <w:t xml:space="preserve">), with an address of 201 Brookline Ave, Suite 1401, Boston, MA 02215. </w:t>
      </w:r>
    </w:p>
    <w:p>
      <w:pPr>
        <w:pStyle w:val="TextBody"/>
        <w:bidi w:val="0"/>
        <w:spacing w:before="24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pursuant to that certain Lease dated December 21, 2015 (the </w:t>
      </w:r>
      <w:r>
        <w:rPr>
          <w:rFonts w:ascii="Times New Roman" w:hAnsi="Times New Roman"/>
          <w:sz w:val="20"/>
          <w:u w:val="single"/>
        </w:rPr>
        <w:t>Initial Prime Lease</w:t>
      </w:r>
      <w:r>
        <w:rPr>
          <w:rFonts w:ascii="Times New Roman" w:hAnsi="Times New Roman"/>
          <w:sz w:val="20"/>
        </w:rPr>
        <w:t>), as affected by that certain First Amendment of Lease dated September 10, 2019 (the </w:t>
      </w:r>
      <w:r>
        <w:rPr>
          <w:rFonts w:ascii="Times New Roman" w:hAnsi="Times New Roman"/>
          <w:sz w:val="20"/>
          <w:u w:val="single"/>
        </w:rPr>
        <w:t>First Amendment</w:t>
      </w:r>
      <w:r>
        <w:rPr>
          <w:rFonts w:ascii="Times New Roman" w:hAnsi="Times New Roman"/>
          <w:sz w:val="20"/>
        </w:rPr>
        <w:t> and, together with the Initial Prime Lease, the </w:t>
      </w:r>
      <w:r>
        <w:rPr>
          <w:rFonts w:ascii="Times New Roman" w:hAnsi="Times New Roman"/>
          <w:sz w:val="20"/>
          <w:u w:val="single"/>
        </w:rPr>
        <w:t>Prime Lease</w:t>
      </w:r>
      <w:r>
        <w:rPr>
          <w:rFonts w:ascii="Times New Roman" w:hAnsi="Times New Roman"/>
          <w:sz w:val="20"/>
        </w:rPr>
        <w:t>) by and between Sublessor, as tenant, and Boylston West LLC (</w:t>
      </w:r>
      <w:r>
        <w:rPr>
          <w:rFonts w:ascii="Times New Roman" w:hAnsi="Times New Roman"/>
          <w:sz w:val="20"/>
          <w:u w:val="single"/>
        </w:rPr>
        <w:t>Prime Landlord</w:t>
      </w:r>
      <w:r>
        <w:rPr>
          <w:rFonts w:ascii="Times New Roman" w:hAnsi="Times New Roman"/>
          <w:sz w:val="20"/>
        </w:rPr>
        <w:t xml:space="preserve">), as landlord, which Prime Lease, redacted as appropriate, is attached hereto as </w:t>
      </w:r>
      <w:r>
        <w:rPr>
          <w:rFonts w:ascii="Times New Roman" w:hAnsi="Times New Roman"/>
          <w:b/>
          <w:sz w:val="20"/>
          <w:u w:val="single"/>
        </w:rPr>
        <w:t>Exhibit A</w:t>
      </w:r>
      <w:r>
        <w:rPr>
          <w:rFonts w:ascii="Times New Roman" w:hAnsi="Times New Roman"/>
          <w:sz w:val="20"/>
        </w:rPr>
        <w:t>, Sublessor has leased from Prime Landlord approximately 10,779 rentable square feet on the fourth (4th) floor at a building known as Van Ness and located at 1325 Boylston Street, Boston, Massachusetts (the </w:t>
      </w:r>
      <w:r>
        <w:rPr>
          <w:rFonts w:ascii="Times New Roman" w:hAnsi="Times New Roman"/>
          <w:sz w:val="20"/>
          <w:u w:val="single"/>
        </w:rPr>
        <w:t>Building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Sublessee desires to sublease from Sublessor, and Sublessor desires to sublease to Sublessee, the entirety of the premises leased by Sublessor under the Prime Lease, as shown on </w:t>
      </w:r>
      <w:r>
        <w:rPr>
          <w:rFonts w:ascii="Times New Roman" w:hAnsi="Times New Roman"/>
          <w:b/>
          <w:sz w:val="20"/>
          <w:u w:val="single"/>
        </w:rPr>
        <w:t>Exhibit B</w:t>
      </w:r>
      <w:r>
        <w:rPr>
          <w:rFonts w:ascii="Times New Roman" w:hAnsi="Times New Roman"/>
          <w:sz w:val="20"/>
        </w:rPr>
        <w:t xml:space="preserve"> (hereinafter referred to as the </w:t>
      </w:r>
      <w:r>
        <w:rPr>
          <w:rFonts w:ascii="Times New Roman" w:hAnsi="Times New Roman"/>
          <w:sz w:val="20"/>
          <w:u w:val="single"/>
        </w:rPr>
        <w:t>Subleased Premises</w:t>
      </w:r>
      <w:r>
        <w:rPr>
          <w:rFonts w:ascii="Times New Roman" w:hAnsi="Times New Roman"/>
          <w:sz w:val="20"/>
        </w:rPr>
        <w:t xml:space="preserve">) upon the terms and conditions set forth in this Sublease. </w:t>
      </w:r>
    </w:p>
    <w:p>
      <w:pPr>
        <w:pStyle w:val="TextBody"/>
        <w:bidi w:val="0"/>
        <w:spacing w:before="240" w:after="0"/>
        <w:jc w:val="center"/>
        <w:rPr>
          <w:rFonts w:ascii="Times New Roman" w:hAnsi="Times New Roman"/>
          <w:sz w:val="20"/>
        </w:rPr>
      </w:pPr>
      <w:r>
        <w:rPr>
          <w:rFonts w:ascii="Times New Roman" w:hAnsi="Times New Roman"/>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covenants and agreements contained herein, and for other good and valuable consideration, the receipt and legal sufficiency of which are acknowledged, Sublessor and Sublessee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Sublease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w:t>
      </w:r>
      <w:r>
        <w:rPr>
          <w:rFonts w:ascii="Times New Roman" w:hAnsi="Times New Roman"/>
          <w:sz w:val="20"/>
        </w:rPr>
        <w:t>. Sublessor demises and subleases to Sublessee, and Sublessee hires and subleases from Sublessor, the Subleased Premises, together with all appurtenances applicable thereto pursuant to the Prime Lease for a term (the </w:t>
      </w:r>
      <w:r>
        <w:rPr>
          <w:rFonts w:ascii="Times New Roman" w:hAnsi="Times New Roman"/>
          <w:sz w:val="20"/>
          <w:u w:val="single"/>
        </w:rPr>
        <w:t>Sublease Term</w:t>
      </w:r>
      <w:r>
        <w:rPr>
          <w:rFonts w:ascii="Times New Roman" w:hAnsi="Times New Roman"/>
          <w:sz w:val="20"/>
        </w:rPr>
        <w:t>) commencing on the Sublease Commencement Date (as defined in Paragraph 1.2 below) and ending at 11:59 p.m. on December 31, 2026 (the </w:t>
      </w:r>
      <w:r>
        <w:rPr>
          <w:rFonts w:ascii="Times New Roman" w:hAnsi="Times New Roman"/>
          <w:sz w:val="20"/>
          <w:u w:val="single"/>
        </w:rPr>
        <w:t>Termination Date</w:t>
      </w:r>
      <w:r>
        <w:rPr>
          <w:rFonts w:ascii="Times New Roman" w:hAnsi="Times New Roman"/>
          <w:sz w:val="20"/>
        </w:rPr>
        <w:t xml:space="preserve">), unless sooner terminated pursuant to any provision hereof. The first Sublease Year shall commence on the Sublease Commencement Date and shall end on the date that is the last day of the 12th full calendar month thereafter. Each successive Sublease Year shall mean the twelve (12) full calendar months occurring thereafter, provided that the last Sublease Year shall end on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Sublease Commencement Date</w:t>
      </w:r>
      <w:r>
        <w:rPr>
          <w:rFonts w:ascii="Times New Roman" w:hAnsi="Times New Roman"/>
          <w:sz w:val="20"/>
        </w:rPr>
        <w:t xml:space="preserve">. (a) The Sublease Commencement Date shall be the latest of: (i) the date the Subleased Premises is delivered by Sublessor to Sublessee in the condition required in Section 1.4 hereof, (ii) the granting of Consent (as defined in Paragraph 14.11 of this Sublease) by Prime Landlord, or (iii) July 1, 2023. Promptly after the determination of the Sublease Commencement Date, if requested by either party, Sublessor and Sublessee shall enter into a commencement letter agreement detailing the actual date of the Sublease Commencement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Beginning on June 15, 2023, Sublessee shall have the right to access to the Subleased Premises (the </w:t>
      </w:r>
      <w:r>
        <w:rPr>
          <w:rFonts w:ascii="Times New Roman" w:hAnsi="Times New Roman"/>
          <w:sz w:val="20"/>
          <w:u w:val="single"/>
        </w:rPr>
        <w:t>Early Access Period</w:t>
      </w:r>
      <w:r>
        <w:rPr>
          <w:rFonts w:ascii="Times New Roman" w:hAnsi="Times New Roman"/>
          <w:sz w:val="20"/>
        </w:rPr>
        <w:t xml:space="preserve">) for the sole purpose of preparing the Subleased Premises for its occupancy, including without limitation coordinating tel/data vendors and taking measurements for interior signage and branding, provided that (i) Sublessee coordinates such access in advance with Sublessor and does not unreasonably interfere with Sublessors Work (as defined in Section 1.4) or perform any alterations, (ii) Sublessee shall not be entitled to move any furniture, fixtures or equipment into the Subleased Premises until Sublessor has vacated the Subleased Premises, and (iii) Sublessee has delivered to Sublessor all required evidence of insurance. Such entry during the Early Access Period shall be in compliance with all the terms and conditions of this Sublease other than the payment of Rent, provided that Sublessee shall pay any charges for building services charged by Prime Landlord in connection with Sublessees activities during the Early Access Period, if any. In addition, and not in limitation of the foregoing, Sublessee shall have the right to access the Subleased Premises from and after the Effective Date for design and planning purposes, provided that Sublessee does not unreasonably interfere with Sublessors business. Sublessee shall provide Sublandlord with twenty-four (24) hour notice prior to accessing the Subleased Premises and all vendors shall, at Sublandlords request, execute Sublandlords form of Confidentiality and Non-Disclosure Agreement.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Use</w:t>
      </w:r>
      <w:r>
        <w:rPr>
          <w:rFonts w:ascii="Times New Roman" w:hAnsi="Times New Roman"/>
          <w:sz w:val="20"/>
        </w:rPr>
        <w:t xml:space="preserve">. The Subleased Premises shall be used and occupied for general office use and no other purposes, in accordance with the provisions of the Prime Lease.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Delivery</w:t>
      </w:r>
      <w:r>
        <w:rPr>
          <w:rFonts w:ascii="Times New Roman" w:hAnsi="Times New Roman"/>
          <w:sz w:val="20"/>
        </w:rPr>
        <w:t xml:space="preserve">. Sublessor shall be responsible, at its sole cost and expense, for (i) demising the Subleased Premises and installing 2 post rack with patch panels only for Sublessees tel/data and providing related power (with Sublessee responsible for providing ISP circuit and network equipment), as shown on </w:t>
      </w:r>
      <w:r>
        <w:rPr>
          <w:rFonts w:ascii="Times New Roman" w:hAnsi="Times New Roman"/>
          <w:b/>
          <w:sz w:val="20"/>
          <w:u w:val="single"/>
        </w:rPr>
        <w:t>Exhibit C</w:t>
      </w:r>
      <w:r>
        <w:rPr>
          <w:rFonts w:ascii="Times New Roman" w:hAnsi="Times New Roman"/>
          <w:sz w:val="20"/>
        </w:rPr>
        <w:t xml:space="preserve"> in compliance with all applicable laws, codes and regulations, and (ii) removing its signage and repairing any damage related to the signage or its removal (collectively, </w:t>
      </w:r>
      <w:r>
        <w:rPr>
          <w:rFonts w:ascii="Times New Roman" w:hAnsi="Times New Roman"/>
          <w:sz w:val="20"/>
          <w:u w:val="single"/>
        </w:rPr>
        <w:t>Sublessors Work</w:t>
      </w:r>
      <w:r>
        <w:rPr>
          <w:rFonts w:ascii="Times New Roman" w:hAnsi="Times New Roman"/>
          <w:sz w:val="20"/>
        </w:rPr>
        <w:t>). As part of Sublessors Work, Sublessor will provide Sublessee with one duplex outlet only for ISP and 2-post rack. In addition to Sublessors Work, Sublessor shall cause its contractor to install a NEMA receptacle, the full cost of which shall be paid by Sublessee within ten (10) days from invoice by either Sublessor or its contractor. Sublessor shall use reasonable efforts to complete Sublessors Work no later than July 1, 2023 (the </w:t>
      </w:r>
      <w:r>
        <w:rPr>
          <w:rFonts w:ascii="Times New Roman" w:hAnsi="Times New Roman"/>
          <w:sz w:val="20"/>
          <w:u w:val="single"/>
        </w:rPr>
        <w:t>Estimated Delivery</w:t>
      </w:r>
      <w:r>
        <w:rPr>
          <w:rFonts w:ascii="Times New Roman" w:hAnsi="Times New Roman"/>
          <w:sz w:val="20"/>
        </w:rPr>
        <w:t xml:space="preserve"> </w:t>
      </w:r>
      <w:r>
        <w:rPr>
          <w:rFonts w:ascii="Times New Roman" w:hAnsi="Times New Roman"/>
          <w:sz w:val="20"/>
          <w:u w:val="single"/>
        </w:rPr>
        <w:t>Date</w:t>
      </w:r>
      <w:r>
        <w:rPr>
          <w:rFonts w:ascii="Times New Roman" w:hAnsi="Times New Roman"/>
          <w:sz w:val="20"/>
        </w:rPr>
        <w:t>), but Sublessor shall not be liable to Sublessee for failure to complete Sublessors Work by said date. Notwithstanding the foregoing or anything to the contrary otherwise set forth herein, if Sublessor has not delivered the Subleased Premises to Sublessee in the condition herein required on or before August 1, 2023 (the </w:t>
      </w:r>
      <w:r>
        <w:rPr>
          <w:rFonts w:ascii="Times New Roman" w:hAnsi="Times New Roman"/>
          <w:sz w:val="20"/>
          <w:u w:val="single"/>
        </w:rPr>
        <w:t>Initial Delivery Deadline</w:t>
      </w:r>
      <w:r>
        <w:rPr>
          <w:rFonts w:ascii="Times New Roman" w:hAnsi="Times New Roman"/>
          <w:sz w:val="20"/>
        </w:rPr>
        <w:t xml:space="preserve">), then, except if such delay is caused by Sublessee or by reason of force majeure, the Rent Commencement Date shall be extended by one day for each day beyond the Initial Delivery Deadline that the Subleased Premises have not been delivered to Sublessee in said condition, and if the Sublessor fails to deliver possession of the Subleased Premises to Sublessee on or before September 1, 2023, Sublessee shall have the right to terminate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Sublease upon written notice to Sublessor, delivered at any time before Sublessor delivers possession of the Subleased Premises to Sublessee, without penalty or liability, in which event this Sublease shall be null and void and the Security Deposit shall immediately be returned to Sublessee. For the sake of clarity, force majeure shall not include delays in supplies, materials or labor. Sublessee acknowledges and agrees that it has had the opportunity to inspect and familiarize itself with the Subleased Premises and has done so. Sublessees taking possession of the Subleased Premises shall be conclusive evidence by Sublessee that the Subleased Premises were in good order and satisfactory condition when Sublessee took possession. Except for the Sublessors Work and as otherwise expressly set forth herein, the Subleased Premises shall be delivered to Sublessee on the Sublease Commencement Date with all of Sublessors personal property removed other than the Included FF&amp;E (as defined hereafter), and in broom clean but otherwise AS IS, WHERE IS condition, without any obligation on the part of Sublessor to prepare or construct the Subleased Premises for Sublessees occupancy. Sublessor shall warrant the tel/data infrastructure portion of Sublessors Work that connects to the conference rooms and wireless access points (excluding however any additional work in connection therewith performed or requested by Sublessee) beginning on the date that the Internet Service Provider installation is complete and turned on until the earlier of (i) the date that Sublessee first performs a test that demonstrates to its reasonable satisfaction that its tel/data systems are operating or (ii) forty-five days, provided however that such warranty shall be void if Sublessee modifies or relocates the tel/data cabling. Sublessors sole responsibility under the foregoing warranty will be, at Sublessors option, to either repair or replace the component (s) which fail to satisfy such warranty due to a defect in workmanship and/or material. Sublessee acknowledges that neither Sublessor nor Sublessors agents have made any representation or warranty as to the condition of the Subleased Premises or the suitability of the Subleased Premises for the conduct of Sublessees business. Notwithstanding the foregoing or anything otherwise set forth herein, to Sublessors actual knowledge and without any duty to investigate, all mechanical (including HVAC), electrical and plumbing systems serving the Subleased Premises are in good working order and condition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Security Deposit</w:t>
      </w:r>
      <w:r>
        <w:rPr>
          <w:rFonts w:ascii="Times New Roman" w:hAnsi="Times New Roman"/>
          <w:sz w:val="20"/>
        </w:rPr>
        <w:t>. Upon execution of this Sublease, Sublessee shall pay to Sublessor a Security Deposit in the amount of One Hundred Thirty Two Thousand Nine Hundred Forty-One and No/100 Dollars ($132,941.00) (the </w:t>
      </w:r>
      <w:r>
        <w:rPr>
          <w:rFonts w:ascii="Times New Roman" w:hAnsi="Times New Roman"/>
          <w:sz w:val="20"/>
          <w:u w:val="single"/>
        </w:rPr>
        <w:t>Security Deposit</w:t>
      </w:r>
      <w:r>
        <w:rPr>
          <w:rFonts w:ascii="Times New Roman" w:hAnsi="Times New Roman"/>
          <w:sz w:val="20"/>
        </w:rPr>
        <w:t xml:space="preserve">) as security for Sublessees performance of all of the provisions of this Sublease. Sublessor shall not be required to segregate the Security Deposit from its other funds and no interest shall accrue or be payable to Sublessee with respect thereto. Sublessor may (but shall not be required to) use the Security Deposit or any portion thereof to cure any default under this Sublease or to compensate Sublessor for any damage Sublessor incurs as a result of Sublessees failure to perform any of its obligations hereunder. In such event, and upon written notice from Sublessor to Sublessee specifying the amount of the Security Deposit so utilized by Sublessor and the particular use of which such amount was used, Sublessee shall immediately deposit with Sublessor an amount sufficient to return the Security Deposit to its original amount. Sublessees failure to make such payment to Sublessor within five (5) business days of Sublessors notice shall constitute a default hereunder. If Sublessee is not in default of the terms and conditions at the expiration or termination of this Sublease, Sublessor shall return to Sublessee the Security Deposit or the balance thereof then held by Sublessor no later than sixty (60) days after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Incorporation of the Prime Lease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Compliance with Prime Lease</w:t>
      </w:r>
      <w:r>
        <w:rPr>
          <w:rFonts w:ascii="Times New Roman" w:hAnsi="Times New Roman"/>
          <w:sz w:val="20"/>
        </w:rPr>
        <w:t xml:space="preserve">. Except as expressly otherwise provided in this Sublease, Sublessee shall timely and fully comply with all of the provisions of the Prime Lease that are to be observed or performed during the Sublease Term by Sublessor, as tenant under the Prime Lease, with respect to the Subleased Premises (except for the </w:t>
      </w:r>
      <w:r>
        <w:rPr>
          <w:rFonts w:ascii="Times New Roman" w:hAnsi="Times New Roman"/>
          <w:sz w:val="20"/>
          <w:u w:val="single"/>
        </w:rPr>
        <w:t>Excluded Provisions</w:t>
      </w:r>
      <w:r>
        <w:rPr>
          <w:rFonts w:ascii="Times New Roman" w:hAnsi="Times New Roman"/>
          <w:sz w:val="20"/>
        </w:rPr>
        <w:t xml:space="preserve"> listed below); provided, the amount of any Base Rent and any other amounts due hereunder to be paid by Sublessee shall be governed by the terms of this Sublease. Notwithstanding any other provision of this Sublease, Sublessee shall not, by any act or omission, cause Sublessor to be in violation of or in default under the Prime Lease, or do or permit, any act that is in violation of the Sublease or the Prime Lease (subject, in each instance, to the exclusion of the </w:t>
      </w:r>
      <w:r>
        <w:rPr>
          <w:rFonts w:ascii="Times New Roman" w:hAnsi="Times New Roman"/>
          <w:sz w:val="20"/>
          <w:u w:val="single"/>
        </w:rPr>
        <w:t>Excluded Provisions</w:t>
      </w:r>
      <w:r>
        <w:rPr>
          <w:rFonts w:ascii="Times New Roman" w:hAnsi="Times New Roman"/>
          <w:sz w:val="20"/>
        </w:rPr>
        <w:t xml:space="preserve"> listed below).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Incorporation of Prime Lease</w:t>
      </w:r>
      <w:r>
        <w:rPr>
          <w:rFonts w:ascii="Times New Roman" w:hAnsi="Times New Roman"/>
          <w:sz w:val="20"/>
        </w:rPr>
        <w:t xml:space="preserve">. Insofar as the provisions of the Prime Lease do not conflict with specific provisions of this Sublease, such provisions (except for the </w:t>
      </w:r>
      <w:r>
        <w:rPr>
          <w:rFonts w:ascii="Times New Roman" w:hAnsi="Times New Roman"/>
          <w:sz w:val="20"/>
          <w:u w:val="single"/>
        </w:rPr>
        <w:t>Excluded Provisions</w:t>
      </w:r>
      <w:r>
        <w:rPr>
          <w:rFonts w:ascii="Times New Roman" w:hAnsi="Times New Roman"/>
          <w:sz w:val="20"/>
        </w:rPr>
        <w:t xml:space="preserve"> listed below) are incorporated by this reference into this Sublease as fully as if completely restated herein. Subject to the preceding sentence, Sublessee shall be bound by all the provisions of the Prime Lease pertaining to the Subleased Premises and shall perform all of the obligations and responsibilities that Sublessor is obligated to perform pursuant to the Prime Lease pertaining to the Subleased Premises from and after the Sublease Commencement Date. Therefore, for the purposes of this Sublease, wherever in the Prime Lease the word </w:t>
      </w:r>
      <w:r>
        <w:rPr>
          <w:rFonts w:ascii="Times New Roman" w:hAnsi="Times New Roman"/>
          <w:sz w:val="20"/>
          <w:u w:val="single"/>
        </w:rPr>
        <w:t>Landlord</w:t>
      </w:r>
      <w:r>
        <w:rPr>
          <w:rFonts w:ascii="Times New Roman" w:hAnsi="Times New Roman"/>
          <w:sz w:val="20"/>
        </w:rPr>
        <w:t> is used, it shall mean Sublessor, and wherever in the Prime Lease the word </w:t>
      </w:r>
      <w:r>
        <w:rPr>
          <w:rFonts w:ascii="Times New Roman" w:hAnsi="Times New Roman"/>
          <w:sz w:val="20"/>
          <w:u w:val="single"/>
        </w:rPr>
        <w:t>Tenant</w:t>
      </w:r>
      <w:r>
        <w:rPr>
          <w:rFonts w:ascii="Times New Roman" w:hAnsi="Times New Roman"/>
          <w:sz w:val="20"/>
        </w:rPr>
        <w:t xml:space="preserve"> is used, it shall mean Sublessee,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the word </w:t>
      </w:r>
      <w:r>
        <w:rPr>
          <w:rFonts w:ascii="Times New Roman" w:hAnsi="Times New Roman"/>
          <w:sz w:val="20"/>
          <w:u w:val="single"/>
        </w:rPr>
        <w:t>Landlord</w:t>
      </w:r>
      <w:r>
        <w:rPr>
          <w:rFonts w:ascii="Times New Roman" w:hAnsi="Times New Roman"/>
          <w:sz w:val="20"/>
        </w:rPr>
        <w:t xml:space="preserve"> shall mean (i) Prime Landlord, not Sublessor, with respect to any provisions in the Prime Lease relating to Prime Landlords representations, warranties or obligations relating to the compliance of the Subleased Premises (or portions thereof) or any portion of the Building with any laws, or any repair, restoration, replacement, maintenance or alteration obligations on the part of Prime Landlord; any provisions relating to Prime Landlords obligation to maintain insurance; provisions relating to Prime Landlords indemnification obligations; any provisions relating to Prime Landlords representations, warranties or obligations relating to the existence of hazardous materials on, at, in, under or about the Subleased Premises; any remedial work or other obligations on the part of Prime Landlord relating thereto; any obligation to pay any tenant allowance; and any obligation to obtain a non-disturbance agreement from any mortgagee.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Time Periods</w:t>
      </w:r>
      <w:r>
        <w:rPr>
          <w:rFonts w:ascii="Times New Roman" w:hAnsi="Times New Roman"/>
          <w:sz w:val="20"/>
        </w:rPr>
        <w:t xml:space="preserve">. Except in the event of a default, in which event the time periods provided in Paragraph 7.2 hereof shall govern, with respect to any time periods provided in the Prime Lease: (a) in any instance where Prime Landlord under the Prime Lease has a certain time period in which to notify Sublessor of some decision by Prime Landlord that Prime Landlord will or will not take some action, Sublessor shall have an additional two (2) business day period after receiving such notice in which to notify Sublessee; and (b) in any instance where Sublessor, as tenant under the Prime Lease, has a certain time period in which to notify Prime Landlord under the Prime Lease of some decision by Sublessor that Sublessor will or will not take some action, Sublessee must notify Sublessor at least two (2) business days prior to the end of the period granted in the Prime Lease of any decision by Sublessee that Sublessee will or will not take some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Subject to Prime Lease</w:t>
      </w:r>
      <w:r>
        <w:rPr>
          <w:rFonts w:ascii="Times New Roman" w:hAnsi="Times New Roman"/>
          <w:sz w:val="20"/>
        </w:rPr>
        <w:t xml:space="preserve">. This Sublease is expressly subject and subordinate to the Prime Lease, and to the rights of Prime Landlord thereunder, and Sublessee shall under no circumstances have any greater rights than does Sublessor under the Prime Lease, and no provision of this Sublease shall be construed in a manner that would constitute a breach of the Prime Lease. Without limiting the generality of the foregoing, in the event of the termination or cancellation of the Prime Lease for any reason, this Sublease shall automatically be deemed terminated effective as of the same day of such cancellation or termination of the Prime Lease, and Sublessor shall have no liability or obligation to Sublessee as a result thereof; provided, however, that if the Prime Lease terminates as a result of a default or breach by either party hereto under this Sublease or the Prime Lease, then the defaulting or breaching party shall indemnify, exonerate and hold the other party hereto harmless from and against any and all loss, cost, damage and liability (including without limitation reasonable attorneys fees) incurred by it by reason of such breach by the defaulting or breaching party of its obligation, covenants and/or undertakings under this Sublease and/or the Prime Lease as applicable or failure to perform any obligations assumed by it under this Sublease. Sublessor hereby agrees that it shall not voluntarily terminate the Prime Lease (except for any termination rights granted to Sublessor as a result of a casualty or eminent domain). Notwithstanding the foregoing or anything otherwise provided elsewhere herein, Sublessor covenants that it will not (i) terminate the Prime Lease, or (ii) otherwise breach its obligations or covenants under, or default under, the Prime Lease which results in a termination of the Prime Lease by the Prime Landlord or otherwise materially adversely affect Sublessors rights to use the Subleased Premises. In elaboration, and not in limitation, of the foregoing, except in the event of a casualty or condemnation and provided and so long as this Sublease is in full force and effect, Sublessor will not voluntarily surrender the Subleased Premises or enter into an agreement with Prime Landlord to terminate the Prime Lease with respect to the Subleased Premises where the effective date of such surrender or termination is prior to the Termination Date. Further, Sublessor covenants that it will provide Sublessee with any notices of default received by Sublessor from the Prime Landlord under the Prime Lease within three (3) business days of receipt of same and will provide Sublessee with any notices of default that Sublessor provides to the Prime Landlord under the Prime Lease within three (3) business days of the date same are first sent to the Prime Landlord. Notwithstanding the foregoing, Sublessor shall not be liable to Sublessee for a termination of the Prime Lease if the Prime Landlord permits Sublessee to continue to occupy the Subleased Premises pursuant to the terms of this Sublease through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Approval of Prime Lease; Amendments to Prime Lease</w:t>
      </w:r>
      <w:r>
        <w:rPr>
          <w:rFonts w:ascii="Times New Roman" w:hAnsi="Times New Roman"/>
          <w:sz w:val="20"/>
        </w:rPr>
        <w:t xml:space="preserve">. Sublessee represents that it has read and is familiar with all of the provisions of the redacted version of the Prime Lease. Sublessor shall not amend or modify any term of the Prime Lease in any manner that would materially and adversely affect Sublessees rights under this Sublease.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Services</w:t>
      </w:r>
      <w:r>
        <w:rPr>
          <w:rFonts w:ascii="Times New Roman" w:hAnsi="Times New Roman"/>
          <w:sz w:val="20"/>
        </w:rPr>
        <w:t xml:space="preserve">. Notwithstanding anything in this Sublease to the contrary, Sublessee acknowledges and agrees that Sublessor shall not be obligated to furnish to Sublessee any services of any nature whatsoever (including, without limitation, the furnishing of heat, electrical energy, air conditioning, elevator service, cleaning, window washing, and rubbish removal services, or security services). Insofar as Prime Landlord is obligated to furnish any maintenance or services to the Subleased Premises or to repair or rebuild the same, Sublessee expressly acknowledges that Sublessor does not undertake the performance or observance of such obligations, but is only obligated, upon receipt of written notice from Sublessee, to use commercially reasonable efforts to obtain Prime Landlords performance for Sublessees benefit and without obligating itself to institute legal action or incur any expense.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Consent of Prime Landlord</w:t>
      </w:r>
      <w:r>
        <w:rPr>
          <w:rFonts w:ascii="Times New Roman" w:hAnsi="Times New Roman"/>
          <w:sz w:val="20"/>
        </w:rPr>
        <w:t xml:space="preserve">. Wherever Sublessors consent is required under this Sublease, the consent of Prime Landlord shall also be required (to the extent set forth in the Prime Lease), Whenever Prime Landlords consent is required under the Prime Lease. the consent of Sublessor shall also be required, which consent shall not be unreasonably withheld. The Prime Landlords failure to consent to any matter when required shall constitute a reasonable basis for Sublessors withholding of consent.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Prime Landlords Representations and Warranties</w:t>
      </w:r>
      <w:r>
        <w:rPr>
          <w:rFonts w:ascii="Times New Roman" w:hAnsi="Times New Roman"/>
          <w:sz w:val="20"/>
        </w:rPr>
        <w:t xml:space="preserve">. Sublessor shall have no liability or obligation to Sublessee based upon any representation or warranty made by Prime Landlord to Sublessor under the Prime Lease or based upon any act or omission of Prime Landlord or its agents, employees, or contractors.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Inapplicability of Certain Provisions of Prime Lease</w:t>
            </w:r>
            <w:r>
              <w:rPr>
                <w:rFonts w:ascii="Times New Roman" w:hAnsi="Times New Roman"/>
                <w:b/>
                <w:sz w:val="20"/>
              </w:rPr>
              <w:t xml:space="preserve">. </w:t>
            </w:r>
            <w:r>
              <w:rPr>
                <w:rFonts w:ascii="Times New Roman" w:hAnsi="Times New Roman"/>
                <w:sz w:val="20"/>
              </w:rPr>
              <w:t>The following Paragraphs or provisions of the Prime Lease (the </w:t>
            </w:r>
            <w:r>
              <w:rPr>
                <w:rFonts w:ascii="Times New Roman" w:hAnsi="Times New Roman"/>
                <w:sz w:val="20"/>
                <w:u w:val="single"/>
              </w:rPr>
              <w:t>Excluded Provisions</w:t>
            </w:r>
            <w:r>
              <w:rPr>
                <w:rFonts w:ascii="Times New Roman" w:hAnsi="Times New Roman"/>
                <w:sz w:val="20"/>
              </w:rPr>
              <w:t xml:space="preserve">) are NOT incorporated into this Sublease and do not form a part of this Sublease except, with respect to those provisions listed in clauses (a), (b), (c) and (e), below, to the extent that they contain defined terms which are used herein: (a) any provisions that are superseded by or in direct conflict with the provisions hereof; (b) any provisions relating to Prime Landlords obligations regarding the initial construction or condition of the Subleased Premises by Prime Landlord or the payment of an improvement allowance; (c) any provision granting Sublessor any rights or options to extend or renew the Prime Lease, or granting Sublessor any expansion options or right of first refusals or first offers, (d) all portions of the Prime Lease that have been redacted, and (e) the following provisions of the Original Prime Lease: The following items of Basic Data in Section 1.2: Present Mailing Address of Landlord, Landlords Construction Representative, Present Mailing Address of Tenant, Tenants Construction Representative, Term or Lease Term, Lease Year, Commencement Date, Estimated Commencement Date, Rent Commencement Date, Brokers and Security Deposit, Sections 2.3, 3.1, 4.1, 4.2, 5.1, the fifth to last and fourth to last sentences of Section 5.2, 6.1, 6.2, 7.4, 7.5, the last sentence of the first paragraph of Section 8.1, the last paragraph of Section 9.1, Sections 15,4, 16.5, 16.14, 16.18, the first and second sentences of Section l6.24, but only to the extent it limits Sublessors liability to its interest in the Project or the Office Area, Section 16.26, Exhibit B-1, Exhibit B-2 and Exhibit J, and the following provisions of the First Amendment: Sections 1, 3, 4, 5, 7.07 and Exhibit A and Exhibit A-1.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Rent</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Base Rent</w:t>
            </w:r>
            <w:r>
              <w:rPr>
                <w:rFonts w:ascii="Times New Roman" w:hAnsi="Times New Roman"/>
                <w:sz w:val="20"/>
              </w:rPr>
              <w:t>. commencing one (1) month after the Sublease Commencement Date (the </w:t>
            </w:r>
            <w:r>
              <w:rPr>
                <w:rFonts w:ascii="Times New Roman" w:hAnsi="Times New Roman"/>
                <w:sz w:val="20"/>
                <w:u w:val="single"/>
              </w:rPr>
              <w:t>Rent Commencement Date</w:t>
            </w:r>
            <w:r>
              <w:rPr>
                <w:rFonts w:ascii="Times New Roman" w:hAnsi="Times New Roman"/>
                <w:sz w:val="20"/>
              </w:rPr>
              <w:t>), Sublessee shall pay to Sublessor for the Subleased Premises base rent (</w:t>
            </w:r>
            <w:r>
              <w:rPr>
                <w:rFonts w:ascii="Times New Roman" w:hAnsi="Times New Roman"/>
                <w:sz w:val="20"/>
                <w:u w:val="single"/>
              </w:rPr>
              <w:t>Base Rent</w:t>
            </w:r>
            <w:r>
              <w:rPr>
                <w:rFonts w:ascii="Times New Roman" w:hAnsi="Times New Roman"/>
                <w:sz w:val="20"/>
              </w:rPr>
              <w:t xml:space="preserve">)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the Rent Commencement Date through the expiration of the first Sublease Year: annual Base Rent in the amount of Seven Hundred Ninety-Seven Thousand Six Hundred Forty-Six and 00/100 Dollars ($797,646.00), payable in monthly installments of Sixty-Six Thousand Four Hundred Seventy and 50/100 Dollars ($66,470.50);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Sublease Year: Eight Hundred Thirteen Thousand Five Hundred Ninety-Eight and 92/100 Dollars ($813,598.92), payable in monthly installments of Sixty-Seven Thousand Seven Hundred Ninety-Nine and 91/100 Dollars ($67,799.91); </w:t>
      </w:r>
    </w:p>
    <w:p>
      <w:pPr>
        <w:pStyle w:val="TextBody"/>
        <w:bidi w:val="0"/>
        <w:spacing w:before="120" w:after="0"/>
        <w:jc w:val="left"/>
        <w:rPr>
          <w:rFonts w:ascii="Times New Roman" w:hAnsi="Times New Roman"/>
          <w:sz w:val="20"/>
        </w:rPr>
      </w:pPr>
      <w:r>
        <w:rPr>
          <w:rFonts w:ascii="Times New Roman" w:hAnsi="Times New Roman"/>
          <w:sz w:val="20"/>
        </w:rPr>
        <w:t xml:space="preserve">For the third Sublease Year: Eight Hundred Twenty-Nine Thousand Eight Hundred Seventy and 92/100 Dollars ($829,870.92), payable in monthly installments of Sixty-Nine Thousand One Hundred Fifty-Five and 91/100 Dollars ($69,155.91); </w:t>
      </w:r>
    </w:p>
    <w:p>
      <w:pPr>
        <w:pStyle w:val="TextBody"/>
        <w:bidi w:val="0"/>
        <w:spacing w:before="120" w:after="0"/>
        <w:jc w:val="left"/>
        <w:rPr>
          <w:rFonts w:ascii="Times New Roman" w:hAnsi="Times New Roman"/>
          <w:sz w:val="20"/>
        </w:rPr>
      </w:pPr>
      <w:r>
        <w:rPr>
          <w:rFonts w:ascii="Times New Roman" w:hAnsi="Times New Roman"/>
          <w:sz w:val="20"/>
        </w:rPr>
        <w:t xml:space="preserve">For the fourth Sublease Year (partial): Eight Hundred Forty-Six Thousand Four Hundred Sixty-Eight and 33/100 Dollars ($846,468.36) per year, prorated, payable in monthly installments of Seventy Thousand Five Hundred Thirty-Nine and 03/100 Dollars ($70,539.03); </w:t>
      </w:r>
    </w:p>
    <w:p>
      <w:pPr>
        <w:pStyle w:val="TextBody"/>
        <w:bidi w:val="0"/>
        <w:spacing w:before="120" w:after="0"/>
        <w:jc w:val="left"/>
        <w:rPr>
          <w:rFonts w:ascii="Times New Roman" w:hAnsi="Times New Roman"/>
          <w:sz w:val="20"/>
        </w:rPr>
      </w:pPr>
      <w:r>
        <w:rPr>
          <w:rFonts w:ascii="Times New Roman" w:hAnsi="Times New Roman"/>
          <w:sz w:val="20"/>
        </w:rPr>
        <w:t>(Base Rent and any other amounts due hereunder, including the electricity charges set forth herein, are sometimes referred to herein as </w:t>
      </w:r>
      <w:r>
        <w:rPr>
          <w:rFonts w:ascii="Times New Roman" w:hAnsi="Times New Roman"/>
          <w:sz w:val="20"/>
          <w:u w:val="single"/>
        </w:rPr>
        <w:t>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Rent shall be sent to Sublessor by ACH payments pursuant to instructions provided to Sublessee, or such other instructions from time to time designated in writing by Sublessor to Sublessee. Base Rent for any partial month or year shall be paid by Sublessee to Sublessor at such rate on a pro rata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22"/>
        <w:gridCol w:w="9277"/>
      </w:tblGrid>
      <w:tr>
        <w:trPr/>
        <w:tc>
          <w:tcPr>
            <w:tcW w:w="406" w:type="dxa"/>
            <w:tcBorders/>
            <w:vAlign w:val="center"/>
          </w:tcPr>
          <w:p>
            <w:pPr>
              <w:pStyle w:val="TableContents"/>
              <w:bidi w:val="0"/>
              <w:spacing w:before="0" w:after="283"/>
              <w:jc w:val="left"/>
              <w:rPr/>
            </w:pPr>
            <w:r>
              <w:rPr/>
              <w:t> </w:t>
            </w:r>
          </w:p>
        </w:tc>
        <w:tc>
          <w:tcPr>
            <w:tcW w:w="522" w:type="dxa"/>
            <w:tcBorders/>
          </w:tcPr>
          <w:p>
            <w:pPr>
              <w:pStyle w:val="TableContents"/>
              <w:bidi w:val="0"/>
              <w:spacing w:before="0" w:after="283"/>
              <w:jc w:val="left"/>
              <w:rPr/>
            </w:pPr>
            <w:r>
              <w:rPr/>
              <w:t>4.1.2</w:t>
            </w:r>
          </w:p>
        </w:tc>
        <w:tc>
          <w:tcPr>
            <w:tcW w:w="92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Monthly installments of Base Rent will be due and payable in advance on or before the first day of each succeeding calendar month during the Sublease Term to the address set forth in Paragraph 4.1.1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Setoff</w:t>
            </w:r>
            <w:r>
              <w:rPr>
                <w:rFonts w:ascii="Times New Roman" w:hAnsi="Times New Roman"/>
                <w:sz w:val="20"/>
              </w:rPr>
              <w:t xml:space="preserve">. All Rent shall be payable without any setoff or deduction, and without notice or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Rent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Operating Expenses and Taxes.</w:t>
      </w:r>
      <w:r>
        <w:rPr>
          <w:rFonts w:ascii="Times New Roman" w:hAnsi="Times New Roman"/>
          <w:sz w:val="20"/>
        </w:rPr>
        <w:t xml:space="preserve"> The Base Rent shall include any Operating Expenses and Real Estate Taxes (as such terms are defined in the Prime Lease) required to be paid under the Master Lease, and Sublessee shall have no liability for any Operating Expenses Excess or Tax Excess (as such terms are defined in the Prime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Utilities</w:t>
      </w:r>
      <w:r>
        <w:rPr>
          <w:rFonts w:ascii="Times New Roman" w:hAnsi="Times New Roman"/>
          <w:sz w:val="20"/>
        </w:rPr>
        <w:t xml:space="preserve">. Beginning on the Sublease Commencement Date, Sublessee shall pay for all electricity and other utilities consumed in the Subleased Premises, including without limitation, lights, plugs and, unless included in the Operating Expenses billed to Sublessor, HVAC to the extent separately metered or sub-metered. In addition, if Sublessee requests any additional services or utilities to the Subleased Premises for which an additional charge is imposed by Prime Landlord in accordance with the terms of the Prime Lease, then Sublessee shall promptly pay such amount to Prime Landlord (provided, however, that if Prime Landlord requires Sublessor to pay for any such services for the benefit of Sublessee, then Sublessee shall reimburse Sublessor for such costs within seven (7) days after Sublessees receipt of an invoice therefor from Sublessor with a copy of the underlying invoice from Prime Landlord).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Insurance and Indemnity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Insurance</w:t>
      </w:r>
      <w:r>
        <w:rPr>
          <w:rFonts w:ascii="Times New Roman" w:hAnsi="Times New Roman"/>
          <w:sz w:val="20"/>
        </w:rPr>
        <w:t xml:space="preserve">. Sublessee shall carry all of the insurance policies required to be carried by Sublessor under the Prime Lease, and shall name Prime Landlord and Sublessor and any other parties required pursuant to the Prime Lease as additional insureds on all such policies. Prior to the earlier to occur of Sublease Commencement Date or Sublessees entry to or occupancy of the Subleased Premises, and at least thirty (30) days prior to each policys expiration date, Sublessee shall deliver to Sublessor evidence satisfactory to Sublessor of maintenance of insurance coverage with respect to the Subleased Premises as required under the Prime Lease. Without limiting the foregoing, the insurance provisions set forth in the Prime Lease are incorporated herein by reference, it being the intention of the parties, and Sublessee hereby agreeing, that Sublessee shall be bound by such insurance provisions as the tenant under the Prime Lease, and that such insurance obligations shall extend to both Prime Landlord and Sublessor. In addition, the waiver of subrogation and release provisions of the Prime Lease shall apply to the relationship between Sublessor and Sublessee, and be binding upon and enforceable as between Sublessor and Sublessee and each party hereby confirms the same and agrees to obtain the necessary waiver of subrogation endorsements from their respective insurers in order to comply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Indemnification and Waiver</w:t>
      </w:r>
      <w:r>
        <w:rPr>
          <w:rFonts w:ascii="Times New Roman" w:hAnsi="Times New Roman"/>
          <w:sz w:val="20"/>
        </w:rPr>
        <w:t>. Sublessors indemnity obligations set forth in Section 13.1 of the Prime Lease (provided however that the references to </w:t>
      </w:r>
      <w:r>
        <w:rPr>
          <w:rFonts w:ascii="Times New Roman" w:hAnsi="Times New Roman"/>
          <w:sz w:val="20"/>
          <w:u w:val="single"/>
        </w:rPr>
        <w:t>Commencement Date</w:t>
      </w:r>
      <w:r>
        <w:rPr>
          <w:rFonts w:ascii="Times New Roman" w:hAnsi="Times New Roman"/>
          <w:sz w:val="20"/>
        </w:rPr>
        <w:t>, </w:t>
      </w:r>
      <w:r>
        <w:rPr>
          <w:rFonts w:ascii="Times New Roman" w:hAnsi="Times New Roman"/>
          <w:sz w:val="20"/>
          <w:u w:val="single"/>
        </w:rPr>
        <w:t>Lease Term</w:t>
      </w:r>
      <w:r>
        <w:rPr>
          <w:rFonts w:ascii="Times New Roman" w:hAnsi="Times New Roman"/>
          <w:sz w:val="20"/>
        </w:rPr>
        <w:t> and </w:t>
      </w:r>
      <w:r>
        <w:rPr>
          <w:rFonts w:ascii="Times New Roman" w:hAnsi="Times New Roman"/>
          <w:sz w:val="20"/>
          <w:u w:val="single"/>
        </w:rPr>
        <w:t>Landlord</w:t>
      </w:r>
      <w:r>
        <w:rPr>
          <w:rFonts w:ascii="Times New Roman" w:hAnsi="Times New Roman"/>
          <w:sz w:val="20"/>
        </w:rPr>
        <w:t xml:space="preserve"> in Section 13.1(A)(ii)(B) shall be deemed to mean the Sublease Commencement Date, the Sublease Term and either Prime Landlord or Sublessor, respectively) shall be applicable to and binding upon Sublessee, and Sublessees indemnity obligations therein shall run to both Sublessor and Prime Landlord. The obligations set forth in this Paragraph shall survive the expiration or sooner termination of this Sublease.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Default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Default and Enforcement</w:t>
      </w:r>
      <w:r>
        <w:rPr>
          <w:rFonts w:ascii="Times New Roman" w:hAnsi="Times New Roman"/>
          <w:sz w:val="20"/>
        </w:rPr>
        <w:t xml:space="preserve">. The rights of Sublessor to enforce the provisions of this Sublease, defaults under this Sublease, and termination of this Sublease shall be governed by the applicable default and remedy provisions of the Prime Lease as if Sublessor and Sublessee were landlord and tenant thereunder, respectively, except as specified in </w:t>
      </w:r>
      <w:r>
        <w:rPr>
          <w:rFonts w:ascii="Times New Roman" w:hAnsi="Times New Roman"/>
          <w:sz w:val="20"/>
          <w:u w:val="single"/>
        </w:rPr>
        <w:t>Paragraphs 7.2 and 7.3</w:t>
      </w:r>
      <w:r>
        <w:rPr>
          <w:rFonts w:ascii="Times New Roman" w:hAnsi="Times New Roman"/>
          <w:sz w:val="20"/>
        </w:rPr>
        <w:t xml:space="preserv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Cure Periods</w:t>
      </w:r>
      <w:r>
        <w:rPr>
          <w:rFonts w:ascii="Times New Roman" w:hAnsi="Times New Roman"/>
          <w:sz w:val="20"/>
        </w:rPr>
        <w:t xml:space="preserve">. The parties acknowledge that a failure to perform by Sublessee under this Sublease may place Sublessor in default of its obligations under the Prime Lease. Therefore, the parties agree that the period afforded Sublessee to cure a monetary default under this Sublease shall be (i) two (2) days less than that provided to Sublessor under the Prime Lease, if any, (ii) one (1) day less than that provided to Sublessor under Section 15.1(D) of the Prime Lease, and (iii) the period afforded Sublessee to cure any other non- monetary default under this Sublease shall be ten (10) days less than that provided to Sublessor under the Prime Lease, if any. </w:t>
      </w:r>
    </w:p>
    <w:p>
      <w:pPr>
        <w:pStyle w:val="TextBody"/>
        <w:bidi w:val="0"/>
        <w:spacing w:before="12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Notices</w:t>
      </w:r>
      <w:r>
        <w:rPr>
          <w:rFonts w:ascii="Times New Roman" w:hAnsi="Times New Roman"/>
          <w:sz w:val="20"/>
        </w:rPr>
        <w:t xml:space="preserve">. Whenever Sublessor has an obligation to perform any act or to give any notice to Prime Landlord under the Prime Lease, and such obligation is assumed by Sublessee in this Sublease, then Sublessee shall perform such act or give such notice at least five (5) days before the due date specified in the Prime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Assignment and Sublease</w:t>
            </w:r>
            <w:r>
              <w:rPr>
                <w:rFonts w:ascii="Times New Roman" w:hAnsi="Times New Roman"/>
                <w:sz w:val="20"/>
              </w:rPr>
              <w:t xml:space="preserve">. Sublessee shall not assign this Sublease or sublease all or any portion of the Subleased Premises without Sublessors prior written consent, which consent shall not be unreasonably withheld, conditioned or delayed, and without Prime Landlords prior written consent to the extent required pursuant to and subject to the terms and conditions set forth in Article XII of the Prime Lease, except as otherwise set forth in this Sublease. Sublessee shall reimburse Prime Landlord and Sublessor for their reasonable, out-of-pocket expenses in connection therewith, pursuant to Article XII of the Prime Lease, regardless of whether such consent is ultimately granted. No permitted assignment or sublease shall release Sublessee from liability under this Sublease. The consent of Sublessor to any one assignment or sublease shall not be deemed to be Sublessors consent to any other or further assignment or sublease. Any assignee or sublessee will comply with all of the provisions of the Prime Lease, and Prime Landlord and Sublessor may enforce such provisions directly against any assignee or sublessee.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w:t>
      </w:r>
      <w:r>
        <w:rPr>
          <w:rFonts w:ascii="Times New Roman" w:hAnsi="Times New Roman"/>
          <w:sz w:val="20"/>
          <w:u w:val="single"/>
        </w:rPr>
        <w:t>notwithstanding anything contained in this Sec</w:t>
      </w:r>
      <w:r>
        <w:rPr>
          <w:rFonts w:ascii="Times New Roman" w:hAnsi="Times New Roman"/>
          <w:sz w:val="20"/>
        </w:rPr>
        <w:t>t</w:t>
      </w:r>
      <w:r>
        <w:rPr>
          <w:rFonts w:ascii="Times New Roman" w:hAnsi="Times New Roman"/>
          <w:sz w:val="20"/>
          <w:u w:val="single"/>
        </w:rPr>
        <w:t>ion 8 to the contrar</w:t>
      </w:r>
      <w:r>
        <w:rPr>
          <w:rFonts w:ascii="Times New Roman" w:hAnsi="Times New Roman"/>
          <w:sz w:val="20"/>
        </w:rPr>
        <w:t>y, Sublessee shall be permitted, without Sublessors consent, to license a portion or portions of the Subleased Premises not exceeding twenty percent (20%) of the rentable square feet of the Subleased Premises in the aggregate at any given time, for temporary use solely by third party occupants that share Third Rock Ventures as an investor (the </w:t>
      </w:r>
      <w:r>
        <w:rPr>
          <w:rFonts w:ascii="Times New Roman" w:hAnsi="Times New Roman"/>
          <w:sz w:val="20"/>
          <w:u w:val="single"/>
        </w:rPr>
        <w:t>Licensee Parties</w:t>
      </w:r>
      <w:r>
        <w:rPr>
          <w:rFonts w:ascii="Times New Roman" w:hAnsi="Times New Roman"/>
          <w:sz w:val="20"/>
        </w:rPr>
        <w:t xml:space="preserve">), for uses permitted under this Sublease only and otherwise in compliance with the terms, covenants and conditions of this Sublease and the Prime Lease, provided that any space so licensed by Sublessee is not separately demised and does not have separate means of ingress to or egress from the public corridors of the Building, and provided further that (i) Sublessor is delivered advance notice of each such license agreement entered into by Sublessee along with evidence of insurance for each Licensee Party, which license agreement shall be in writing with a fully executed copy provided to Sublessor and which, by its express terms, made subject and subordinate to this Sublease and the Prime Lease, (ii) any such licensing shall not give rise to a landlord-tenant relationship between Sublessor and the licensee, and (iii) Sublessee shall indemnify and hold Sublessor and Prime Landlord harmless from and against any and all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actions, suits, liabilities, losses, damages, costs, charges, attorneys fees, and other expenses of every nature and character which Sublessor or Prime Landlord shall or may sustain or incur by reason of any claim or demand that may be made as a result of, or in any way related to, the licensees use or occupancy of space in the Subleased Premises. The insurance required to be maintained by Sublessee under this Sublease shall cover any such licensees activities and personal property in the Subleased Premises and Building.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Alterations</w:t>
            </w:r>
            <w:r>
              <w:rPr>
                <w:rFonts w:ascii="Times New Roman" w:hAnsi="Times New Roman"/>
                <w:sz w:val="20"/>
              </w:rPr>
              <w:t xml:space="preserve">. Notwithstanding any provisions of the Prime Lease to the contrary, Sublessee shall not make any alterations, additions, improvements or other changes in or to the Subleased Premises without the prior written consent of Prime Landlord if required pursuant to the terms of the Prime Lease and Sublessor, which consent by Sublessor shall not be unreasonably withheld, conditioned or delayed. Any Alterations done by or on behalf of Sublessee to the Subleased Premises shall be effected in conformance with all applicable laws, rules, ordinances and regulations and shall be subject to all of the terms and conditions of this Sublease and the Prime Lease. Without limiting any of the terms hereof or of the Prime Lease or the Sublease, Sublessor shall not be required to approve any Alterations unless Prime Landlord agrees in writing that Sublessor shall have no obligation to remove such Alterations at the expiration of earlier termination of the Sublease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Access by Sublessor</w:t>
            </w:r>
            <w:r>
              <w:rPr>
                <w:rFonts w:ascii="Times New Roman" w:hAnsi="Times New Roman"/>
                <w:b/>
                <w:sz w:val="20"/>
              </w:rPr>
              <w:t xml:space="preserve">. </w:t>
            </w:r>
            <w:r>
              <w:rPr>
                <w:rFonts w:ascii="Times New Roman" w:hAnsi="Times New Roman"/>
                <w:sz w:val="20"/>
              </w:rPr>
              <w:t xml:space="preserve">Sublessor may enter the Subleased Premises at reasonable times to examine the Subleased Premises or to make any repairs or replacements Sublessor may deem necessary. Sublessors entry into the Subleased Premises shall be upon reasonable prior notice of at least forty-eight (48) hours to Sublessee (except in cases of emergency where no notice is required, provided that Sublessor shall, in such events, provide notice (which may be telephonic) as soon as reasonably practicable). Sublessor shall use commercially reasonable efforts to minimize any disruption to Sublessees business operations in connection with such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Signage</w:t>
            </w:r>
            <w:r>
              <w:rPr>
                <w:rFonts w:ascii="Times New Roman" w:hAnsi="Times New Roman"/>
                <w:sz w:val="20"/>
              </w:rPr>
              <w:t xml:space="preserve">. Subject to the approval of Prime Landlord, Sublessee shall have the same right to install signage as Sublessor has in the Prime Lease, at Sublessees sole cost and expense. As part of the Consent, Sublessor shall secure from the Prime Landlord the right to have Subtenants signage included on all building directories, and, at no cost to Sublessor, Sublessor shall facilitate the installation of Sublessees signate thereon and otherwise cooperate with Sublessee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Hazardous Materials</w:t>
            </w:r>
            <w:r>
              <w:rPr>
                <w:rFonts w:ascii="Times New Roman" w:hAnsi="Times New Roman"/>
                <w:b/>
                <w:sz w:val="20"/>
              </w:rPr>
              <w:t xml:space="preserve">. </w:t>
            </w:r>
            <w:r>
              <w:rPr>
                <w:rFonts w:ascii="Times New Roman" w:hAnsi="Times New Roman"/>
                <w:sz w:val="20"/>
              </w:rPr>
              <w:t xml:space="preserve">Notwithstanding anything contained in the Prime Lease to the contrary, Sublessee shall not use, store of dispose of any Hazardous Materials in connection with its use and occupancy of the Subleased Premises except with the prior written consent of the Sublessor and the Prime Landlord, which may be withheld in their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Holdover in Subleased Premises</w:t>
            </w:r>
            <w:r>
              <w:rPr>
                <w:rFonts w:ascii="Times New Roman" w:hAnsi="Times New Roman"/>
                <w:sz w:val="20"/>
              </w:rPr>
              <w:t>. If Sublessee fails to surrender the Subleased Premises in the condition required in this Sublease on the Termination Date (or earlier pursuant to the terms of this Sublease), Sublessee shall pay rent for the Subleased Premises at a monthly rate equal to two hundred percent (200%) (the </w:t>
            </w:r>
            <w:r>
              <w:rPr>
                <w:rFonts w:ascii="Times New Roman" w:hAnsi="Times New Roman"/>
                <w:sz w:val="20"/>
                <w:u w:val="single"/>
              </w:rPr>
              <w:t>Holdover Percentage</w:t>
            </w:r>
            <w:r>
              <w:rPr>
                <w:rFonts w:ascii="Times New Roman" w:hAnsi="Times New Roman"/>
                <w:sz w:val="20"/>
              </w:rPr>
              <w:t xml:space="preserve">) of the total Base Rent payable by Sublessor under the Sublease immediately preceding the Termination Date. During such holdover period, Sublessee shall be subject to every other applicable term, covenant and agreement contained herein. Nothing contained in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Paragraph 13 shall be construed as consent by Sublessor or Prime Landlord to any holding over by Sublessee, and Sublessor expressly reserves the right to require Sublessee to surrender possession of the Subleased Premises to Sublessor as provided in this Sublease. If Sublessee fails to timely surrender the Subleased Premises to Sublessor, in addition to any other liabilities to Sublessor accruing therefrom, Sublessee shall protect, defend, indemnify and hold Sublessor harmless from all loss, costs (including reasonable attorneys fees) and liability resulting from Sublessees holding over, including, without limitation, any claims made by Prime Landlord and any succeeding subtenant or licensee. Nothing set forth in this Paragraph 13 shall negate Sublessees obligation to vacate the Subleased Premises on the Termination Date (or earlier pursuant to the terms of this Sublease), and Sublessees failure to do so shall entitle Sublessor to exercise all of the rights and remedies set forth in the Prime Lease and the Sublease.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Waiver</w:t>
      </w:r>
      <w:r>
        <w:rPr>
          <w:rFonts w:ascii="Times New Roman" w:hAnsi="Times New Roman"/>
          <w:sz w:val="20"/>
        </w:rPr>
        <w:t xml:space="preserve">. Waiver of one breach of a term, condition, or covenant of this Sublease by either party hereto shall be limited to the particular instance and shall not be deemed to waive future breaches of the same or other terms, conditions, or covenants. </w:t>
      </w:r>
    </w:p>
    <w:p>
      <w:pPr>
        <w:pStyle w:val="TextBody"/>
        <w:bidi w:val="0"/>
        <w:spacing w:before="12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Joint and Several</w:t>
      </w:r>
      <w:r>
        <w:rPr>
          <w:rFonts w:ascii="Times New Roman" w:hAnsi="Times New Roman"/>
          <w:sz w:val="20"/>
        </w:rPr>
        <w:t xml:space="preserve">. If Sublessee consists of more than one person or entity, the obligations of such parties under this Sublease shall be joint and several. </w:t>
      </w:r>
    </w:p>
    <w:p>
      <w:pPr>
        <w:pStyle w:val="TextBody"/>
        <w:bidi w:val="0"/>
        <w:spacing w:before="12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Entire Agreement; Amendments</w:t>
      </w:r>
      <w:r>
        <w:rPr>
          <w:rFonts w:ascii="Times New Roman" w:hAnsi="Times New Roman"/>
          <w:sz w:val="20"/>
        </w:rPr>
        <w:t xml:space="preserve">. This Sublease, including the exhibits and addenda, if any, embodies the entire agreement between the parties with relation to the transaction contemplated hereby, and this Sublease supersedes and cancels any and all previous negotiations, arrangements, brochures, agreements, letters of intent, and understandings, if any, between Sublessor and Sublessee, or displayed by Sublessors brokers or agents or Sublessor with respect to the subject matter of this Sublease or the Subleased Premises. There are no representations between Sublessor and Sublessee other than those contained in this Sublease. Any amendment or modification of this Sublease must be in writing and signed by Sublessor and Sublessee. </w:t>
      </w:r>
    </w:p>
    <w:p>
      <w:pPr>
        <w:pStyle w:val="TextBody"/>
        <w:bidi w:val="0"/>
        <w:spacing w:before="12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Survival of Indemnities and Covenants.</w:t>
      </w:r>
      <w:r>
        <w:rPr>
          <w:rFonts w:ascii="Times New Roman" w:hAnsi="Times New Roman"/>
          <w:sz w:val="20"/>
        </w:rPr>
        <w:t xml:space="preserve"> Any and all indemnities of Sublessee and Sublessor expressly surviving the expiration or termination of this Sublease, and any other covenants of either party expressly surviving the expiration or termination of this Sublease and any covenant of Sublessee not fully performed on the date of the expiration or termination of this Sublease shall survive the expiration or termination of this Sublease provided that Sublessor provides Sublessee notice of any covenant not performed by Sublessee within ninety (90) days from the expiration or earlier termination of this Sublease. </w:t>
      </w:r>
    </w:p>
    <w:p>
      <w:pPr>
        <w:pStyle w:val="TextBody"/>
        <w:bidi w:val="0"/>
        <w:spacing w:before="12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Sublessors Default</w:t>
      </w:r>
      <w:r>
        <w:rPr>
          <w:rFonts w:ascii="Times New Roman" w:hAnsi="Times New Roman"/>
          <w:sz w:val="20"/>
        </w:rPr>
        <w:t xml:space="preserve">. It is the express understanding and agreement of the parties and it is a condition of Sublessors agreement to execute this Sublease that, Sublessor shall not be in default under this Sublease unless Sublessor fails to perform obligations required of Sublessor within twenty (20) days after written notice by Sublessee to Sublessor, specifying wherein Sublessor has failed to perform such obligation; provided, however, that if the nature of Sublessors obligation is such that more than twenty (20) days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for its cure, then Sublessor shall not be in default if Sublessor commences performance within such twenty (20) day period and thereafter diligently pursues the same to completion. Sublessee shall not assert any right to deduct the cost of repairs or any monetary claim against Sublessor from Rent thereafter due and payable, but shall look solely to Sublessor for satisfaction of the claim. Each of Sublessor and Sublessee hereby waives its right to recover consequential damages (including, but not limited to, lost profits) or punitive damages arising out of a default by the other party hereto. This Sublease and the obligations of Sublessee hereunder shall not be affected or impaired because Sublessor is unable to fulfill any of its obligations hereunder or is delayed in doing so, if such inability or delay is caused by reason of force majeure, and the time for Sublessors performance shall be extended for the period of any such delay. </w:t>
      </w:r>
    </w:p>
    <w:p>
      <w:pPr>
        <w:pStyle w:val="TextBody"/>
        <w:bidi w:val="0"/>
        <w:spacing w:before="12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Litigation Costs</w:t>
      </w:r>
      <w:r>
        <w:rPr>
          <w:rFonts w:ascii="Times New Roman" w:hAnsi="Times New Roman"/>
          <w:sz w:val="20"/>
        </w:rPr>
        <w:t xml:space="preserve">. If any legal action is filed to enforce this Sublease, or any part thereof, the prevailing party shall be entitled to recover reasonable attorneys fees and costs of the action. </w:t>
      </w:r>
    </w:p>
    <w:p>
      <w:pPr>
        <w:pStyle w:val="TextBody"/>
        <w:bidi w:val="0"/>
        <w:spacing w:before="12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Notices</w:t>
      </w:r>
      <w:r>
        <w:rPr>
          <w:rFonts w:ascii="Times New Roman" w:hAnsi="Times New Roman"/>
          <w:sz w:val="20"/>
        </w:rPr>
        <w:t xml:space="preserve">. All notices given pursuant to this Sublease shall be given in accordance with the terms of the Prime Lease to the following addresses: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1758"/>
        <w:gridCol w:w="120"/>
        <w:gridCol w:w="7918"/>
      </w:tblGrid>
      <w:tr>
        <w:trPr/>
        <w:tc>
          <w:tcPr>
            <w:tcW w:w="17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18" w:type="dxa"/>
            <w:tcBorders/>
            <w:vAlign w:val="center"/>
          </w:tcPr>
          <w:p>
            <w:pPr>
              <w:pStyle w:val="TableContents"/>
              <w:bidi w:val="0"/>
              <w:spacing w:before="0" w:after="283"/>
              <w:jc w:val="left"/>
              <w:rPr>
                <w:sz w:val="4"/>
                <w:szCs w:val="4"/>
              </w:rPr>
            </w:pPr>
            <w:r>
              <w:rPr>
                <w:sz w:val="4"/>
                <w:szCs w:val="4"/>
              </w:rPr>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To Sublessor:</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0"/>
              <w:jc w:val="left"/>
              <w:rPr>
                <w:rFonts w:ascii="Times New Roman" w:hAnsi="Times New Roman"/>
                <w:sz w:val="20"/>
              </w:rPr>
            </w:pPr>
            <w:r>
              <w:rPr>
                <w:rFonts w:ascii="Times New Roman" w:hAnsi="Times New Roman"/>
                <w:sz w:val="20"/>
              </w:rPr>
              <w:t>Whoop, Inc.</w:t>
            </w:r>
          </w:p>
          <w:p>
            <w:pPr>
              <w:pStyle w:val="TableContents"/>
              <w:bidi w:val="0"/>
              <w:spacing w:before="0" w:after="0"/>
              <w:jc w:val="left"/>
              <w:rPr>
                <w:rFonts w:ascii="Times New Roman" w:hAnsi="Times New Roman"/>
                <w:sz w:val="20"/>
              </w:rPr>
            </w:pPr>
            <w:r>
              <w:rPr>
                <w:rFonts w:ascii="Times New Roman" w:hAnsi="Times New Roman"/>
                <w:sz w:val="20"/>
              </w:rPr>
              <w:t>One Kenmore Square, Suite 601</w:t>
            </w:r>
          </w:p>
          <w:p>
            <w:pPr>
              <w:pStyle w:val="TableContents"/>
              <w:bidi w:val="0"/>
              <w:spacing w:before="0" w:after="0"/>
              <w:jc w:val="left"/>
              <w:rPr>
                <w:rFonts w:ascii="Times New Roman" w:hAnsi="Times New Roman"/>
                <w:sz w:val="20"/>
              </w:rPr>
            </w:pPr>
            <w:r>
              <w:rPr>
                <w:rFonts w:ascii="Times New Roman" w:hAnsi="Times New Roman"/>
                <w:sz w:val="20"/>
              </w:rPr>
              <w:t>Boston, MA 02215</w:t>
            </w:r>
          </w:p>
          <w:p>
            <w:pPr>
              <w:pStyle w:val="TableContents"/>
              <w:bidi w:val="0"/>
              <w:spacing w:before="0" w:after="20"/>
              <w:jc w:val="left"/>
              <w:rPr>
                <w:rFonts w:ascii="Times New Roman" w:hAnsi="Times New Roman"/>
                <w:sz w:val="20"/>
              </w:rPr>
            </w:pPr>
            <w:r>
              <w:rPr>
                <w:rFonts w:ascii="Times New Roman" w:hAnsi="Times New Roman"/>
                <w:sz w:val="20"/>
              </w:rPr>
              <w:t>Attn: Travis Lang, Esq. and Tricia Gugler</w:t>
            </w:r>
          </w:p>
        </w:tc>
      </w:tr>
      <w:tr>
        <w:trPr>
          <w:trHeight w:val="120" w:hRule="atLeast"/>
        </w:trPr>
        <w:tc>
          <w:tcPr>
            <w:tcW w:w="1758"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With a copy to:</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0"/>
              <w:jc w:val="left"/>
              <w:rPr>
                <w:rFonts w:ascii="Times New Roman" w:hAnsi="Times New Roman"/>
                <w:sz w:val="20"/>
              </w:rPr>
            </w:pPr>
            <w:r>
              <w:rPr>
                <w:rFonts w:ascii="Times New Roman" w:hAnsi="Times New Roman"/>
                <w:sz w:val="20"/>
              </w:rPr>
              <w:t>Looney Cohen &amp; Aisenberg LLP</w:t>
            </w:r>
          </w:p>
          <w:p>
            <w:pPr>
              <w:pStyle w:val="TableContents"/>
              <w:bidi w:val="0"/>
              <w:spacing w:before="0" w:after="0"/>
              <w:jc w:val="left"/>
              <w:rPr>
                <w:rFonts w:ascii="Times New Roman" w:hAnsi="Times New Roman"/>
                <w:sz w:val="20"/>
              </w:rPr>
            </w:pPr>
            <w:r>
              <w:rPr>
                <w:rFonts w:ascii="Times New Roman" w:hAnsi="Times New Roman"/>
                <w:sz w:val="20"/>
              </w:rPr>
              <w:t>33 Broad Street</w:t>
            </w:r>
          </w:p>
          <w:p>
            <w:pPr>
              <w:pStyle w:val="TableContents"/>
              <w:bidi w:val="0"/>
              <w:spacing w:before="0" w:after="0"/>
              <w:jc w:val="left"/>
              <w:rPr>
                <w:rFonts w:ascii="Times New Roman" w:hAnsi="Times New Roman"/>
                <w:sz w:val="20"/>
              </w:rPr>
            </w:pPr>
            <w:r>
              <w:rPr>
                <w:rFonts w:ascii="Times New Roman" w:hAnsi="Times New Roman"/>
                <w:sz w:val="20"/>
              </w:rPr>
              <w:t>Boston, MA 02109</w:t>
            </w:r>
          </w:p>
          <w:p>
            <w:pPr>
              <w:pStyle w:val="TableContents"/>
              <w:bidi w:val="0"/>
              <w:spacing w:before="0" w:after="20"/>
              <w:jc w:val="left"/>
              <w:rPr>
                <w:rFonts w:ascii="Times New Roman" w:hAnsi="Times New Roman"/>
                <w:sz w:val="20"/>
              </w:rPr>
            </w:pPr>
            <w:r>
              <w:rPr>
                <w:rFonts w:ascii="Times New Roman" w:hAnsi="Times New Roman"/>
                <w:sz w:val="20"/>
              </w:rPr>
              <w:t>Attn: James H. Cohen</w:t>
            </w:r>
          </w:p>
        </w:tc>
      </w:tr>
      <w:tr>
        <w:trPr>
          <w:trHeight w:val="120" w:hRule="atLeast"/>
        </w:trPr>
        <w:tc>
          <w:tcPr>
            <w:tcW w:w="1758"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To Sublessee:</w:t>
            </w:r>
          </w:p>
        </w:tc>
        <w:tc>
          <w:tcPr>
            <w:tcW w:w="120" w:type="dxa"/>
            <w:tcBorders/>
            <w:vAlign w:val="bottom"/>
          </w:tcPr>
          <w:p>
            <w:pPr>
              <w:pStyle w:val="TableContents"/>
              <w:bidi w:val="0"/>
              <w:spacing w:before="0" w:after="283"/>
              <w:jc w:val="left"/>
              <w:rPr/>
            </w:pPr>
            <w:r>
              <w:rPr/>
              <w:t>  </w:t>
            </w:r>
          </w:p>
        </w:tc>
        <w:tc>
          <w:tcPr>
            <w:tcW w:w="7918" w:type="dxa"/>
            <w:tcBorders/>
          </w:tcPr>
          <w:p>
            <w:pPr>
              <w:pStyle w:val="TableContents"/>
              <w:bidi w:val="0"/>
              <w:spacing w:before="0" w:after="0"/>
              <w:jc w:val="left"/>
              <w:rPr>
                <w:rFonts w:ascii="Times New Roman" w:hAnsi="Times New Roman"/>
                <w:sz w:val="20"/>
              </w:rPr>
            </w:pPr>
            <w:r>
              <w:rPr>
                <w:rFonts w:ascii="Times New Roman" w:hAnsi="Times New Roman"/>
                <w:sz w:val="20"/>
              </w:rPr>
              <w:t>Prior to Sublease Commencement Date:</w:t>
            </w:r>
          </w:p>
          <w:p>
            <w:pPr>
              <w:pStyle w:val="TableContents"/>
              <w:bidi w:val="0"/>
              <w:spacing w:before="0" w:after="0"/>
              <w:jc w:val="left"/>
              <w:rPr>
                <w:rFonts w:ascii="Times New Roman" w:hAnsi="Times New Roman"/>
                <w:sz w:val="20"/>
              </w:rPr>
            </w:pPr>
            <w:r>
              <w:rPr>
                <w:rFonts w:ascii="Times New Roman" w:hAnsi="Times New Roman"/>
                <w:sz w:val="20"/>
              </w:rPr>
              <w:t xml:space="preserve">Rapport Therapeutics, Inc. </w:t>
            </w:r>
          </w:p>
          <w:p>
            <w:pPr>
              <w:pStyle w:val="TableContents"/>
              <w:bidi w:val="0"/>
              <w:spacing w:before="0" w:after="0"/>
              <w:jc w:val="left"/>
              <w:rPr>
                <w:rFonts w:ascii="Times New Roman" w:hAnsi="Times New Roman"/>
                <w:sz w:val="20"/>
              </w:rPr>
            </w:pPr>
            <w:r>
              <w:rPr>
                <w:rFonts w:ascii="Times New Roman" w:hAnsi="Times New Roman"/>
                <w:sz w:val="20"/>
              </w:rPr>
              <w:t>c/o Third Rock Ventures</w:t>
            </w:r>
          </w:p>
          <w:p>
            <w:pPr>
              <w:pStyle w:val="TableContents"/>
              <w:bidi w:val="0"/>
              <w:spacing w:before="0" w:after="0"/>
              <w:jc w:val="left"/>
              <w:rPr>
                <w:rFonts w:ascii="Times New Roman" w:hAnsi="Times New Roman"/>
                <w:sz w:val="20"/>
              </w:rPr>
            </w:pPr>
            <w:r>
              <w:rPr>
                <w:rFonts w:ascii="Times New Roman" w:hAnsi="Times New Roman"/>
                <w:sz w:val="20"/>
              </w:rPr>
              <w:t>attn: Abraham Ceesay, CEO</w:t>
            </w:r>
          </w:p>
          <w:p>
            <w:pPr>
              <w:pStyle w:val="TableContents"/>
              <w:bidi w:val="0"/>
              <w:spacing w:before="0" w:after="0"/>
              <w:jc w:val="left"/>
              <w:rPr>
                <w:rFonts w:ascii="Times New Roman" w:hAnsi="Times New Roman"/>
                <w:sz w:val="20"/>
              </w:rPr>
            </w:pPr>
            <w:r>
              <w:rPr>
                <w:rFonts w:ascii="Times New Roman" w:hAnsi="Times New Roman"/>
                <w:sz w:val="20"/>
              </w:rPr>
              <w:t>201 Brookline Ave, Suite 1401</w:t>
            </w:r>
          </w:p>
          <w:p>
            <w:pPr>
              <w:pStyle w:val="TableContents"/>
              <w:bidi w:val="0"/>
              <w:spacing w:before="0" w:after="0"/>
              <w:jc w:val="left"/>
              <w:rPr>
                <w:rFonts w:ascii="Times New Roman" w:hAnsi="Times New Roman"/>
                <w:sz w:val="20"/>
              </w:rPr>
            </w:pPr>
            <w:r>
              <w:rPr>
                <w:rFonts w:ascii="Times New Roman" w:hAnsi="Times New Roman"/>
                <w:sz w:val="20"/>
              </w:rPr>
              <w:t>Boston, MA 02215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After Sublease Commencement Date:</w:t>
            </w:r>
          </w:p>
          <w:p>
            <w:pPr>
              <w:pStyle w:val="TableContents"/>
              <w:bidi w:val="0"/>
              <w:spacing w:before="0" w:after="0"/>
              <w:jc w:val="left"/>
              <w:rPr>
                <w:rFonts w:ascii="Times New Roman" w:hAnsi="Times New Roman"/>
                <w:sz w:val="20"/>
              </w:rPr>
            </w:pPr>
            <w:r>
              <w:rPr>
                <w:rFonts w:ascii="Times New Roman" w:hAnsi="Times New Roman"/>
                <w:sz w:val="20"/>
              </w:rPr>
              <w:t>Rapport Therapeutics, Inc.</w:t>
            </w:r>
          </w:p>
          <w:p>
            <w:pPr>
              <w:pStyle w:val="TableContents"/>
              <w:bidi w:val="0"/>
              <w:spacing w:before="0" w:after="0"/>
              <w:jc w:val="left"/>
              <w:rPr>
                <w:rFonts w:ascii="Times New Roman" w:hAnsi="Times New Roman"/>
                <w:sz w:val="20"/>
              </w:rPr>
            </w:pPr>
            <w:r>
              <w:rPr>
                <w:rFonts w:ascii="Times New Roman" w:hAnsi="Times New Roman"/>
                <w:sz w:val="20"/>
              </w:rPr>
              <w:t>attn: Abraham Ceesay, CEO</w:t>
            </w:r>
          </w:p>
          <w:p>
            <w:pPr>
              <w:pStyle w:val="TableContents"/>
              <w:bidi w:val="0"/>
              <w:spacing w:before="0" w:after="0"/>
              <w:jc w:val="left"/>
              <w:rPr>
                <w:rFonts w:ascii="Times New Roman" w:hAnsi="Times New Roman"/>
                <w:sz w:val="20"/>
              </w:rPr>
            </w:pPr>
            <w:r>
              <w:rPr>
                <w:rFonts w:ascii="Times New Roman" w:hAnsi="Times New Roman"/>
                <w:sz w:val="20"/>
              </w:rPr>
              <w:t>1325 Boylston Street, 4th Floor</w:t>
            </w:r>
          </w:p>
          <w:p>
            <w:pPr>
              <w:pStyle w:val="TableContents"/>
              <w:bidi w:val="0"/>
              <w:spacing w:before="0" w:after="0"/>
              <w:jc w:val="left"/>
              <w:rPr>
                <w:rFonts w:ascii="Times New Roman" w:hAnsi="Times New Roman"/>
                <w:sz w:val="20"/>
              </w:rPr>
            </w:pPr>
            <w:r>
              <w:rPr>
                <w:rFonts w:ascii="Times New Roman" w:hAnsi="Times New Roman"/>
                <w:sz w:val="20"/>
              </w:rPr>
              <w:t>Boston, MA 02215</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Successors and Assigns</w:t>
      </w:r>
      <w:r>
        <w:rPr>
          <w:rFonts w:ascii="Times New Roman" w:hAnsi="Times New Roman"/>
          <w:sz w:val="20"/>
        </w:rPr>
        <w:t xml:space="preserve">. This Sublease shall inure to the benefit of, and be binding upon, the parties hereto and their respective successors and permitted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Multiple Counterparts</w:t>
      </w:r>
      <w:r>
        <w:rPr>
          <w:rFonts w:ascii="Times New Roman" w:hAnsi="Times New Roman"/>
          <w:sz w:val="20"/>
        </w:rPr>
        <w:t xml:space="preserve">. This Sublease may be executed in multiple counterparts, each of which will be deemed an original, but all of which will constitute one and the same instrument. </w:t>
      </w:r>
    </w:p>
    <w:p>
      <w:pPr>
        <w:pStyle w:val="TextBody"/>
        <w:bidi w:val="0"/>
        <w:spacing w:before="12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Surrender of Subleased Premises</w:t>
      </w:r>
      <w:r>
        <w:rPr>
          <w:rFonts w:ascii="Times New Roman" w:hAnsi="Times New Roman"/>
          <w:sz w:val="20"/>
        </w:rPr>
        <w:t xml:space="preserve">. Upon the Termination Date or upon earlier expiration of the Sublease as provided herein, Sublessee shall surrender the Subleased Premises in the condition required by Sections 8.1 and 9.5 of the Prime Lease, removing all goods and effects of Sublessee, including trade fixtures, equipment, signage, cabling, wiring and other personal property, as well as any alterations made by Sublessee that Prime Landlord has designated for removal in accordance with the terms of the Prime Lease, but specifically excluding those approved as part of, or in connection with, the Consent, provided, however, Sublessee may surrender the Subleased Premises with cabling and wiring in place, unless required by the Prime Landlord to remove such cabling and wiring installed by Sublessee. For the sake of clarity, Sublessee shall not be responsible for any wiring, cabling or other installations or alterations (including without limitation supplemental HVAC and other systems) made or installed by Sublessor or otherwise made or installed prior to the Sublease Commencement Date or for any damage occurring prior thereto. Any of Sublessees equipment or personal property which shall remain in the Subleased Premises after the expiration or termination of the term of this Sublease shall be deemed conclusively to have been abandoned, and either may be retained by Sublessor as its property or may be disposed of in such manner as Sublessor may see fit, at Sublessees sole cost and expense. </w:t>
      </w:r>
    </w:p>
    <w:p>
      <w:pPr>
        <w:pStyle w:val="TextBody"/>
        <w:bidi w:val="0"/>
        <w:spacing w:before="12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Conditions</w:t>
      </w:r>
      <w:r>
        <w:rPr>
          <w:rFonts w:ascii="Times New Roman" w:hAnsi="Times New Roman"/>
          <w:sz w:val="20"/>
        </w:rPr>
        <w:t>. This Sublease is expressly conditioned upon, and shall not be effective unless and until, Prime Landlord has delivered its written consent to this Sublease (</w:t>
      </w:r>
      <w:r>
        <w:rPr>
          <w:rFonts w:ascii="Times New Roman" w:hAnsi="Times New Roman"/>
          <w:sz w:val="20"/>
          <w:u w:val="single"/>
        </w:rPr>
        <w:t>Consent</w:t>
      </w:r>
      <w:r>
        <w:rPr>
          <w:rFonts w:ascii="Times New Roman" w:hAnsi="Times New Roman"/>
          <w:sz w:val="20"/>
        </w:rPr>
        <w:t xml:space="preserve">). Sublessor shall use commercially reasonable efforts to obtain Prime Landlords consent to (A) this Sublease, (B) the signage rights described in Section 11 hereof, (C) the improvements, alterations and renovations described on </w:t>
      </w:r>
      <w:r>
        <w:rPr>
          <w:rFonts w:ascii="Times New Roman" w:hAnsi="Times New Roman"/>
          <w:b/>
          <w:sz w:val="20"/>
          <w:u w:val="single"/>
        </w:rPr>
        <w:t>Exhibit D</w:t>
      </w:r>
      <w:r>
        <w:rPr>
          <w:rFonts w:ascii="Times New Roman" w:hAnsi="Times New Roman"/>
          <w:sz w:val="20"/>
          <w:u w:val="single"/>
        </w:rPr>
        <w:t xml:space="preserve"> </w:t>
      </w:r>
      <w:r>
        <w:rPr>
          <w:rFonts w:ascii="Times New Roman" w:hAnsi="Times New Roman"/>
          <w:sz w:val="20"/>
        </w:rPr>
        <w:t>attached hereto (the </w:t>
      </w:r>
      <w:r>
        <w:rPr>
          <w:rFonts w:ascii="Times New Roman" w:hAnsi="Times New Roman"/>
          <w:sz w:val="20"/>
          <w:u w:val="single"/>
        </w:rPr>
        <w:t>Initial Sublessee Alterations</w:t>
      </w:r>
      <w:r>
        <w:rPr>
          <w:rFonts w:ascii="Times New Roman" w:hAnsi="Times New Roman"/>
          <w:sz w:val="20"/>
        </w:rPr>
        <w:t xml:space="preserve">), to be made by Sublessee (subject however, to Sublessees compliance with the remaining requirements of Article IX of the Prime Lease to the extent applicable), and to acknowledge that the Initial Sublessee Alterations are not Atypical Improvements, so that the same may be surrendered with the Subleased Premises at the expiration or earlier termination of the Sublease Term, and (D) Sublessees right to license a portion or portions of the Subleased Premises to the Licensee Parties in accordance with the terms of Section 8 hereof without Prime Landlords or Sublessors consent, and Sublessee agrees to cooperate in all reasonable respects in connection therewith. If the Prime Landlords written consent to this Sublease, to the signage, to the Initial Sublessee Alterations, and/or to Sublessees license rights, and its acknowledgment that the restoration obligations do not apply with respect to the Initial Sublessee Alterations, are not obtained on or before the forty-fifth (45th) day after the Effective Date, provided it has used commercially reasonable efforts to obtain Prime Landlords consent or cooperated, respectively, as described above, each party shall have the right to terminate this Sublease upon written notice to the other party, given at any time before the Prime Landlords written consent hereto and thereto has been secured, without penalty or liability, in which event this Sublease shall be null and void, and neither party shall have any obligation or liability to the other, provided, however, in the event that Sublessor exercises its right to terminate this Sublease as a result of the failure to obtain Prime Landlords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consent to the signage, to the Initial Sublessee Alterations and or to Sublessees license rights, and/or its acknowledgement regarding the inapplicability of the restoration obligations with respect to the Initial Sublessee Alterations in each instance prior to said date, Sublessee shall have the right to nullify Sublessors exercise of said termination right by notifying Sublessor of its irrevocable waiver of such condition (s) within five (5) business days after receipt of Sublessors termination notice. Following execution by Prime Landlord, the Consent shall be attached hereto as </w:t>
      </w:r>
      <w:r>
        <w:rPr>
          <w:rFonts w:ascii="Times New Roman" w:hAnsi="Times New Roman"/>
          <w:b/>
          <w:sz w:val="20"/>
          <w:u w:val="single"/>
        </w:rPr>
        <w:t>Exhibit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Sublessors Exercise of Right During Damage or Destruction</w:t>
      </w:r>
      <w:r>
        <w:rPr>
          <w:rFonts w:ascii="Times New Roman" w:hAnsi="Times New Roman"/>
          <w:sz w:val="20"/>
        </w:rPr>
        <w:t xml:space="preserve">. Sublessee acknowledges and agrees that if the Prime Lease gives Sublessor any right to terminate the Prime Lease in the event of the partial or total damage, destruction, or condemnation of the Subleased Premises or the Building or Property of which the Subleased Premises are a part, then the exercise of such right by Sublessor shall not constitute a default or breach hereunder. In addition, in the event any taking by eminent domain or damage by fire or other casualty affects the Subleased Premises, Sublessee shall be entitled to exercise, if applicable, any termination rights afforded the Sublessor under the Prime Lease, subject to the provisions set forth therein. Sublessor shall have no obligation to repair or restore the Building or the Subleased Premises or to compensate Sublessee in the event of a fire or other casualty or a taking by way of eminent domain which affects the Building or the Subleased Premises. To the extent Sublessors rent is abated under the Prime Lease pursuant to provisions thereof, Sublessees Base Rent (and any Additional Rent, to the extent abated for Sublessor) hereunder shall also be abated for the same period. </w:t>
      </w:r>
    </w:p>
    <w:p>
      <w:pPr>
        <w:pStyle w:val="TextBody"/>
        <w:bidi w:val="0"/>
        <w:spacing w:before="120" w:after="0"/>
        <w:jc w:val="left"/>
        <w:rPr>
          <w:rFonts w:ascii="Times New Roman" w:hAnsi="Times New Roman"/>
          <w:sz w:val="20"/>
        </w:rPr>
      </w:pPr>
      <w:r>
        <w:rPr>
          <w:rFonts w:ascii="Times New Roman" w:hAnsi="Times New Roman"/>
          <w:sz w:val="20"/>
        </w:rPr>
        <w:t xml:space="preserve">14.13 </w:t>
      </w:r>
      <w:r>
        <w:rPr>
          <w:rFonts w:ascii="Times New Roman" w:hAnsi="Times New Roman"/>
          <w:sz w:val="20"/>
          <w:u w:val="single"/>
        </w:rPr>
        <w:t>Access Card</w:t>
      </w:r>
      <w:r>
        <w:rPr>
          <w:rFonts w:ascii="Times New Roman" w:hAnsi="Times New Roman"/>
          <w:sz w:val="20"/>
        </w:rPr>
        <w:t xml:space="preserve">. Sublessee shall be responsible for all costs incurred in obtaining any access cards to the Building from Prime Landlord. </w:t>
      </w:r>
    </w:p>
    <w:p>
      <w:pPr>
        <w:pStyle w:val="TextBody"/>
        <w:bidi w:val="0"/>
        <w:spacing w:before="120" w:after="0"/>
        <w:jc w:val="left"/>
        <w:rPr>
          <w:rFonts w:ascii="Times New Roman" w:hAnsi="Times New Roman"/>
          <w:sz w:val="20"/>
        </w:rPr>
      </w:pPr>
      <w:r>
        <w:rPr>
          <w:rFonts w:ascii="Times New Roman" w:hAnsi="Times New Roman"/>
          <w:sz w:val="20"/>
        </w:rPr>
        <w:t xml:space="preserve">14.14 </w:t>
      </w:r>
      <w:r>
        <w:rPr>
          <w:rFonts w:ascii="Times New Roman" w:hAnsi="Times New Roman"/>
          <w:sz w:val="20"/>
          <w:u w:val="single"/>
        </w:rPr>
        <w:t>Capitalized Terms</w:t>
      </w:r>
      <w:r>
        <w:rPr>
          <w:rFonts w:ascii="Times New Roman" w:hAnsi="Times New Roman"/>
          <w:sz w:val="20"/>
        </w:rPr>
        <w:t xml:space="preserve">. All terms used herein with initial capital letters that are not specifically defined herein shall have the same meanings attributed to those terms in the Prime Lease as the case may be, provided that the same are not in conflict with the terms and provisions of this Sublease. </w:t>
      </w:r>
    </w:p>
    <w:p>
      <w:pPr>
        <w:pStyle w:val="TextBody"/>
        <w:bidi w:val="0"/>
        <w:spacing w:before="120" w:after="0"/>
        <w:jc w:val="left"/>
        <w:rPr>
          <w:rFonts w:ascii="Times New Roman" w:hAnsi="Times New Roman"/>
          <w:sz w:val="20"/>
        </w:rPr>
      </w:pPr>
      <w:r>
        <w:rPr>
          <w:rFonts w:ascii="Times New Roman" w:hAnsi="Times New Roman"/>
          <w:sz w:val="20"/>
        </w:rPr>
        <w:t xml:space="preserve">14.15 </w:t>
      </w:r>
      <w:r>
        <w:rPr>
          <w:rFonts w:ascii="Times New Roman" w:hAnsi="Times New Roman"/>
          <w:sz w:val="20"/>
          <w:u w:val="single"/>
        </w:rPr>
        <w:t>No Recording</w:t>
      </w:r>
      <w:r>
        <w:rPr>
          <w:rFonts w:ascii="Times New Roman" w:hAnsi="Times New Roman"/>
          <w:sz w:val="20"/>
        </w:rPr>
        <w:t xml:space="preserve">. Neither party shall record this Sublease or any notice of Sublease.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Brokers</w:t>
            </w:r>
            <w:r>
              <w:rPr>
                <w:rFonts w:ascii="Times New Roman" w:hAnsi="Times New Roman"/>
                <w:sz w:val="20"/>
              </w:rPr>
              <w:t>. Sublessor and Sublessee represent and warrant that JLL (</w:t>
            </w:r>
            <w:r>
              <w:rPr>
                <w:rFonts w:ascii="Times New Roman" w:hAnsi="Times New Roman"/>
                <w:sz w:val="20"/>
                <w:u w:val="single"/>
              </w:rPr>
              <w:t>Broker</w:t>
            </w:r>
            <w:r>
              <w:rPr>
                <w:rFonts w:ascii="Times New Roman" w:hAnsi="Times New Roman"/>
                <w:sz w:val="20"/>
              </w:rPr>
              <w:t xml:space="preserve">) is the only broker involved in the procurement, negotiation, and execution of this Sublease. Brokers commission shall be paid by Sublessor pursuant to a separate commission agreement. Neither party dealt with any other broker or finder (other than Broker) in connection with the consummation of this Sublease and each party agrees to indemnify, hold and save the other party harmless from and against any and all claims for brokerage commissions or finders fees arising out of either of their acts in connection with this Sublease.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FF&amp;E.</w:t>
            </w:r>
            <w:r>
              <w:rPr>
                <w:rFonts w:ascii="Times New Roman" w:hAnsi="Times New Roman"/>
                <w:sz w:val="20"/>
              </w:rPr>
              <w:t xml:space="preserve"> During the Sublease Term, Sublessee may use, at no additional charge, the furniture, fixtures and equipment listed on </w:t>
            </w:r>
            <w:r>
              <w:rPr>
                <w:rFonts w:ascii="Times New Roman" w:hAnsi="Times New Roman"/>
                <w:sz w:val="20"/>
                <w:u w:val="single"/>
              </w:rPr>
              <w:t>Exhibit F</w:t>
            </w:r>
            <w:r>
              <w:rPr>
                <w:rFonts w:ascii="Times New Roman" w:hAnsi="Times New Roman"/>
                <w:sz w:val="20"/>
              </w:rPr>
              <w:t xml:space="preserve"> attached hereto and made a part hereof (collectively, </w:t>
            </w:r>
            <w:r>
              <w:rPr>
                <w:rFonts w:ascii="Times New Roman" w:hAnsi="Times New Roman"/>
                <w:sz w:val="20"/>
                <w:u w:val="single"/>
              </w:rPr>
              <w:t>Included FF&amp;E</w:t>
            </w:r>
            <w:r>
              <w:rPr>
                <w:rFonts w:ascii="Times New Roman" w:hAnsi="Times New Roman"/>
                <w:sz w:val="20"/>
              </w:rPr>
              <w:t xml:space="preserve">). Sublessee shall not alter the Included FF&amp;E without the prior written consent of the Sublessor. Sublessee shall repair any damage to the Included FF&amp;E caused by its employees, agents or contractors (ordinary wear and tear excepted) and, upon the expiration or earlier termination of this Sublease, Sublessee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shall surrender the Included FF&amp;E to Sublessor in as good condition as it was first received by Sublessee, casualty and ordinary wear and tear excepted. The Included FF&amp;E will be provided by Sublessor in its AS IS condition, with all faults and defects, and Sublessee shall take possession of and use such Included FF&amp;E at Sublessees sole risk and in compliance with all applicable laws. No representations or warranties whatsoever as to the Included FF&amp;Es condition or fitness for a particular purpose, express or implied, are made by Sublessor.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Parking</w:t>
            </w:r>
            <w:r>
              <w:rPr>
                <w:rFonts w:ascii="Times New Roman" w:hAnsi="Times New Roman"/>
                <w:sz w:val="20"/>
              </w:rPr>
              <w:t xml:space="preserve">. During the Sublease Term, Sublessee shall have the right to use Sublessors four (4) parking spaces as set forth in Article X of the Prime Lease. Sublessee shall pay the Sublessor the monthly rate per space then being charged by Prime Landlord (or the Garage Operator, as such term is defined in the Prime Lease) at the same time that Base Rent is due under this Sublease (or shall pay such amount directly to Prime Landlord or any operator of the parking facility if required), and Sublessees use of the parking spaces shall be subject to the terms of the Prime Lease and any other rules and regulations imposed by the Prime Landlord. regarding the same. Sublessor represents that it has not, and covenants that it shall not, relinquish any of the spaces. Sublessee may, at any time, elect to relinquish spaces upon thirty (30) days prior notice to Sublessor and shall thereafter only be required to pay the monthly parking charges for those parking spaces that Sublessee has elected to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Quiet Enjoyment</w:t>
            </w:r>
            <w:r>
              <w:rPr>
                <w:rFonts w:ascii="Times New Roman" w:hAnsi="Times New Roman"/>
                <w:sz w:val="20"/>
              </w:rPr>
              <w:t xml:space="preserve">. Provided Sublessee is not in default beyond applicable notice and cure periods hereunder, Sublessee shall have the quiet enjoyment of the Subleased Premises during the Sublease Term without interference by Sublessor or anyone claiming by, through or under Sublessor, subject however to all terms and conditions of this Sublease and the Prime Lease as incorporated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Prohibited Persons</w:t>
            </w:r>
            <w:r>
              <w:rPr>
                <w:rFonts w:ascii="Times New Roman" w:hAnsi="Times New Roman"/>
                <w:sz w:val="20"/>
              </w:rPr>
              <w:t>. Each of Sublessee and Sublessor hereby represents and warrants to the other party hereto that it is not: (a) in violation of any Anti-Terrorism Law; (b) conducting any business or engaging in any transaction or dealing with any Prohibited Person, including, without limitation, the making or receiving of any contribution of funds, goods or services to or for the benefit of any Prohibited Person; (c) dealing in, or otherwise engaging in any transaction relating to, any property or interest in property blocked pursuant to Executive Order No. 13224; (d) engaging in or conspiring to engage in any transaction that evades or avoids, or has the purpose of evading or avoiding, or attempts to violate any of the prohibitions set forth in any Anti-Terrorism Law; or (e) a Prohibited Person, nor are any of its partners, members, managers, officers or directors a Prohibited Person. As used herein, </w:t>
            </w:r>
            <w:r>
              <w:rPr>
                <w:rFonts w:ascii="Times New Roman" w:hAnsi="Times New Roman"/>
                <w:sz w:val="20"/>
                <w:u w:val="single"/>
              </w:rPr>
              <w:t>Anti-Terrorism Law</w:t>
            </w:r>
            <w:r>
              <w:rPr>
                <w:rFonts w:ascii="Times New Roman" w:hAnsi="Times New Roman"/>
                <w:sz w:val="20"/>
              </w:rPr>
              <w:t> is defined as any law relating to terrorism, anti-terrorism, money laundering or anti-money laundering activities, including, without limitation, Executive Order No. 13224 and Title 3 of the USA Patriot Act. As used herein, </w:t>
            </w:r>
            <w:r>
              <w:rPr>
                <w:rFonts w:ascii="Times New Roman" w:hAnsi="Times New Roman"/>
                <w:sz w:val="20"/>
                <w:u w:val="single"/>
              </w:rPr>
              <w:t>Executive Order No. 13224</w:t>
            </w:r>
            <w:r>
              <w:rPr>
                <w:rFonts w:ascii="Times New Roman" w:hAnsi="Times New Roman"/>
                <w:sz w:val="20"/>
              </w:rPr>
              <w:t> is defined as Executive Order No. 13224 on Terrorist Financing effective September 24, 2001, and relating to Blocking Property and Prohibiting Transactions With Persons Who Commit, or Support Terrorism. As used herein, </w:t>
            </w:r>
            <w:r>
              <w:rPr>
                <w:rFonts w:ascii="Times New Roman" w:hAnsi="Times New Roman"/>
                <w:sz w:val="20"/>
                <w:u w:val="single"/>
              </w:rPr>
              <w:t>Prohibited Person</w:t>
            </w:r>
            <w:r>
              <w:rPr>
                <w:rFonts w:ascii="Times New Roman" w:hAnsi="Times New Roman"/>
                <w:sz w:val="20"/>
              </w:rPr>
              <w:t xml:space="preserve"> is defined as (i) a person or entity that is listed in the Annex to Executive Order 13224; (ii) a person or entity with whom Sublessee is prohibited from dealing or otherwise engaging in any transaction by any Anti-Terrorism Law; or (iii)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person or entity that is named as a specially designated national and blocked person on the most current list published by the U.S. Treasury Department Office of Foreign Assets Control at its official website, http: www.treas.gov/ofac/t11sdn.pdf or at any replacement website or other official publication of such list. As used herein, </w:t>
            </w:r>
            <w:r>
              <w:rPr>
                <w:u w:val="single"/>
              </w:rPr>
              <w:t>USA Patriot Act</w:t>
            </w:r>
            <w:r>
              <w:rPr/>
              <w:t xml:space="preserve"> is defined as the Uniting and Strengthening America by Providing Appropriate Tools Required to Intercept and Obstruct Terrorism Act of 2001 (Public Law 107-56), as may have been or may hereafter be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SUBLESSOR:</w:t>
            </w:r>
          </w:p>
        </w:tc>
      </w:tr>
      <w:tr>
        <w:trPr/>
        <w:tc>
          <w:tcPr>
            <w:tcW w:w="4082" w:type="dxa"/>
            <w:gridSpan w:val="3"/>
            <w:tcBorders/>
          </w:tcPr>
          <w:p>
            <w:pPr>
              <w:pStyle w:val="TableContents"/>
              <w:bidi w:val="0"/>
              <w:spacing w:before="0" w:after="283"/>
              <w:jc w:val="left"/>
              <w:rPr>
                <w:b/>
              </w:rPr>
            </w:pPr>
            <w:r>
              <w:rPr>
                <w:b/>
              </w:rPr>
              <w:t>Whoop, Inc.</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5" w:type="dxa"/>
            <w:tcBorders>
              <w:bottom w:val="single" w:sz="2" w:space="0" w:color="000000"/>
            </w:tcBorders>
            <w:tcMar>
              <w:bottom w:w="28" w:type="dxa"/>
            </w:tcMar>
          </w:tcPr>
          <w:p>
            <w:pPr>
              <w:pStyle w:val="TableContents"/>
              <w:bidi w:val="0"/>
              <w:spacing w:before="0" w:after="283"/>
              <w:jc w:val="left"/>
              <w:rPr/>
            </w:pPr>
            <w:r>
              <w:rPr/>
              <w:t>/s/ Harrison Kurzer</w:t>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Harrison Kurzer</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VP Financial Planning and Analysis</w:t>
            </w:r>
          </w:p>
          <w:p>
            <w:pPr>
              <w:pStyle w:val="TableContents"/>
              <w:bidi w:val="0"/>
              <w:spacing w:before="0" w:after="20"/>
              <w:jc w:val="left"/>
              <w:rPr>
                <w:rFonts w:ascii="Times New Roman" w:hAnsi="Times New Roman"/>
                <w:sz w:val="20"/>
              </w:rPr>
            </w:pPr>
            <w:r>
              <w:rPr>
                <w:rFonts w:ascii="Times New Roman" w:hAnsi="Times New Roman"/>
                <w:sz w:val="20"/>
              </w:rPr>
              <w:t>Duly Authorized</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SUBLESSEE:</w:t>
            </w:r>
          </w:p>
        </w:tc>
      </w:tr>
      <w:tr>
        <w:trPr/>
        <w:tc>
          <w:tcPr>
            <w:tcW w:w="4082" w:type="dxa"/>
            <w:gridSpan w:val="3"/>
            <w:tcBorders/>
          </w:tcPr>
          <w:p>
            <w:pPr>
              <w:pStyle w:val="TableContents"/>
              <w:bidi w:val="0"/>
              <w:spacing w:before="0" w:after="283"/>
              <w:jc w:val="left"/>
              <w:rPr>
                <w:b/>
              </w:rPr>
            </w:pPr>
            <w:r>
              <w:rPr>
                <w:b/>
              </w:rPr>
              <w:t>Rapport Therapeutics, Inc.</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5" w:type="dxa"/>
            <w:tcBorders>
              <w:bottom w:val="single" w:sz="2" w:space="0" w:color="000000"/>
            </w:tcBorders>
            <w:tcMar>
              <w:bottom w:w="28" w:type="dxa"/>
            </w:tcMar>
          </w:tcPr>
          <w:p>
            <w:pPr>
              <w:pStyle w:val="TableContents"/>
              <w:bidi w:val="0"/>
              <w:spacing w:before="0" w:after="283"/>
              <w:jc w:val="left"/>
              <w:rPr/>
            </w:pPr>
            <w:r>
              <w:rPr/>
              <w:t>/s/ Abraham Ceesay</w:t>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Abraham Ceesay</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Duly Authorized</w:t>
            </w:r>
          </w:p>
        </w:tc>
      </w:tr>
    </w:tbl>
    <w:p>
      <w:pPr>
        <w:pStyle w:val="TextBody"/>
        <w:bidi w:val="0"/>
        <w:spacing w:before="0" w:after="0"/>
        <w:jc w:val="right"/>
        <w:rPr>
          <w:rFonts w:ascii="Times New Roman" w:hAnsi="Times New Roman"/>
          <w:b/>
          <w:sz w:val="20"/>
        </w:rPr>
      </w:pPr>
      <w:bookmarkStart w:id="56" w:name="d803738dex1014.htm"/>
      <w:bookmarkStart w:id="57" w:name="ksd803738dex1014"/>
      <w:bookmarkEnd w:id="56"/>
      <w:bookmarkEnd w:id="57"/>
      <w:r>
        <w:rPr>
          <w:rFonts w:ascii="Times New Roman" w:hAnsi="Times New Roman"/>
          <w:b/>
          <w:sz w:val="20"/>
        </w:rPr>
        <w:t xml:space="preserve">Exhibit 10.14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LICENSE AGREEMENT </w:t>
      </w:r>
    </w:p>
    <w:p>
      <w:pPr>
        <w:pStyle w:val="TextBody"/>
        <w:bidi w:val="0"/>
        <w:spacing w:before="240" w:after="0"/>
        <w:jc w:val="left"/>
        <w:rPr>
          <w:rFonts w:ascii="Times New Roman" w:hAnsi="Times New Roman"/>
          <w:sz w:val="20"/>
        </w:rPr>
      </w:pPr>
      <w:r>
        <w:rPr>
          <w:rFonts w:ascii="Times New Roman" w:hAnsi="Times New Roman"/>
          <w:sz w:val="20"/>
        </w:rPr>
        <w:t>THIS LICENSE AGREEMENT (the </w:t>
      </w:r>
      <w:r>
        <w:rPr>
          <w:rFonts w:ascii="Times New Roman" w:hAnsi="Times New Roman"/>
          <w:b/>
          <w:sz w:val="20"/>
        </w:rPr>
        <w:t>Agreement</w:t>
      </w:r>
      <w:r>
        <w:rPr>
          <w:rFonts w:ascii="Times New Roman" w:hAnsi="Times New Roman"/>
          <w:sz w:val="20"/>
        </w:rPr>
        <w:t>) is made as of this 21 day of December, 2023 (the </w:t>
      </w:r>
      <w:r>
        <w:rPr>
          <w:rFonts w:ascii="Times New Roman" w:hAnsi="Times New Roman"/>
          <w:b/>
          <w:sz w:val="20"/>
        </w:rPr>
        <w:t>Effective Date</w:t>
      </w:r>
      <w:r>
        <w:rPr>
          <w:rFonts w:ascii="Times New Roman" w:hAnsi="Times New Roman"/>
          <w:sz w:val="20"/>
        </w:rPr>
        <w:t xml:space="preserve">), between </w:t>
      </w:r>
      <w:r>
        <w:rPr>
          <w:rFonts w:ascii="Times New Roman" w:hAnsi="Times New Roman"/>
          <w:b/>
          <w:sz w:val="20"/>
        </w:rPr>
        <w:t>ARE-SD REGION NO. 61, LLC</w:t>
      </w:r>
      <w:r>
        <w:rPr>
          <w:rFonts w:ascii="Times New Roman" w:hAnsi="Times New Roman"/>
          <w:sz w:val="20"/>
        </w:rPr>
        <w:t>, a Delaware limited liability company (</w:t>
      </w:r>
      <w:r>
        <w:rPr>
          <w:rFonts w:ascii="Times New Roman" w:hAnsi="Times New Roman"/>
          <w:b/>
          <w:sz w:val="20"/>
        </w:rPr>
        <w:t>Licensor</w:t>
      </w:r>
      <w:r>
        <w:rPr>
          <w:rFonts w:ascii="Times New Roman" w:hAnsi="Times New Roman"/>
          <w:sz w:val="20"/>
        </w:rPr>
        <w:t xml:space="preserve">), and </w:t>
      </w:r>
      <w:r>
        <w:rPr>
          <w:rFonts w:ascii="Times New Roman" w:hAnsi="Times New Roman"/>
          <w:b/>
          <w:sz w:val="20"/>
        </w:rPr>
        <w:t>RAPPORT THERAPEUTICS, INC.</w:t>
      </w:r>
      <w:r>
        <w:rPr>
          <w:rFonts w:ascii="Times New Roman" w:hAnsi="Times New Roman"/>
          <w:sz w:val="20"/>
        </w:rPr>
        <w:t>, a Delaware corporation (</w:t>
      </w:r>
      <w:r>
        <w:rPr>
          <w:rFonts w:ascii="Times New Roman" w:hAnsi="Times New Roman"/>
          <w:b/>
          <w:sz w:val="20"/>
        </w:rPr>
        <w:t>Licensee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u w:val="single"/>
        </w:rPr>
        <w:t>RECITALS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Licensor is the owner of that certain real property described on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attached hereto (the </w:t>
      </w:r>
      <w:r>
        <w:rPr>
          <w:rFonts w:ascii="Times New Roman" w:hAnsi="Times New Roman"/>
          <w:b/>
          <w:sz w:val="20"/>
        </w:rPr>
        <w:t>Project</w:t>
      </w:r>
      <w:r>
        <w:rPr>
          <w:rFonts w:ascii="Times New Roman" w:hAnsi="Times New Roman"/>
          <w:sz w:val="20"/>
        </w:rPr>
        <w:t>) at which that certain building commonly known as 10210 Campus Point Drive, San Diego, California (the </w:t>
      </w:r>
      <w:r>
        <w:rPr>
          <w:rFonts w:ascii="Times New Roman" w:hAnsi="Times New Roman"/>
          <w:b/>
          <w:sz w:val="20"/>
        </w:rPr>
        <w:t>Building</w:t>
      </w:r>
      <w:r>
        <w:rPr>
          <w:rFonts w:ascii="Times New Roman" w:hAnsi="Times New Roman"/>
          <w:sz w:val="20"/>
        </w:rPr>
        <w:t xml:space="preserve">), is located.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Licensors affiliate ARE-9880 Campus Point, LLC, a Delaware limited liability company, and Licensee are currently in the process of negotiating a lease agreement (the </w:t>
      </w:r>
      <w:r>
        <w:rPr>
          <w:rFonts w:ascii="Times New Roman" w:hAnsi="Times New Roman"/>
          <w:b/>
          <w:sz w:val="20"/>
        </w:rPr>
        <w:t>Lease</w:t>
      </w:r>
      <w:r>
        <w:rPr>
          <w:rFonts w:ascii="Times New Roman" w:hAnsi="Times New Roman"/>
          <w:sz w:val="20"/>
        </w:rPr>
        <w:t>) pursuant to which Licensee will lease approximately 20,626 rentable square feet of space in at 9880 Campus Point Drive, San Diego, California (the </w:t>
      </w:r>
      <w:r>
        <w:rPr>
          <w:rFonts w:ascii="Times New Roman" w:hAnsi="Times New Roman"/>
          <w:b/>
          <w:sz w:val="20"/>
        </w:rPr>
        <w:t>Leased Premises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Licensee desires to have, and Licensor desires to grant to Licensee, a license to use a portion of the Building commonly known as Suite 100, consisting of approximately 9,558 rentable square feet, as more particularly shown on </w:t>
      </w:r>
      <w:r>
        <w:rPr>
          <w:rFonts w:ascii="Times New Roman" w:hAnsi="Times New Roman"/>
          <w:b/>
          <w:sz w:val="20"/>
        </w:rPr>
        <w:t xml:space="preserve">Exhibit B </w:t>
      </w:r>
      <w:r>
        <w:rPr>
          <w:rFonts w:ascii="Times New Roman" w:hAnsi="Times New Roman"/>
          <w:sz w:val="20"/>
        </w:rPr>
        <w:t>attached hereto (the </w:t>
      </w:r>
      <w:r>
        <w:rPr>
          <w:rFonts w:ascii="Times New Roman" w:hAnsi="Times New Roman"/>
          <w:b/>
          <w:sz w:val="20"/>
        </w:rPr>
        <w:t>Licensed Premises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Licensee and Licensor wish to confirm the terms and conditions upon which Licensee may use the Licensed Premises.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herein expressed and for other good and valuable consideration, the receipt and sufficiency of which are hereby acknowledged, Licensee and Licensor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Grant of License</w:t>
      </w:r>
      <w:r>
        <w:rPr>
          <w:rFonts w:ascii="Times New Roman" w:hAnsi="Times New Roman"/>
          <w:sz w:val="20"/>
        </w:rPr>
        <w:t>. Licensor hereby grants to Licensee an exclusive license to enter into and use the Licensed Premises for the use described below, commencing on the date that Licensor delivers the Licensed Premises to Licensee (the </w:t>
      </w:r>
      <w:r>
        <w:rPr>
          <w:rFonts w:ascii="Times New Roman" w:hAnsi="Times New Roman"/>
          <w:b/>
          <w:sz w:val="20"/>
        </w:rPr>
        <w:t>License</w:t>
      </w:r>
      <w:r>
        <w:rPr>
          <w:rFonts w:ascii="Times New Roman" w:hAnsi="Times New Roman"/>
          <w:sz w:val="20"/>
        </w:rPr>
        <w:t xml:space="preserve"> </w:t>
      </w:r>
      <w:r>
        <w:rPr>
          <w:rFonts w:ascii="Times New Roman" w:hAnsi="Times New Roman"/>
          <w:b/>
          <w:sz w:val="20"/>
        </w:rPr>
        <w:t>Commencement</w:t>
      </w:r>
      <w:r>
        <w:rPr>
          <w:rFonts w:ascii="Times New Roman" w:hAnsi="Times New Roman"/>
          <w:sz w:val="20"/>
        </w:rPr>
        <w:t xml:space="preserve"> </w:t>
      </w:r>
      <w:r>
        <w:rPr>
          <w:rFonts w:ascii="Times New Roman" w:hAnsi="Times New Roman"/>
          <w:b/>
          <w:sz w:val="20"/>
        </w:rPr>
        <w:t>Date</w:t>
      </w:r>
      <w:r>
        <w:rPr>
          <w:rFonts w:ascii="Times New Roman" w:hAnsi="Times New Roman"/>
          <w:sz w:val="20"/>
        </w:rPr>
        <w:t>), and continuing on a month-to-month basis (the </w:t>
      </w:r>
      <w:r>
        <w:rPr>
          <w:rFonts w:ascii="Times New Roman" w:hAnsi="Times New Roman"/>
          <w:b/>
          <w:sz w:val="20"/>
        </w:rPr>
        <w:t>Term</w:t>
      </w:r>
      <w:r>
        <w:rPr>
          <w:rFonts w:ascii="Times New Roman" w:hAnsi="Times New Roman"/>
          <w:sz w:val="20"/>
        </w:rPr>
        <w:t>), which shall be terminable as set forth in this paragraph. The License Commencement Date is anticipated to occur on January 13, 2024 (the </w:t>
      </w:r>
      <w:r>
        <w:rPr>
          <w:rFonts w:ascii="Times New Roman" w:hAnsi="Times New Roman"/>
          <w:b/>
          <w:sz w:val="20"/>
        </w:rPr>
        <w:t>Target Commencement Date</w:t>
      </w:r>
      <w:r>
        <w:rPr>
          <w:rFonts w:ascii="Times New Roman" w:hAnsi="Times New Roman"/>
          <w:sz w:val="20"/>
        </w:rPr>
        <w:t>). Licensor shall use commercially reasonable efforts to deliver the Licensed Premises on the Target Commencement Date or as soon as reasonably practicable thereafter. Notwithstanding the foregoing, in no event shall the License Commencement Date be prior to January 1, 2024. If Licensor fails to timely deliver the Licensed Premises, Licensor shall not be liable to Licensee for any loss or damage resulting therefrom. This Agreement shall be terminable as follows: (a) (i) Licensee shall have the right to terminate this Agreement upon at least 30 days prior written notice to Licensor, (ii) if Licensee has entered into the Lease, then this Agreement shall terminate 30 days after the Commencement Date as defined in the Lease (the </w:t>
      </w:r>
      <w:r>
        <w:rPr>
          <w:rFonts w:ascii="Times New Roman" w:hAnsi="Times New Roman"/>
          <w:b/>
          <w:sz w:val="20"/>
        </w:rPr>
        <w:t>Lease Commencement Date</w:t>
      </w:r>
      <w:r>
        <w:rPr>
          <w:rFonts w:ascii="Times New Roman" w:hAnsi="Times New Roman"/>
          <w:sz w:val="20"/>
        </w:rPr>
        <w:t>); provided, however, that if the Lease terminates prior to the Lease Commencement Date, then this Agreement shall terminate 180 days after either party delivers written notice to the other, (iii) if Licensee does not enter into the Lease, but rather enters into a different new lease (the </w:t>
      </w:r>
      <w:r>
        <w:rPr>
          <w:rFonts w:ascii="Times New Roman" w:hAnsi="Times New Roman"/>
          <w:b/>
          <w:sz w:val="20"/>
        </w:rPr>
        <w:t>New</w:t>
      </w:r>
      <w:r>
        <w:rPr>
          <w:rFonts w:ascii="Times New Roman" w:hAnsi="Times New Roman"/>
          <w:sz w:val="20"/>
        </w:rPr>
        <w:t xml:space="preserve"> </w:t>
      </w:r>
      <w:r>
        <w:rPr>
          <w:rFonts w:ascii="Times New Roman" w:hAnsi="Times New Roman"/>
          <w:b/>
          <w:sz w:val="20"/>
        </w:rPr>
        <w:t>Lease</w:t>
      </w:r>
      <w:r>
        <w:rPr>
          <w:rFonts w:ascii="Times New Roman" w:hAnsi="Times New Roman"/>
          <w:sz w:val="20"/>
        </w:rPr>
        <w:t>) with Licensor or an affiliate of Licensor pursuant to which Licensee shall lease space in the San Diego area, then this Agreement shall terminate 30 days after the Commencement Date as defined in the New Lease (the </w:t>
      </w:r>
      <w:r>
        <w:rPr>
          <w:rFonts w:ascii="Times New Roman" w:hAnsi="Times New Roman"/>
          <w:b/>
          <w:sz w:val="20"/>
        </w:rPr>
        <w:t>New</w:t>
      </w:r>
      <w:r>
        <w:rPr>
          <w:rFonts w:ascii="Times New Roman" w:hAnsi="Times New Roman"/>
          <w:sz w:val="20"/>
        </w:rPr>
        <w:t xml:space="preserve"> </w:t>
      </w:r>
      <w:r>
        <w:rPr>
          <w:rFonts w:ascii="Times New Roman" w:hAnsi="Times New Roman"/>
          <w:b/>
          <w:sz w:val="20"/>
        </w:rPr>
        <w:t>Lease</w:t>
      </w:r>
      <w:r>
        <w:rPr>
          <w:rFonts w:ascii="Times New Roman" w:hAnsi="Times New Roman"/>
          <w:sz w:val="20"/>
        </w:rPr>
        <w:t xml:space="preserve"> </w:t>
      </w:r>
      <w:r>
        <w:rPr>
          <w:rFonts w:ascii="Times New Roman" w:hAnsi="Times New Roman"/>
          <w:b/>
          <w:sz w:val="20"/>
        </w:rPr>
        <w:t>Commencement</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provided, however, that if the New Lease terminates prior to the New Lease Commencement Date, then this Agreement shall terminate 180 days after either party delivers written notice to the other, and (iv) if neither party has notified the other of an earlier termination date pursuant to subsections (i), (ii) or (iii) of this </w:t>
      </w:r>
      <w:r>
        <w:rPr>
          <w:rFonts w:ascii="Times New Roman" w:hAnsi="Times New Roman"/>
          <w:sz w:val="20"/>
          <w:u w:val="single"/>
        </w:rPr>
        <w:t>Section 1</w:t>
      </w:r>
      <w:r>
        <w:rPr>
          <w:rFonts w:ascii="Times New Roman" w:hAnsi="Times New Roman"/>
          <w:sz w:val="20"/>
        </w:rPr>
        <w:t xml:space="preserve">, the Term shall automatically terminate on December 31, 2024, and (b) Licensor shall have the right to terminate this Agreement at any time for Cause (as defined in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During the Term, Licensee shall have the right to use all of the furniture, fixtures and equipment located within the Licensed Premises (the </w:t>
      </w:r>
      <w:r>
        <w:rPr>
          <w:rFonts w:ascii="Times New Roman" w:hAnsi="Times New Roman"/>
          <w:b/>
          <w:sz w:val="20"/>
        </w:rPr>
        <w:t>Licensors</w:t>
      </w:r>
      <w:r>
        <w:rPr>
          <w:rFonts w:ascii="Times New Roman" w:hAnsi="Times New Roman"/>
          <w:sz w:val="20"/>
        </w:rPr>
        <w:t xml:space="preserve"> </w:t>
      </w:r>
      <w:r>
        <w:rPr>
          <w:rFonts w:ascii="Times New Roman" w:hAnsi="Times New Roman"/>
          <w:b/>
          <w:sz w:val="20"/>
        </w:rPr>
        <w:t>Furniture</w:t>
      </w:r>
      <w:r>
        <w:rPr>
          <w:rFonts w:ascii="Times New Roman" w:hAnsi="Times New Roman"/>
          <w:sz w:val="20"/>
        </w:rPr>
        <w:t xml:space="preserve">) as shown in further detail on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 xml:space="preserve">C </w:t>
      </w:r>
      <w:r>
        <w:rPr>
          <w:rFonts w:ascii="Times New Roman" w:hAnsi="Times New Roman"/>
          <w:sz w:val="20"/>
        </w:rPr>
        <w:t xml:space="preserve">attached hereto, at no additional cost or expense to Licensee. For avoidance of doubt, Licensors Furniture shall be second-hand furniture provided by Licensor. Licensee shall have no right to remove any of the Licensors Furniture from the Licensed Premises, and the Licensors Furniture shall be returned to Licensor at the expiration or earlier termination of the Term in the same condition as received, subject to ordinary wear and tear.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Licensee has delivered a certificate of insurance reflecting the insurance coverage required to be maintained by Licensee under </w:t>
      </w:r>
      <w:r>
        <w:rPr>
          <w:rFonts w:ascii="Times New Roman" w:hAnsi="Times New Roman"/>
          <w:sz w:val="20"/>
          <w:u w:val="single"/>
        </w:rPr>
        <w:t>Section 3</w:t>
      </w:r>
      <w:r>
        <w:rPr>
          <w:rFonts w:ascii="Times New Roman" w:hAnsi="Times New Roman"/>
          <w:sz w:val="20"/>
        </w:rPr>
        <w:t>, if the Licensed Premises is available prior to the Target Commencement Date, Licensor shall permit Licensee access to the Licensed Premises during such available time for a maximum period of up to 5 days prior to the License Commencement Date for Licensees installation and setup of furniture, fixtures and equipment (</w:t>
      </w:r>
      <w:r>
        <w:rPr>
          <w:rFonts w:ascii="Times New Roman" w:hAnsi="Times New Roman"/>
          <w:b/>
          <w:sz w:val="20"/>
        </w:rPr>
        <w:t>FF&amp;E Installation</w:t>
      </w:r>
      <w:r>
        <w:rPr>
          <w:rFonts w:ascii="Times New Roman" w:hAnsi="Times New Roman"/>
          <w:sz w:val="20"/>
        </w:rPr>
        <w:t xml:space="preserve">), provided that such FF&amp;E Installation is coordinated with Licensor, and Licensee complies with the terms of this Agreement and all other reasonable restrictions and conditions Licensor may impose. All such access shall be during normal business hours. Any access to the Licensed Premises by Licensee before the License Commencement Date shall be subject to all of the terms and conditions of this Agreement, excluding the obligation to pay the License Fee, Operating Expenses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Licensee shall accept the Licensed Premises in its as-is condition as of the License Commencement Date, and Licensor is hereby expressly relieved and released from any duty or obligation to make any improvements or alterations to the Licensed Premises prior to or after the License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Licensee hereby further acknowledges that Licensor has made no representation as to the condition of the Licensed Premises or the suitability of the Licensed Premises or the Project for Licensees intended use. Licensor hereby agrees to not remove any existing data cabling serving the Licensed Premises, and shall request that the existing tenant in the Licensed Premises leave the existing data cabling serving the Licensed Premises in place. Licensee shall have the right to use any such data cabling left in the Licensed Premises during the Term and shall abandon it in place at the end of the Term. Licensee acknowledges that the existing tenant in the Licensed Premises is planning to remove the existing cold room located in the Licensed Premises and that Licensor has no obligation to restore the cold room or otherwise provide a cold room for Licensees use during the Term.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Liability</w:t>
      </w:r>
      <w:r>
        <w:rPr>
          <w:rFonts w:ascii="Times New Roman" w:hAnsi="Times New Roman"/>
          <w:sz w:val="20"/>
          <w:u w:val="single"/>
        </w:rPr>
        <w:t xml:space="preserve"> </w:t>
      </w:r>
      <w:r>
        <w:rPr>
          <w:rFonts w:ascii="Times New Roman" w:hAnsi="Times New Roman"/>
          <w:b/>
          <w:sz w:val="20"/>
          <w:u w:val="single"/>
        </w:rPr>
        <w:t>and</w:t>
      </w:r>
      <w:r>
        <w:rPr>
          <w:rFonts w:ascii="Times New Roman" w:hAnsi="Times New Roman"/>
          <w:sz w:val="20"/>
          <w:u w:val="single"/>
        </w:rPr>
        <w:t xml:space="preserve"> </w:t>
      </w:r>
      <w:r>
        <w:rPr>
          <w:rFonts w:ascii="Times New Roman" w:hAnsi="Times New Roman"/>
          <w:b/>
          <w:sz w:val="20"/>
          <w:u w:val="single"/>
        </w:rPr>
        <w:t>Indemnification</w:t>
      </w:r>
      <w:r>
        <w:rPr>
          <w:rFonts w:ascii="Times New Roman" w:hAnsi="Times New Roman"/>
          <w:sz w:val="20"/>
        </w:rPr>
        <w:t>. Licensee shall use reasonable care to prevent damage to property and injury to persons while on the Project under this Agreement. Licensee hereby indemnifies and agrees to defend, save and hold Licensor, its officers, directors, employees, managers, agents, sub-agents, constituent entities and lease signators (collectively, </w:t>
      </w:r>
      <w:r>
        <w:rPr>
          <w:rFonts w:ascii="Times New Roman" w:hAnsi="Times New Roman"/>
          <w:b/>
          <w:sz w:val="20"/>
        </w:rPr>
        <w:t>Licensor</w:t>
      </w:r>
      <w:r>
        <w:rPr>
          <w:rFonts w:ascii="Times New Roman" w:hAnsi="Times New Roman"/>
          <w:sz w:val="20"/>
        </w:rPr>
        <w:t xml:space="preserve"> </w:t>
      </w:r>
      <w:r>
        <w:rPr>
          <w:rFonts w:ascii="Times New Roman" w:hAnsi="Times New Roman"/>
          <w:b/>
          <w:sz w:val="20"/>
        </w:rPr>
        <w:t>Indemnified</w:t>
      </w:r>
      <w:r>
        <w:rPr>
          <w:rFonts w:ascii="Times New Roman" w:hAnsi="Times New Roman"/>
          <w:sz w:val="20"/>
        </w:rPr>
        <w:t xml:space="preserve"> </w:t>
      </w:r>
      <w:r>
        <w:rPr>
          <w:rFonts w:ascii="Times New Roman" w:hAnsi="Times New Roman"/>
          <w:b/>
          <w:sz w:val="20"/>
        </w:rPr>
        <w:t>Parties</w:t>
      </w:r>
      <w:r>
        <w:rPr>
          <w:rFonts w:ascii="Times New Roman" w:hAnsi="Times New Roman"/>
          <w:sz w:val="20"/>
        </w:rPr>
        <w:t>) harmless from and against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Times New Roman" w:hAnsi="Times New Roman"/>
          <w:b/>
          <w:sz w:val="20"/>
        </w:rPr>
        <w:t>Claims</w:t>
      </w:r>
      <w:r>
        <w:rPr>
          <w:rFonts w:ascii="Times New Roman" w:hAnsi="Times New Roman"/>
          <w:sz w:val="20"/>
        </w:rPr>
        <w:t xml:space="preserve">) for injury or death to persons or damage to property occurring within or about the Licensed Premises or the Project and arising directly or indirectly out of the use or occupancy of the Licensed Premises or the Project by Licensee or any Licensee Related Parties (including, without limitation, any act or neglect by Licensee or any Licensee Related Parties in or about the Licensed Premises or at the Project) or a breach or default by Licensee in the performance of any of its obligations under this Agreement, except to the extent any such Claim was caused by the willful misconduct or negligence of Licensor Indemnified Parties. Licensor Indemnified Parties shall not be liable to Licensee for, and Licensee assumes all risk of damage to, personal property (including, without limitation, loss of records kept within the Licensed Premises). Licensee further waives any and all Claims for injury to Licensees business or loss of income relating to any such damage or destruction of personal property (including, without limitation, any loss of records). Licensor Indemnified Parties shall not be liable for any damages arising from any act, omission or neglect of any tenant or other licensee at the Project or of any other third party. The provisions of this </w:t>
      </w:r>
      <w:r>
        <w:rPr>
          <w:rFonts w:ascii="Times New Roman" w:hAnsi="Times New Roman"/>
          <w:sz w:val="20"/>
          <w:u w:val="single"/>
        </w:rPr>
        <w:t>Section 2</w:t>
      </w:r>
      <w:r>
        <w:rPr>
          <w:rFonts w:ascii="Times New Roman" w:hAnsi="Times New Roman"/>
          <w:sz w:val="20"/>
        </w:rPr>
        <w:t xml:space="preserve"> shall survive the expiration or earlier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Licensee</w:t>
      </w:r>
      <w:r>
        <w:rPr>
          <w:rFonts w:ascii="Times New Roman" w:hAnsi="Times New Roman"/>
          <w:sz w:val="20"/>
        </w:rPr>
        <w:t xml:space="preserve">. Licensee, at its sole cost and expense, shall maintain during the Term: all risk property insurance with business interruption and extra expense coverage, covering the full replacement cost of all property and improvements installed or placed in the Licensed Premises by Licensee at Licensees expense; workers compensation insurance with no less than the minimum limits required by law; employers liability insurance with employers liability limits of $1,000,000 bodily injury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Licensed Premises. The commercial general liability insurance maintained by Licensee shall name Alexandria Real Estate Equities, Inc., a Maryland corporation, ARE-SD Region No. 58, LLC, a Delaware limited liability company, TREA Campus Point 6 LLC, a Delaware limited liability company, ARE-San Diego Amenities No. 7, LLC, a Delaware limited liability company, Licensor, and their officers, directors, employees, managers, members, partners, agents, sub-agents, constituent entities and license signators (collectively, </w:t>
      </w:r>
      <w:r>
        <w:rPr>
          <w:rFonts w:ascii="Times New Roman" w:hAnsi="Times New Roman"/>
          <w:b/>
          <w:sz w:val="20"/>
        </w:rPr>
        <w:t>Licensor Insured Parties</w:t>
      </w:r>
      <w:r>
        <w:rPr>
          <w:rFonts w:ascii="Times New Roman" w:hAnsi="Times New Roman"/>
          <w:sz w:val="20"/>
        </w:rPr>
        <w:t xml:space="preserve">), as additional insureds; insure on an occurrence and not a claims-made basis; be issued by insurance companies which have a rating of not less than policyholder rating of A and financial category rating of at least Class X in Bests Insurance Guide; not contain a hostile fire exclusion; contain a contractual liability endorsement; and provide primary coverage to Licensor Insured Parties (any policy issued to Licensor Insured Parties providing duplicate or similar coverage shall be deemed excess over Licensees policies, regardless of limits). Licensee shall (i) provide Licensor with 30 days advance written notice of cancellation of such commercial general liability policy, and (ii) request Licensees insurer to endeavor to provide 30 days advance written notice to Licensor of cancellation of such commercial general liability policy (or 10 days in the event of a cancellation due to non-payment of premium). Certificates of insurance showing the limits of coverage required hereunder and showing Licensor as an additional insured, along with reasonable evidence of the payment of premiums for the applicable period, shall be delivered to Licensor by Licensee (i) concurrent with Licensees delivery to Licensor of an executed copy of this Agreement, and (ii) prior to each renewal of said insurance. Licensees policy may be a blanket policy with an aggregate per location endorsement which specifically provides that the amount of insurance shall not be prejudiced by other losses covered by the policy. Licensee shall, at least 5 days prior to the expiration of such policies, furnish Licensor with renewal certificates. </w:t>
      </w:r>
    </w:p>
    <w:p>
      <w:pPr>
        <w:pStyle w:val="TextBody"/>
        <w:bidi w:val="0"/>
        <w:spacing w:before="240" w:after="0"/>
        <w:jc w:val="left"/>
        <w:rPr>
          <w:rFonts w:ascii="Times New Roman" w:hAnsi="Times New Roman"/>
          <w:sz w:val="20"/>
        </w:rPr>
      </w:pPr>
      <w:r>
        <w:rPr>
          <w:rFonts w:ascii="Times New Roman" w:hAnsi="Times New Roman"/>
          <w:sz w:val="20"/>
        </w:rPr>
        <w:t>The property insurance obtained by Licensee and any property insurance maintained by Licensor shall include a waiver of subrogation by the insurers and all rights based upon an assignment from its insured, against Licensor or Licensee, and their respective officers, directors, employees, managers, agents, invitees and contractors (</w:t>
      </w:r>
      <w:r>
        <w:rPr>
          <w:rFonts w:ascii="Times New Roman" w:hAnsi="Times New Roman"/>
          <w:b/>
          <w:sz w:val="20"/>
        </w:rPr>
        <w:t>Related Parties</w:t>
      </w:r>
      <w:r>
        <w:rPr>
          <w:rFonts w:ascii="Times New Roman" w:hAnsi="Times New Roman"/>
          <w:sz w:val="20"/>
        </w:rPr>
        <w:t xml:space="preserve">), in connection with any loss or damage thereby insured against. Neither party nor its respective Related Parties shall be liable to the other for loss or damage caused by any risk insured against under such property insurance, and each party waives any Claims against the other party, and its respective Related Parties, for such loss or damage. The failure of a party to insure its property shall not void this waiver. Licensor and its respective Related Parties shall not be liable for, and Licensee hereby waives all Claims against such parties for, business interruption and losses occasioned thereby sustained by Licensee or any person claiming through Licensee resulting from any accident or occurrence in or upon the Licensed Premises or the Project from any cause whatsoever. If the foregoing waivers shall contravene any law with respect to exculpatory agreements, the liability of Licensor or Licensee shall be deemed not released but shall be secondary to the others insurer.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Use</w:t>
      </w:r>
      <w:r>
        <w:rPr>
          <w:rFonts w:ascii="Times New Roman" w:hAnsi="Times New Roman"/>
          <w:sz w:val="20"/>
        </w:rPr>
        <w:t xml:space="preserve">. Licensees use of the Licensed Premises is strictly limited to a research and development laboratory, related office and related uses consistent with the character of the Project. Licensee shall not make any alterations, additions, or improvements to the Licensed Premises of any kind whatsoever. Notwithstanding the foregoing, Licensee may make minor alterations with Licensors consent, which may be given or withheld in Licensors sole discretion if any such minor alteration affects the Building structure or any Building system serving the Licensed Premises and other portions of the Project (Building Systems) and shall not be otherwise unreasonably withheld, conditioned or delayed. If Licensor so elects, Licensee shall remove such alteration, addition or improvement upon the expiration or earlier termination of this Agreement and restore any damage caused by or occasioned as a result of such removal, including, when removing any of Licensees property that was plumbed, wired or otherwise connected to any of the Building Systems, capping off all such connections behind the walls of the Licensed Premises and repairing any holes. Licensor acknowledges that Licensee may desire to install a MilliQ water purification system with a tap water connection and to make electrical modifications in the Licensed Premises for its LC-MS systems. The Licensed Premises shall be used in compliance with all laws, orders, judgments, ordinances, regulations, codes, directives, permits, licenses, covenants and restrictions now or hereafter applicable to the Project (Legal Requirements). Licensor hereby reserves the right to enter the Licensed Premises upon reasonable prior written notice to Licensee (of not less than 48 hours, except in the case of an emergency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which case no notice shall be required) for any purpose Licensor deems to be necessary or appropriate in connection with the maintenance, repair, operation, sale or leasing of the Project. Such advance notice shall include the identity of any third parties that will be entering the Licensed Premises. Licensor shall use commercially reasonable efforts to minimize interference with Licensees operations in the Licensed Premises in connection with the performance of any planned repairs, alterations or improvements. Licensee shall at all times, except in the case of emergencies, have the right to escort Licensor or its employees, agents, representatives, contractors or guests while the same are in the Licensed Premises, provided such escort does not materially and adversely affect Licensors access rights hereunder. Licensor shall use reasonable efforts to comply with Licensees written protocol with respect to entering restricted portions of the Licensed Premises; provided, however, that a copy of the same has previously been provided to Licensor. </w:t>
      </w:r>
    </w:p>
    <w:p>
      <w:pPr>
        <w:pStyle w:val="TextBody"/>
        <w:bidi w:val="0"/>
        <w:spacing w:before="240" w:after="0"/>
        <w:jc w:val="left"/>
        <w:rPr>
          <w:rFonts w:ascii="Times New Roman" w:hAnsi="Times New Roman"/>
          <w:sz w:val="20"/>
        </w:rPr>
      </w:pPr>
      <w:r>
        <w:rPr>
          <w:rFonts w:ascii="Times New Roman" w:hAnsi="Times New Roman"/>
          <w:sz w:val="20"/>
        </w:rPr>
        <w:t xml:space="preserve">At the expiration or earlier termination of the Term, Licensee shall remove all of Licensees personal property from the Licensed Premises, and Licensee shall restore and repair any damage caused by or occasioned as a result of such removal.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Hazardous Materials</w:t>
      </w:r>
      <w:r>
        <w:rPr>
          <w:rFonts w:ascii="Times New Roman" w:hAnsi="Times New Roman"/>
          <w:sz w:val="20"/>
        </w:rPr>
        <w:t>. Licensee shall not cause or permit any Hazardous Materials (as hereinafter defined) to be brought upon, kept, used, stored, handled, treated, generated in or about, or released or disposed of from, the Licensed Premises or the Project in violation of applicable Environmental Requirements (as hereinafter defined) by Licensee or any of its respective officers, directors, employees, managers, agents, invitees and contractors (each, a </w:t>
      </w:r>
      <w:r>
        <w:rPr>
          <w:rFonts w:ascii="Times New Roman" w:hAnsi="Times New Roman"/>
          <w:b/>
          <w:sz w:val="20"/>
        </w:rPr>
        <w:t>Licensee</w:t>
      </w:r>
      <w:r>
        <w:rPr>
          <w:rFonts w:ascii="Times New Roman" w:hAnsi="Times New Roman"/>
          <w:sz w:val="20"/>
        </w:rPr>
        <w:t xml:space="preserve"> </w:t>
      </w:r>
      <w:r>
        <w:rPr>
          <w:rFonts w:ascii="Times New Roman" w:hAnsi="Times New Roman"/>
          <w:b/>
          <w:sz w:val="20"/>
        </w:rPr>
        <w:t>Related</w:t>
      </w:r>
      <w:r>
        <w:rPr>
          <w:rFonts w:ascii="Times New Roman" w:hAnsi="Times New Roman"/>
          <w:sz w:val="20"/>
        </w:rPr>
        <w:t xml:space="preserve"> </w:t>
      </w:r>
      <w:r>
        <w:rPr>
          <w:rFonts w:ascii="Times New Roman" w:hAnsi="Times New Roman"/>
          <w:b/>
          <w:sz w:val="20"/>
        </w:rPr>
        <w:t>Party</w:t>
      </w:r>
      <w:r>
        <w:rPr>
          <w:rFonts w:ascii="Times New Roman" w:hAnsi="Times New Roman"/>
          <w:sz w:val="20"/>
        </w:rPr>
        <w:t xml:space="preserve">). If Licensee breaches the obligation stated in the preceding sentence, or if the presence of Hazardous Materials in the Licensed Premises during the Term, any holding over, or during any other period of occupancy of the Licensed Premises by Licensee results in contamination of the Licensed Premises, the Project or any adjacent property or if contamination of the Licensed Premises, the Project or any adjacent property by Hazardous Materials brought into, kept, used, stored, handled, treated, generated in or about, or released or disposed of from, the Licensed Premises by anyone other than Licensor and Licensors employees, agents and contractors otherwise occurs during the Term, any holding over, or during any other period of occupancy of the Licensed Premises by Licensee, Licensee hereby indemnifies and shall defend and hold Licensor,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Licensed Premises or the Project, or the loss of, or restriction on, use of the Licensed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to the extent arising during or after the Term as a result of such contamination. This indemnification of Licensor by Licensee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Licensed Premises and for which Licensee is responsible pursuant to the terms hereof. Without limiting the foregoing, if the presence of any Hazardous Materials on the Licensed Premises, the Building, the Project or any adjacent property caused or permitted by Licensee or any Licensee Related Party results in any contamination of the Licensed Premises, the Building, the Project or any adjacent property, Licensee shall promptly take all actions at its sole expense and in accordance with applicable Environmental Requirements as are necessary to return the Licensed Premises, the Building, the Project or any adjacent property to the condition existing prior to the time of such contamination, provided that Licensors approval of such action shall first be obtained, which approval shall not unreasonably be withheld so long as such actions would not potentially have any material adverse long-term or short-term effect on the Licensed Premises, the Building or the Project. Notwithstanding anything to the contrary contained in this </w:t>
      </w:r>
      <w:r>
        <w:rPr>
          <w:rFonts w:ascii="Times New Roman" w:hAnsi="Times New Roman"/>
          <w:sz w:val="20"/>
          <w:u w:val="single"/>
        </w:rPr>
        <w:t>Section 5</w:t>
      </w:r>
      <w:r>
        <w:rPr>
          <w:rFonts w:ascii="Times New Roman" w:hAnsi="Times New Roman"/>
          <w:sz w:val="20"/>
        </w:rPr>
        <w:t xml:space="preserve"> or in </w:t>
      </w:r>
      <w:r>
        <w:rPr>
          <w:rFonts w:ascii="Times New Roman" w:hAnsi="Times New Roman"/>
          <w:sz w:val="20"/>
          <w:u w:val="single"/>
        </w:rPr>
        <w:t>Section 7</w:t>
      </w:r>
      <w:r>
        <w:rPr>
          <w:rFonts w:ascii="Times New Roman" w:hAnsi="Times New Roman"/>
          <w:sz w:val="20"/>
        </w:rPr>
        <w:t xml:space="preserve">, Licensee shall not be responsible for the clean-up or remediation of, and the indemnification and hold harmless obligations set forth in this paragraph shall not apply to (i) contamination in the Licensed Premises which Licensee can demonstrate existed in the Licensed Premises immediately prior to the License Commencement Date, or (ii) the presence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Hazardous Materials in the Licensed Premises which Licensee can prove to Licensors reasonable satisfaction migrated from outside of the Licensed Premises into the Licensed Premises, unless in either case, the presence of such Hazardous Materials (x) is the result of a breach by Licensee of any of its obligations under this Agreement, or (y) was caused, contributed to or exacerbated by Licensee or any Licensee Related Party.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Licensees use of the Licensed Premises, Licensee shall be allowed to utilize up to its pro rata share of the Hazardous Materials inventory within the control area (located within the Licensed Premises) identified as Control Area 6 on </w:t>
      </w:r>
      <w:r>
        <w:rPr>
          <w:rFonts w:ascii="Times New Roman" w:hAnsi="Times New Roman"/>
          <w:b/>
          <w:sz w:val="20"/>
        </w:rPr>
        <w:t xml:space="preserve">Exhibit D </w:t>
      </w:r>
      <w:r>
        <w:rPr>
          <w:rFonts w:ascii="Times New Roman" w:hAnsi="Times New Roman"/>
          <w:sz w:val="20"/>
        </w:rPr>
        <w:t xml:space="preserve">attached hereto, as designated by the applicable building code, for chemical use or storage. As used in the preceding sentence, Licensees pro rata share of any control areas or zones located within the Licensed Premises shall be determined based on the rentable square footage that Licensee licenses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 Additionally, (i) in connection with Licensees use of the Suite 100 HazMat Storage Area (as defined in </w:t>
      </w:r>
      <w:r>
        <w:rPr>
          <w:rFonts w:ascii="Times New Roman" w:hAnsi="Times New Roman"/>
          <w:sz w:val="20"/>
          <w:u w:val="single"/>
        </w:rPr>
        <w:t>Section 6(b)(i)</w:t>
      </w:r>
      <w:r>
        <w:rPr>
          <w:rFonts w:ascii="Times New Roman" w:hAnsi="Times New Roman"/>
          <w:sz w:val="20"/>
        </w:rPr>
        <w:t xml:space="preserve"> below), Licensee shall be allowed to utilize 50% of the Hazardous Materials inventory within the control area (located within the Suite 100 HazMat Storage Area) identified as Control Area 3 on </w:t>
      </w:r>
      <w:r>
        <w:rPr>
          <w:rFonts w:ascii="Times New Roman" w:hAnsi="Times New Roman"/>
          <w:b/>
          <w:sz w:val="20"/>
        </w:rPr>
        <w:t>Exhibit D</w:t>
      </w:r>
      <w:r>
        <w:rPr>
          <w:rFonts w:ascii="Times New Roman" w:hAnsi="Times New Roman"/>
          <w:sz w:val="20"/>
        </w:rPr>
        <w:t xml:space="preserve">, and (ii) in connection with Licensees use of the Suite 150 HazMat Storage Area (as defined in </w:t>
      </w:r>
      <w:r>
        <w:rPr>
          <w:rFonts w:ascii="Times New Roman" w:hAnsi="Times New Roman"/>
          <w:sz w:val="20"/>
          <w:u w:val="single"/>
        </w:rPr>
        <w:t>Section 6(a)(i)</w:t>
      </w:r>
      <w:r>
        <w:rPr>
          <w:rFonts w:ascii="Times New Roman" w:hAnsi="Times New Roman"/>
          <w:sz w:val="20"/>
        </w:rPr>
        <w:t xml:space="preserve"> below), Licensee shall be allowed to utilize 100% of the Hazardous Materials inventory within the control area (located within the Suite 150 HazMat Storage Area) identified as Control Area 4 on </w:t>
      </w:r>
      <w:r>
        <w:rPr>
          <w:rFonts w:ascii="Times New Roman" w:hAnsi="Times New Roman"/>
          <w:b/>
          <w:sz w:val="20"/>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Licensee shall have no right to use or install any underground storage tanks at the Project. </w:t>
      </w:r>
    </w:p>
    <w:p>
      <w:pPr>
        <w:pStyle w:val="TextBody"/>
        <w:bidi w:val="0"/>
        <w:spacing w:before="240" w:after="0"/>
        <w:jc w:val="left"/>
        <w:rPr>
          <w:rFonts w:ascii="Times New Roman" w:hAnsi="Times New Roman"/>
          <w:sz w:val="20"/>
        </w:rPr>
      </w:pPr>
      <w:r>
        <w:rPr>
          <w:rFonts w:ascii="Times New Roman" w:hAnsi="Times New Roman"/>
          <w:sz w:val="20"/>
        </w:rPr>
        <w:t>As used herein, the term </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Requirements</w:t>
      </w:r>
      <w:r>
        <w:rPr>
          <w:rFonts w:ascii="Times New Roman" w:hAnsi="Times New Roman"/>
          <w:sz w:val="20"/>
        </w:rPr>
        <w:t> means all applicable present and future statutes, regulations, ordinances, rules, codes, judgments, orders or other similar enactments of any governmental authority regulating or relating to health, safety, or environmental conditions on, under, or about the Licensed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Times New Roman" w:hAnsi="Times New Roman"/>
          <w:b/>
          <w:sz w:val="20"/>
        </w:rPr>
        <w:t>Hazardous</w:t>
      </w:r>
      <w:r>
        <w:rPr>
          <w:rFonts w:ascii="Times New Roman" w:hAnsi="Times New Roman"/>
          <w:sz w:val="20"/>
        </w:rPr>
        <w:t xml:space="preserve"> </w:t>
      </w:r>
      <w:r>
        <w:rPr>
          <w:rFonts w:ascii="Times New Roman" w:hAnsi="Times New Roman"/>
          <w:b/>
          <w:sz w:val="20"/>
        </w:rPr>
        <w:t>Materials</w:t>
      </w:r>
      <w:r>
        <w:rPr>
          <w:rFonts w:ascii="Times New Roman" w:hAnsi="Times New Roman"/>
          <w:sz w:val="20"/>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Licensee is and shall be deemed to be the </w:t>
      </w:r>
      <w:r>
        <w:rPr>
          <w:rFonts w:ascii="Times New Roman" w:hAnsi="Times New Roman"/>
          <w:b/>
          <w:sz w:val="20"/>
        </w:rPr>
        <w:t>operator</w:t>
      </w:r>
      <w:r>
        <w:rPr>
          <w:rFonts w:ascii="Times New Roman" w:hAnsi="Times New Roman"/>
          <w:sz w:val="20"/>
        </w:rPr>
        <w:t> of Licensees </w:t>
      </w:r>
      <w:r>
        <w:rPr>
          <w:rFonts w:ascii="Times New Roman" w:hAnsi="Times New Roman"/>
          <w:b/>
          <w:sz w:val="20"/>
        </w:rPr>
        <w:t>facility</w:t>
      </w:r>
      <w:r>
        <w:rPr>
          <w:rFonts w:ascii="Times New Roman" w:hAnsi="Times New Roman"/>
          <w:sz w:val="20"/>
        </w:rPr>
        <w:t> and the </w:t>
      </w:r>
      <w:r>
        <w:rPr>
          <w:rFonts w:ascii="Times New Roman" w:hAnsi="Times New Roman"/>
          <w:b/>
          <w:sz w:val="20"/>
        </w:rPr>
        <w:t>owner</w:t>
      </w:r>
      <w:r>
        <w:rPr>
          <w:rFonts w:ascii="Times New Roman" w:hAnsi="Times New Roman"/>
          <w:sz w:val="20"/>
        </w:rPr>
        <w:t xml:space="preserve"> of all Hazardous Materials brought on the Licensed Premises by Licensee or any Licensee Related Party, and the wastes, by-products, or residues generated, resulting, or produced therefrom.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5</w:t>
      </w:r>
      <w:r>
        <w:rPr>
          <w:rFonts w:ascii="Times New Roman" w:hAnsi="Times New Roman"/>
          <w:sz w:val="20"/>
        </w:rPr>
        <w:t xml:space="preserve"> shall survive the expiration or earlier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Storage</w:t>
      </w:r>
      <w:r>
        <w:rPr>
          <w:rFonts w:ascii="Times New Roman" w:hAnsi="Times New Roman"/>
          <w:sz w:val="20"/>
          <w:u w:val="single"/>
        </w:rPr>
        <w:t xml:space="preserve"> </w:t>
      </w:r>
      <w:r>
        <w:rPr>
          <w:rFonts w:ascii="Times New Roman" w:hAnsi="Times New Roman"/>
          <w:b/>
          <w:sz w:val="20"/>
          <w:u w:val="single"/>
        </w:rPr>
        <w:t>Areas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Suite</w:t>
      </w:r>
      <w:r>
        <w:rPr>
          <w:rFonts w:ascii="Times New Roman" w:hAnsi="Times New Roman"/>
          <w:sz w:val="20"/>
        </w:rPr>
        <w:t xml:space="preserve"> </w:t>
      </w:r>
      <w:r>
        <w:rPr>
          <w:rFonts w:ascii="Times New Roman" w:hAnsi="Times New Roman"/>
          <w:b/>
          <w:sz w:val="20"/>
        </w:rPr>
        <w:t>150</w:t>
      </w:r>
      <w:r>
        <w:rPr>
          <w:rFonts w:ascii="Times New Roman" w:hAnsi="Times New Roman"/>
          <w:sz w:val="20"/>
        </w:rPr>
        <w:t xml:space="preserve"> </w:t>
      </w:r>
      <w:r>
        <w:rPr>
          <w:rFonts w:ascii="Times New Roman" w:hAnsi="Times New Roman"/>
          <w:b/>
          <w:sz w:val="20"/>
        </w:rPr>
        <w:t>Storage</w:t>
      </w:r>
      <w:r>
        <w:rPr>
          <w:rFonts w:ascii="Times New Roman" w:hAnsi="Times New Roman"/>
          <w:sz w:val="20"/>
        </w:rPr>
        <w:t xml:space="preserve"> </w:t>
      </w:r>
      <w:r>
        <w:rPr>
          <w:rFonts w:ascii="Times New Roman" w:hAnsi="Times New Roman"/>
          <w:b/>
          <w:sz w:val="20"/>
        </w:rPr>
        <w:t>Areas.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Suite 150 HazMat Storage Area</w:t>
      </w:r>
      <w:r>
        <w:rPr>
          <w:rFonts w:ascii="Times New Roman" w:hAnsi="Times New Roman"/>
          <w:sz w:val="20"/>
        </w:rPr>
        <w:t xml:space="preserve">. Provided that Licensee has delivered a certificate of insurance reflecting the insurance coverage required to be maintained by Licensee under </w:t>
      </w:r>
      <w:r>
        <w:rPr>
          <w:rFonts w:ascii="Times New Roman" w:hAnsi="Times New Roman"/>
          <w:sz w:val="20"/>
          <w:u w:val="single"/>
        </w:rPr>
        <w:t>Section 3</w:t>
      </w:r>
      <w:r>
        <w:rPr>
          <w:rFonts w:ascii="Times New Roman" w:hAnsi="Times New Roman"/>
          <w:sz w:val="20"/>
        </w:rPr>
        <w:t xml:space="preserve"> in connection with Licensees use and occupancy of the Licensed Premises (or contemplated use and occupancy of the Licensed Premises), commencing on the first business day following the Effective Date, Licensee shall have the right to use that certain area of the Building designated on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E</w:t>
      </w:r>
      <w:r>
        <w:rPr>
          <w:rFonts w:ascii="Times New Roman" w:hAnsi="Times New Roman"/>
          <w:sz w:val="20"/>
        </w:rPr>
        <w:t xml:space="preserve"> as Hazardous Materials Storage Area (the </w:t>
      </w:r>
      <w:r>
        <w:rPr>
          <w:rFonts w:ascii="Times New Roman" w:hAnsi="Times New Roman"/>
          <w:b/>
          <w:sz w:val="20"/>
        </w:rPr>
        <w:t>Suite</w:t>
      </w:r>
      <w:r>
        <w:rPr>
          <w:rFonts w:ascii="Times New Roman" w:hAnsi="Times New Roman"/>
          <w:sz w:val="20"/>
        </w:rPr>
        <w:t xml:space="preserve"> </w:t>
      </w:r>
      <w:r>
        <w:rPr>
          <w:rFonts w:ascii="Times New Roman" w:hAnsi="Times New Roman"/>
          <w:b/>
          <w:sz w:val="20"/>
        </w:rPr>
        <w:t>150</w:t>
      </w:r>
      <w:r>
        <w:rPr>
          <w:rFonts w:ascii="Times New Roman" w:hAnsi="Times New Roman"/>
          <w:sz w:val="20"/>
        </w:rPr>
        <w:t xml:space="preserve"> </w:t>
      </w:r>
      <w:r>
        <w:rPr>
          <w:rFonts w:ascii="Times New Roman" w:hAnsi="Times New Roman"/>
          <w:b/>
          <w:sz w:val="20"/>
        </w:rPr>
        <w:t>HazMat</w:t>
      </w:r>
      <w:r>
        <w:rPr>
          <w:rFonts w:ascii="Times New Roman" w:hAnsi="Times New Roman"/>
          <w:sz w:val="20"/>
        </w:rPr>
        <w:t xml:space="preserve"> </w:t>
      </w:r>
      <w:r>
        <w:rPr>
          <w:rFonts w:ascii="Times New Roman" w:hAnsi="Times New Roman"/>
          <w:b/>
          <w:sz w:val="20"/>
        </w:rPr>
        <w:t>Storage Area</w:t>
      </w:r>
      <w:r>
        <w:rPr>
          <w:rFonts w:ascii="Times New Roman" w:hAnsi="Times New Roman"/>
          <w:sz w:val="20"/>
        </w:rPr>
        <w:t xml:space="preserve">) for the storage of Licensees Hazardous Materials and other property at the Project. Licensee shall have all of the obligations under this Agreement with respect to the Suite 150 HazMat Storage Area as though the Suite 150 HazMat Storage Area were part of the Licensed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Premises, excluding the obligation to pay the License Fee. Licensee shall maintain appropriate records, obtain and maintain appropriate insurance, implement reporting procedures, and take or cause to be taken all other actions necessary or required under applicable Legal Requirements in connection with the use of the Suite 150 HazMat Storage Area. Licensor shall have no obligation to make any repairs or other improvements to the Suite 150 HazMat Storage Area and Licensee shall maintain the same, at Licensees sole cost and expense, in substantially the same condition as received during the Term as though the same were part of the Licensed Premises. Licensee shall not make any alterations, additions, or improvements to Suite 150 HazMat Storage Area of any kind whatsoever. Licensee shall, at Licensees sole cost and expense, surrender the Suite 150 HazMat Storage Area at the expiration or earlier termination of the Term of this Agreement free of any debris and trash and free of any Hazardous Materials in accordance with the requirements of </w:t>
      </w:r>
      <w:r>
        <w:rPr>
          <w:rFonts w:ascii="Times New Roman" w:hAnsi="Times New Roman"/>
          <w:sz w:val="20"/>
          <w:u w:val="single"/>
        </w:rPr>
        <w:t>Section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Suite 150 General Storage Area</w:t>
      </w:r>
      <w:r>
        <w:rPr>
          <w:rFonts w:ascii="Times New Roman" w:hAnsi="Times New Roman"/>
          <w:sz w:val="20"/>
        </w:rPr>
        <w:t xml:space="preserve">. Provided that Licensee has delivered a certificate of insurance reflecting the insurance coverage required to be maintained by Licensee under </w:t>
      </w:r>
      <w:r>
        <w:rPr>
          <w:rFonts w:ascii="Times New Roman" w:hAnsi="Times New Roman"/>
          <w:sz w:val="20"/>
          <w:u w:val="single"/>
        </w:rPr>
        <w:t>Section 3</w:t>
      </w:r>
      <w:r>
        <w:rPr>
          <w:rFonts w:ascii="Times New Roman" w:hAnsi="Times New Roman"/>
          <w:sz w:val="20"/>
        </w:rPr>
        <w:t xml:space="preserve"> in connection with Licensees use and occupancy of the Licensed Premises (or contemplated use and occupancy of the Licensed Premises) commencing on the first business day following the Effective Date, Licensee shall have the right to use that certain storage cage in the Building designated on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E</w:t>
      </w:r>
      <w:r>
        <w:rPr>
          <w:rFonts w:ascii="Times New Roman" w:hAnsi="Times New Roman"/>
          <w:sz w:val="20"/>
        </w:rPr>
        <w:t xml:space="preserve"> as General Storage Area (</w:t>
      </w:r>
      <w:r>
        <w:rPr>
          <w:rFonts w:ascii="Times New Roman" w:hAnsi="Times New Roman"/>
          <w:b/>
          <w:sz w:val="20"/>
        </w:rPr>
        <w:t>Suite</w:t>
      </w:r>
      <w:r>
        <w:rPr>
          <w:rFonts w:ascii="Times New Roman" w:hAnsi="Times New Roman"/>
          <w:sz w:val="20"/>
        </w:rPr>
        <w:t xml:space="preserve"> </w:t>
      </w:r>
      <w:r>
        <w:rPr>
          <w:rFonts w:ascii="Times New Roman" w:hAnsi="Times New Roman"/>
          <w:b/>
          <w:sz w:val="20"/>
        </w:rPr>
        <w:t>150</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w:t>
      </w:r>
      <w:r>
        <w:rPr>
          <w:rFonts w:ascii="Times New Roman" w:hAnsi="Times New Roman"/>
          <w:b/>
          <w:sz w:val="20"/>
        </w:rPr>
        <w:t>Storage</w:t>
      </w:r>
      <w:r>
        <w:rPr>
          <w:rFonts w:ascii="Times New Roman" w:hAnsi="Times New Roman"/>
          <w:sz w:val="20"/>
        </w:rPr>
        <w:t xml:space="preserve"> </w:t>
      </w:r>
      <w:r>
        <w:rPr>
          <w:rFonts w:ascii="Times New Roman" w:hAnsi="Times New Roman"/>
          <w:b/>
          <w:sz w:val="20"/>
        </w:rPr>
        <w:t>Area</w:t>
      </w:r>
      <w:r>
        <w:rPr>
          <w:rFonts w:ascii="Times New Roman" w:hAnsi="Times New Roman"/>
          <w:sz w:val="20"/>
        </w:rPr>
        <w:t xml:space="preserve">) for the storage of Licensees property and for no other use or purpose. Licensee may not store any Hazardous Materials in the Suite 150 General Storage Area. Licensee shall have all of the obligations under this Agreement with respect to the Suite 150 General Storage Area as though the Suite 150 General Storage Area were part of the Licensed Premises, excluding the obligation to pay the License Fee. Licensor shall have no obligation to make any repairs or other improvements to the Suite 150 General Storage Area and Licensee shall maintain the same, at Licensees sole cost and expense, in substantially the same condition as received during the Term as though the same were part of the Licensed Premises. Licensee shall not make any alterations, additions, or improvements to Suite 150 General Storage Area of any kind whatsoever. Licensee shall, at Licensees sole cost and expense, surrender the Suite 150 General Storage Area at the expiration or earlier termination of the Term of this Agreement free of any debris and trash and free of any Hazardous Materials in accordance with the requirements of </w:t>
      </w:r>
      <w:r>
        <w:rPr>
          <w:rFonts w:ascii="Times New Roman" w:hAnsi="Times New Roman"/>
          <w:sz w:val="20"/>
          <w:u w:val="single"/>
        </w:rPr>
        <w:t>Section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Suite</w:t>
      </w:r>
      <w:r>
        <w:rPr>
          <w:rFonts w:ascii="Times New Roman" w:hAnsi="Times New Roman"/>
          <w:sz w:val="20"/>
        </w:rPr>
        <w:t xml:space="preserve"> </w:t>
      </w:r>
      <w:r>
        <w:rPr>
          <w:rFonts w:ascii="Times New Roman" w:hAnsi="Times New Roman"/>
          <w:b/>
          <w:sz w:val="20"/>
        </w:rPr>
        <w:t>100</w:t>
      </w:r>
      <w:r>
        <w:rPr>
          <w:rFonts w:ascii="Times New Roman" w:hAnsi="Times New Roman"/>
          <w:sz w:val="20"/>
        </w:rPr>
        <w:t xml:space="preserve"> </w:t>
      </w:r>
      <w:r>
        <w:rPr>
          <w:rFonts w:ascii="Times New Roman" w:hAnsi="Times New Roman"/>
          <w:b/>
          <w:sz w:val="20"/>
        </w:rPr>
        <w:t>Storage</w:t>
      </w:r>
      <w:r>
        <w:rPr>
          <w:rFonts w:ascii="Times New Roman" w:hAnsi="Times New Roman"/>
          <w:sz w:val="20"/>
        </w:rPr>
        <w:t xml:space="preserve"> </w:t>
      </w:r>
      <w:r>
        <w:rPr>
          <w:rFonts w:ascii="Times New Roman" w:hAnsi="Times New Roman"/>
          <w:b/>
          <w:sz w:val="20"/>
        </w:rPr>
        <w:t>Areas.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Suite 100 HazMat Storage Area</w:t>
      </w:r>
      <w:r>
        <w:rPr>
          <w:rFonts w:ascii="Times New Roman" w:hAnsi="Times New Roman"/>
          <w:sz w:val="20"/>
        </w:rPr>
        <w:t xml:space="preserve">. In connection with Licensees use and occupancy of the Licensed Premises, commencing on the License Commencement Date, Licensee shall have the right to use that certain area of the Building designated on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F</w:t>
      </w:r>
      <w:r>
        <w:rPr>
          <w:rFonts w:ascii="Times New Roman" w:hAnsi="Times New Roman"/>
          <w:sz w:val="20"/>
        </w:rPr>
        <w:t xml:space="preserve"> as Hazardous Materials Storage Area (the </w:t>
      </w:r>
      <w:r>
        <w:rPr>
          <w:rFonts w:ascii="Times New Roman" w:hAnsi="Times New Roman"/>
          <w:b/>
          <w:sz w:val="20"/>
        </w:rPr>
        <w:t>Suite 100 HazMat Storage Area</w:t>
      </w:r>
      <w:r>
        <w:rPr>
          <w:rFonts w:ascii="Times New Roman" w:hAnsi="Times New Roman"/>
          <w:sz w:val="20"/>
        </w:rPr>
        <w:t xml:space="preserve">) for the storage of Licensees Hazardous Materials and other property at the Project. Licensee shall have all of the obligations under this Agreement with respect to the Suite 100 HazMat Storage Area as though the Suite 100 HazMat Storage Area were part of the Licensed Premises, excluding the obligation to pay the License Fee. Licensee shall maintain appropriate records, obtain and maintain appropriate insurance, implement reporting procedures, and take or cause to be taken all other actions necessary or required under applicable Legal Requirements in connection with the use of the Suite 100 HazMat Storage Area. Licensor shall have no obligation to make any repairs or other improvements to the Suite 100 HazMat Storage Area and Licensee shall maintain the same, at Licensees sole cost and expense, in substantially the same condition as received during the Term as though the same were part of the Licensed Premises. Licensee shall not make any alterations, additions, or improvements to Suite 100 HazMat Storage Area of any kind whatsoever. Licensee shall, at Licensees sole cost and expense, surrender the Suite 100 HazMat Storage Area at the expiration or earlier termination of the Term of this Agreement free of any debris and trash and free of any Hazardous Materials in accordance with the requirements of </w:t>
      </w:r>
      <w:r>
        <w:rPr>
          <w:rFonts w:ascii="Times New Roman" w:hAnsi="Times New Roman"/>
          <w:sz w:val="20"/>
          <w:u w:val="single"/>
        </w:rPr>
        <w:t>Section 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Suite 100 General Storage Area</w:t>
      </w:r>
      <w:r>
        <w:rPr>
          <w:rFonts w:ascii="Times New Roman" w:hAnsi="Times New Roman"/>
          <w:sz w:val="20"/>
        </w:rPr>
        <w:t xml:space="preserve">. In connection with Licensees use and occupancy of the Licensed Premises, commencing on the License Commencement Date, Licensee shall have the right to use that certain storage cage in the Building designated on </w:t>
      </w:r>
      <w:r>
        <w:rPr>
          <w:rFonts w:ascii="Times New Roman" w:hAnsi="Times New Roman"/>
          <w:b/>
          <w:sz w:val="20"/>
        </w:rPr>
        <w:t>Exhibit</w:t>
      </w:r>
      <w:r>
        <w:rPr>
          <w:rFonts w:ascii="Times New Roman" w:hAnsi="Times New Roman"/>
          <w:sz w:val="20"/>
        </w:rPr>
        <w:t xml:space="preserve"> </w:t>
      </w:r>
      <w:r>
        <w:rPr>
          <w:rFonts w:ascii="Times New Roman" w:hAnsi="Times New Roman"/>
          <w:b/>
          <w:sz w:val="20"/>
        </w:rPr>
        <w:t>F</w:t>
      </w:r>
      <w:r>
        <w:rPr>
          <w:rFonts w:ascii="Times New Roman" w:hAnsi="Times New Roman"/>
          <w:sz w:val="20"/>
        </w:rPr>
        <w:t xml:space="preserve"> as General Storage Area (</w:t>
      </w:r>
      <w:r>
        <w:rPr>
          <w:rFonts w:ascii="Times New Roman" w:hAnsi="Times New Roman"/>
          <w:b/>
          <w:sz w:val="20"/>
        </w:rPr>
        <w:t>Suite 100 General Storage Area</w:t>
      </w:r>
      <w:r>
        <w:rPr>
          <w:rFonts w:ascii="Times New Roman" w:hAnsi="Times New Roman"/>
          <w:sz w:val="20"/>
        </w:rPr>
        <w:t xml:space="preserve">) for the storage of Licensees property and for no other use or purpose. Licensee may not store any Hazardous Materials in the Suite 100 General Storage Area. Licensee shall have all of the obligations under this Agreement with respect to the Suite 100 General Storage Area as though the Suite 100 General Storage Area were part of the Licensed Premises, excluding the obligation to pay the License Fee. Licensor shall have no obligation to make any repairs or other improvements to the Suite 100 General Storage Area and Licensee shall maintain the same, at Licensees sole cost and expense, in substantially the same condition as received during the Term as though the same were part of the Licensed Premises. Licensee shall not make any alterations, additions, or improvements to Suite 100 General Storage Area of any kind whatsoever. Licensee shall, at Licensees sole cost and expense, surrender the Suite 100 General Storage Area at the expiration or earlier termination of the Term of this Agreement free of any debris and trash and free of any Hazardous Materials in accordance with the requirements of </w:t>
      </w:r>
      <w:r>
        <w:rPr>
          <w:rFonts w:ascii="Times New Roman" w:hAnsi="Times New Roman"/>
          <w:sz w:val="20"/>
          <w:u w:val="single"/>
        </w:rPr>
        <w:t>Section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Surrender</w:t>
      </w:r>
      <w:r>
        <w:rPr>
          <w:rFonts w:ascii="Times New Roman" w:hAnsi="Times New Roman"/>
          <w:sz w:val="20"/>
        </w:rPr>
        <w:t>. Upon the expiration of the Term or earlier termination of Licensees right of possession, Licensee shall surrender the Licensed Premises to Licensor in the same condition as received, ordinary wear and tear and casualty loss and condemnation excepted, and free of Hazardous Materials brought upon, kept, used, stored, handled, treated, generated in, or released or disposed of from, the Licensed Premises by any person other than Licensor or Licensors employees, agents and contractors (collectively, </w:t>
      </w:r>
      <w:r>
        <w:rPr>
          <w:rFonts w:ascii="Times New Roman" w:hAnsi="Times New Roman"/>
          <w:b/>
          <w:sz w:val="20"/>
        </w:rPr>
        <w:t>Licensee</w:t>
      </w:r>
      <w:r>
        <w:rPr>
          <w:rFonts w:ascii="Times New Roman" w:hAnsi="Times New Roman"/>
          <w:sz w:val="20"/>
        </w:rPr>
        <w:t xml:space="preserve"> </w:t>
      </w:r>
      <w:r>
        <w:rPr>
          <w:rFonts w:ascii="Times New Roman" w:hAnsi="Times New Roman"/>
          <w:b/>
          <w:sz w:val="20"/>
        </w:rPr>
        <w:t>HazMat</w:t>
      </w:r>
      <w:r>
        <w:rPr>
          <w:rFonts w:ascii="Times New Roman" w:hAnsi="Times New Roman"/>
          <w:sz w:val="20"/>
        </w:rPr>
        <w:t xml:space="preserve"> </w:t>
      </w:r>
      <w:r>
        <w:rPr>
          <w:rFonts w:ascii="Times New Roman" w:hAnsi="Times New Roman"/>
          <w:b/>
          <w:sz w:val="20"/>
        </w:rPr>
        <w:t>Operations</w:t>
      </w:r>
      <w:r>
        <w:rPr>
          <w:rFonts w:ascii="Times New Roman" w:hAnsi="Times New Roman"/>
          <w:sz w:val="20"/>
        </w:rPr>
        <w:t>) and released of all Hazardous Materials clearances required to be obtained pursuant to applicable Environmental Requirements in connection with the Licensee HazMat Operations. No later than the date that is 30 days prior to the surrender of the Licensed Premises, Licensee shall deliver to Licensor a narrative description of the actions proposed (or required by any governmental authority) to be taken by Licensee in order to surrender the Licensed Premises at the expiration or earlier termination of the Term, free from any residual impact from the Licensee HazMat Operations and otherwise released for unrestricted use and occupancy (the </w:t>
      </w:r>
      <w:r>
        <w:rPr>
          <w:rFonts w:ascii="Times New Roman" w:hAnsi="Times New Roman"/>
          <w:b/>
          <w:sz w:val="20"/>
        </w:rPr>
        <w:t>Decommissioning</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HazMat</w:t>
      </w:r>
      <w:r>
        <w:rPr>
          <w:rFonts w:ascii="Times New Roman" w:hAnsi="Times New Roman"/>
          <w:sz w:val="20"/>
        </w:rPr>
        <w:t xml:space="preserve"> </w:t>
      </w:r>
      <w:r>
        <w:rPr>
          <w:rFonts w:ascii="Times New Roman" w:hAnsi="Times New Roman"/>
          <w:b/>
          <w:sz w:val="20"/>
        </w:rPr>
        <w:t>Closure</w:t>
      </w:r>
      <w:r>
        <w:rPr>
          <w:rFonts w:ascii="Times New Roman" w:hAnsi="Times New Roman"/>
          <w:sz w:val="20"/>
        </w:rPr>
        <w:t xml:space="preserve"> </w:t>
      </w:r>
      <w:r>
        <w:rPr>
          <w:rFonts w:ascii="Times New Roman" w:hAnsi="Times New Roman"/>
          <w:b/>
          <w:sz w:val="20"/>
        </w:rPr>
        <w:t>Plan</w:t>
      </w:r>
      <w:r>
        <w:rPr>
          <w:rFonts w:ascii="Times New Roman" w:hAnsi="Times New Roman"/>
          <w:sz w:val="20"/>
        </w:rPr>
        <w:t xml:space="preserve">). Such Decommissioning and HazMat Closure Plan shall be accompanied by a current listing of (i) all Hazardous Materials licenses and permits held by or on behalf of Licensee with respect to the Licensed Premises, and (ii) all Hazardous Materials used, stored, handled, treated, generated, released or disposed of from the Licensed Premises, and shall be subject to the review and approval of Licensors environmental consultant. In connection with the review and approval of the Decommissioning and HazMat Closure Plan, upon the request of Licensor, Licensee shall deliver to Licensor or its consultant such additional non-proprietary information concerning Licensee HazMat Operations as Licensor shall request. On or before such surrender, Licensee shall deliver to Licensor evidence that the approved Decommissioning and HazMat Closure Plan shall have been satisfactorily completed and Licensor shall have the right, subject to reimbursement at Licensees expense as set forth below, to cause Licensors environmental consultant to inspect the Licensed Premises and perform such additional procedures as may be deemed reasonably necessary to confirm that the Licensed Premises are, as of the effective date of such surrender or early termination of this Agreement, free from any residual impact from Licensee HazMat Operations. Licensee shall reimburse Licensor for the actual out-of-pocket expenses incurred by Licensor for Licensors environmental consultant to review the Decommissioning and HazMat Closure Plan and to visit the Licensed Premises and verify satisfactory completion of the same, which cost shall not exceed $5,000. Licensor shall have the unrestricted right to deliver such Decommissioning and HazMat Closure Plan and any report by Licensors environmental consultant with respect to the surrender of the Licensed Premises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Licensee shall fail to prepare or submit a Decommissioning and HazMat Closure Plan approved by Licensor, or if Licensee shall fail to complete the approved Decommissioning and HazMat Closure Plan, or if such Decommissioning and HazMat Closure Plan, whether or not approved by Licensor, shall fail to adequately address any residual effect of Licensee HazMat Operations in, on or about the Licensed Premises, Licensor shall have the right to take such actions as Licensor may deem reasonable or appropriate to assure that the Licensed Premises and the Project are surrendered free from any residual impact from Licensee HazMat Operations, the cost of which actions shall be reimbursed by Licensee without regard to any limitation set forth in the first paragraph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7</w:t>
      </w:r>
      <w:r>
        <w:rPr>
          <w:rFonts w:ascii="Times New Roman" w:hAnsi="Times New Roman"/>
          <w:sz w:val="20"/>
        </w:rPr>
        <w:t xml:space="preserve"> shall survive the expiration or earlier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w:t>
      </w:r>
      <w:r>
        <w:rPr>
          <w:rFonts w:ascii="Times New Roman" w:hAnsi="Times New Roman"/>
          <w:b/>
          <w:sz w:val="20"/>
        </w:rPr>
        <w:t>Cause</w:t>
      </w:r>
      <w:r>
        <w:rPr>
          <w:rFonts w:ascii="Times New Roman" w:hAnsi="Times New Roman"/>
          <w:sz w:val="20"/>
        </w:rPr>
        <w:t xml:space="preserve"> for termination of this Agreement shall exist if (i) Licensee fails to comply with any of the terms or provisions of this Agreement (other than the provisions requiring the payment of fees or other sums), and fails to cure such default within 30 days after the date of receipt of written notice of default from Licensor (provided that if the nature of Licensees default is such that it reasonably requires more than 30 days to cure, then Licensee shall not be deemed to be in default if Licensee commences such cure within said 30 day period and thereafter diligently prosecutes the same to completion; provided, however, that, promptly following request by Licensor from time to time, Licensee shall provide Licensor with detailed written status reports regarding the status of such cure and the actions being taken by Licensee); or (ii) with respect to any provisions requiring the payment of fees or other sums, Licensee fails to pay Licensor within 5 business days after Licensors delivery to Licensee of notice of non-payment.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License Fee</w:t>
      </w:r>
      <w:r>
        <w:rPr>
          <w:rFonts w:ascii="Times New Roman" w:hAnsi="Times New Roman"/>
          <w:sz w:val="20"/>
        </w:rPr>
        <w:t xml:space="preserve">. Pursuant to the terms of this </w:t>
      </w:r>
      <w:r>
        <w:rPr>
          <w:rFonts w:ascii="Times New Roman" w:hAnsi="Times New Roman"/>
          <w:sz w:val="20"/>
          <w:u w:val="single"/>
        </w:rPr>
        <w:t>Section 9</w:t>
      </w:r>
      <w:r>
        <w:rPr>
          <w:rFonts w:ascii="Times New Roman" w:hAnsi="Times New Roman"/>
          <w:sz w:val="20"/>
        </w:rPr>
        <w:t>, for the period commencing on the License Commencement Date through the expiration or earlier termination of the Term, Licensee shall pay a license fee (</w:t>
      </w:r>
      <w:r>
        <w:rPr>
          <w:rFonts w:ascii="Times New Roman" w:hAnsi="Times New Roman"/>
          <w:b/>
          <w:sz w:val="20"/>
        </w:rPr>
        <w:t>License</w:t>
      </w:r>
      <w:r>
        <w:rPr>
          <w:rFonts w:ascii="Times New Roman" w:hAnsi="Times New Roman"/>
          <w:sz w:val="20"/>
        </w:rPr>
        <w:t xml:space="preserve"> </w:t>
      </w:r>
      <w:r>
        <w:rPr>
          <w:rFonts w:ascii="Times New Roman" w:hAnsi="Times New Roman"/>
          <w:b/>
          <w:sz w:val="20"/>
        </w:rPr>
        <w:t>Fee</w:t>
      </w:r>
      <w:r>
        <w:rPr>
          <w:rFonts w:ascii="Times New Roman" w:hAnsi="Times New Roman"/>
          <w:sz w:val="20"/>
        </w:rPr>
        <w:t>) to Licensor in the amount of $60.00 per rentable square foot of the Licensed Premises per year. Licensee shall pay to Licensor in advance, without demand, abatement, deduction or set-off, equal monthly installments of the License Fee on or before the first day of each calendar month during the Term hereof, in lawful money of the United States of America, at the address set forth below, or to such other person or at such other place as Licensor may from time to time designate in writing. Payments of the License Fee for any fractional calendar month shall be prorated. Notwithstanding the foregoing, subject to the terms of the immediately following paragraph, Licensee shall not be required to pay the License Fee under this Agreement (the </w:t>
      </w:r>
      <w:r>
        <w:rPr>
          <w:rFonts w:ascii="Times New Roman" w:hAnsi="Times New Roman"/>
          <w:b/>
          <w:sz w:val="20"/>
        </w:rPr>
        <w:t>Abatement</w:t>
      </w:r>
      <w:r>
        <w:rPr>
          <w:rFonts w:ascii="Times New Roman" w:hAnsi="Times New Roman"/>
          <w:sz w:val="20"/>
        </w:rPr>
        <w:t>), for the period commencing on the License Commencement Date through the expiration or earlier termination of the Term (the </w:t>
      </w:r>
      <w:r>
        <w:rPr>
          <w:rFonts w:ascii="Times New Roman" w:hAnsi="Times New Roman"/>
          <w:b/>
          <w:sz w:val="20"/>
        </w:rPr>
        <w:t>Abatement Period</w:t>
      </w:r>
      <w:r>
        <w:rPr>
          <w:rFonts w:ascii="Times New Roman" w:hAnsi="Times New Roman"/>
          <w:sz w:val="20"/>
        </w:rPr>
        <w:t xml:space="preserve">), not including any period of hold over, which would be subject to </w:t>
      </w:r>
      <w:r>
        <w:rPr>
          <w:rFonts w:ascii="Times New Roman" w:hAnsi="Times New Roman"/>
          <w:sz w:val="20"/>
          <w:u w:val="single"/>
        </w:rPr>
        <w:t>Section 26</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Licensee acknowledges and agrees that if (i) Licensee defaults (beyond all applicable notice and cure periods) under this Agreement, (ii) Licensee enters into the Lease, and the Lease terminates prior to the Lease Commencement Date due to Licensees default (beyond all applicable notice and cure periods) under the Lease, (iii) Licensee enters into the New Lease, and the New Lease terminates prior to the New Lease Commencement Date due to Licensees default (beyond all applicable notice and cure periods) under the New Lease (each, a </w:t>
      </w:r>
      <w:r>
        <w:rPr>
          <w:rFonts w:ascii="Times New Roman" w:hAnsi="Times New Roman"/>
          <w:b/>
          <w:sz w:val="20"/>
        </w:rPr>
        <w:t>Payment Trigger Date</w:t>
      </w:r>
      <w:r>
        <w:rPr>
          <w:rFonts w:ascii="Times New Roman" w:hAnsi="Times New Roman"/>
          <w:sz w:val="20"/>
        </w:rPr>
        <w:t xml:space="preserve">), then commencing on the Payment Trigger Date through the expiration of the Term, Licensee shall commence paying the monthly License Fee and continue paying Operating Expenses (as provided in </w:t>
      </w:r>
      <w:r>
        <w:rPr>
          <w:rFonts w:ascii="Times New Roman" w:hAnsi="Times New Roman"/>
          <w:sz w:val="20"/>
          <w:u w:val="single"/>
        </w:rPr>
        <w:t>Section 10</w:t>
      </w:r>
      <w:r>
        <w:rPr>
          <w:rFonts w:ascii="Times New Roman" w:hAnsi="Times New Roman"/>
          <w:sz w:val="20"/>
        </w:rPr>
        <w:t xml:space="preserve"> below) for each month during the Term after the Payment Trigger Date. </w:t>
      </w:r>
    </w:p>
    <w:p>
      <w:pPr>
        <w:pStyle w:val="TextBody"/>
        <w:bidi w:val="0"/>
        <w:spacing w:before="240" w:after="0"/>
        <w:jc w:val="left"/>
        <w:rPr>
          <w:rFonts w:ascii="Times New Roman" w:hAnsi="Times New Roman"/>
          <w:sz w:val="20"/>
        </w:rPr>
      </w:pPr>
      <w:r>
        <w:rPr>
          <w:rFonts w:ascii="Times New Roman" w:hAnsi="Times New Roman"/>
          <w:sz w:val="20"/>
        </w:rPr>
        <w:t xml:space="preserve">Payments required to be made to Licensor pursuant to this Agreement shall be remitted to Licensor at the address set forth below (as the same may be changed from time to time by Licensor upon written notice from Licensor to Licensee): </w:t>
      </w:r>
    </w:p>
    <w:p>
      <w:pPr>
        <w:pStyle w:val="TextBody"/>
        <w:bidi w:val="0"/>
        <w:spacing w:before="120" w:after="0"/>
        <w:jc w:val="left"/>
        <w:rPr>
          <w:rFonts w:ascii="Times New Roman" w:hAnsi="Times New Roman"/>
          <w:sz w:val="20"/>
        </w:rPr>
      </w:pPr>
      <w:r>
        <w:rPr>
          <w:rFonts w:ascii="Times New Roman" w:hAnsi="Times New Roman"/>
          <w:sz w:val="20"/>
        </w:rPr>
        <w:t xml:space="preserve">ARE-SD Region No. 61, LLC </w:t>
      </w:r>
    </w:p>
    <w:p>
      <w:pPr>
        <w:pStyle w:val="TextBody"/>
        <w:bidi w:val="0"/>
        <w:spacing w:before="0" w:after="0"/>
        <w:jc w:val="left"/>
        <w:rPr>
          <w:rFonts w:ascii="Times New Roman" w:hAnsi="Times New Roman"/>
          <w:sz w:val="20"/>
        </w:rPr>
      </w:pPr>
      <w:r>
        <w:rPr>
          <w:rFonts w:ascii="Times New Roman" w:hAnsi="Times New Roman"/>
          <w:sz w:val="20"/>
        </w:rPr>
        <w:t xml:space="preserve">P.O. Box 102323 </w:t>
      </w:r>
    </w:p>
    <w:p>
      <w:pPr>
        <w:pStyle w:val="TextBody"/>
        <w:bidi w:val="0"/>
        <w:spacing w:before="0" w:after="0"/>
        <w:jc w:val="left"/>
        <w:rPr>
          <w:rFonts w:ascii="Times New Roman" w:hAnsi="Times New Roman"/>
          <w:sz w:val="20"/>
        </w:rPr>
      </w:pPr>
      <w:r>
        <w:rPr>
          <w:rFonts w:ascii="Times New Roman" w:hAnsi="Times New Roman"/>
          <w:sz w:val="20"/>
        </w:rPr>
        <w:t xml:space="preserve">Pasadena, CA 91189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Operating</w:t>
      </w:r>
      <w:r>
        <w:rPr>
          <w:rFonts w:ascii="Times New Roman" w:hAnsi="Times New Roman"/>
          <w:sz w:val="20"/>
          <w:u w:val="single"/>
        </w:rPr>
        <w:t xml:space="preserve"> </w:t>
      </w:r>
      <w:r>
        <w:rPr>
          <w:rFonts w:ascii="Times New Roman" w:hAnsi="Times New Roman"/>
          <w:b/>
          <w:sz w:val="20"/>
          <w:u w:val="single"/>
        </w:rPr>
        <w:t>Expenses</w:t>
      </w:r>
      <w:r>
        <w:rPr>
          <w:rFonts w:ascii="Times New Roman" w:hAnsi="Times New Roman"/>
          <w:sz w:val="20"/>
        </w:rPr>
        <w:t>. Commencing on the License Commencement Date, and continuing thereafter on the first day of each month through the Term, Licensee shall pay Licensor an amount equal to 1/12 of Licensees Share of Licensors written estimate of Operating Expenses for the Project for each calendar year during the Term. Licensees Share of Operating Expenses with respect to the Building is 12.06%, and the Buildings Share of Operating Expenses with respect to the Project is 24.89%. The term </w:t>
      </w:r>
      <w:r>
        <w:rPr>
          <w:rFonts w:ascii="Times New Roman" w:hAnsi="Times New Roman"/>
          <w:b/>
          <w:sz w:val="20"/>
        </w:rPr>
        <w:t>Operating Expenses</w:t>
      </w:r>
      <w:r>
        <w:rPr>
          <w:rFonts w:ascii="Times New Roman" w:hAnsi="Times New Roman"/>
          <w:sz w:val="20"/>
        </w:rPr>
        <w:t xml:space="preserve"> means all costs and expenses of any kind or description whatsoever incurred or accrued each calendar year by Licensor with respect to the Building (including the Buildings Share of all costs and expenses of any kind or description incurred or accrued by Licensor with respect to the Project) including, without limitation, (1) Taxes (defined below), (2) the cost of upgrades to the Building or Project or enhanced services provided at the Building and/or Project which are intended to encourage social distancing, promote and protect health and physical well-being and/or intended to limit the spread of communicable diseases and/or viruses of any kind or nature which is more virulent than the seasonal flu, (3) the cost of the common amenities now or hereafter located in, on or otherwise serving the Project,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as may exist from time to time, as determined by Licensor in Licensors sole and absolute discretion (collectively, the </w:t>
      </w:r>
      <w:r>
        <w:rPr>
          <w:rFonts w:ascii="Times New Roman" w:hAnsi="Times New Roman"/>
          <w:b/>
          <w:sz w:val="20"/>
        </w:rPr>
        <w:t>Project Amenities</w:t>
      </w:r>
      <w:r>
        <w:rPr>
          <w:rFonts w:ascii="Times New Roman" w:hAnsi="Times New Roman"/>
          <w:sz w:val="20"/>
        </w:rPr>
        <w:t xml:space="preserve">) (including, without limitation, reimbursement by Licensor to affiliates of Licensor for market rent paid by such affiliates to Licensor for Project Amenities space, commercially reasonable reduced rent, commercially reasonable subsidies or other commercially reasonable concessions which Licensor may provide in connection with the Project Amenities), (4) transportation services (including costs associated with Licensors operation of or participation in a shuttle service), and (5) the cost of repairs, improvements and replacements, provided that to the extent that such repairs, improvements and/or replacements are reasonably determined by Licensor to be Capital Items (as defined in sub-section (ii) below), such costs shall be amortized over the useful life of such Capital Items, as reasonably determined by Licensor taking into account all relevant factors including, without limitation, the 24/7 operation of the Building, with interest at 8% per annum, excluding only: </w:t>
      </w:r>
    </w:p>
    <w:p>
      <w:pPr>
        <w:pStyle w:val="TextBody"/>
        <w:bidi w:val="0"/>
        <w:spacing w:before="120" w:after="0"/>
        <w:jc w:val="left"/>
        <w:rPr>
          <w:rFonts w:ascii="Times New Roman" w:hAnsi="Times New Roman"/>
          <w:sz w:val="20"/>
        </w:rPr>
      </w:pPr>
      <w:r>
        <w:rPr>
          <w:rFonts w:ascii="Times New Roman" w:hAnsi="Times New Roman"/>
          <w:sz w:val="20"/>
        </w:rPr>
        <w:t xml:space="preserve">(a) the original construction costs of the Project and renovation prior to the License Commencement Date and costs of correcting defects in such original construction or renovation; </w:t>
      </w:r>
    </w:p>
    <w:p>
      <w:pPr>
        <w:pStyle w:val="TextBody"/>
        <w:bidi w:val="0"/>
        <w:spacing w:before="120" w:after="0"/>
        <w:jc w:val="left"/>
        <w:rPr>
          <w:rFonts w:ascii="Times New Roman" w:hAnsi="Times New Roman"/>
          <w:sz w:val="20"/>
        </w:rPr>
      </w:pPr>
      <w:r>
        <w:rPr>
          <w:rFonts w:ascii="Times New Roman" w:hAnsi="Times New Roman"/>
          <w:sz w:val="20"/>
        </w:rPr>
        <w:t xml:space="preserve">(b) capital expenditures except for repairs, improvements or replacements, to the extent reasonably determined by Licensor in accordance with sound real estate accounting principles to be capital in nature, and: (1) are required in order to comply with Legal Requirements first imposed after the Commencement Date; (2) are intended to reduce Operating Expenses and/or to maintain or improve the utility or efficiency of the Project including any Building Systems (as defined in </w:t>
      </w:r>
      <w:r>
        <w:rPr>
          <w:rFonts w:ascii="Times New Roman" w:hAnsi="Times New Roman"/>
          <w:sz w:val="20"/>
          <w:u w:val="single"/>
        </w:rPr>
        <w:t>Section 13</w:t>
      </w:r>
      <w:r>
        <w:rPr>
          <w:rFonts w:ascii="Times New Roman" w:hAnsi="Times New Roman"/>
          <w:sz w:val="20"/>
        </w:rPr>
        <w:t>), (3) maintain or improve the safety, security or sustainability of the Project, or (4) are required to replace capital items that have reached the end of their useful life or to extend the life of any capital items, including the replacements of parts or components of capital items (collectively, </w:t>
      </w:r>
      <w:r>
        <w:rPr>
          <w:rFonts w:ascii="Times New Roman" w:hAnsi="Times New Roman"/>
          <w:b/>
          <w:sz w:val="20"/>
        </w:rPr>
        <w:t>Capital Items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interest, principal payments of Mortgage (as defined in </w:t>
      </w:r>
      <w:r>
        <w:rPr>
          <w:rFonts w:ascii="Times New Roman" w:hAnsi="Times New Roman"/>
          <w:sz w:val="20"/>
          <w:u w:val="single"/>
        </w:rPr>
        <w:t>Section 27</w:t>
      </w:r>
      <w:r>
        <w:rPr>
          <w:rFonts w:ascii="Times New Roman" w:hAnsi="Times New Roman"/>
          <w:sz w:val="20"/>
        </w:rPr>
        <w:t xml:space="preserve">) debts of Licensor, financing costs and amortization of funds borrowed by Licensor, whether secured or unsecured, and all payments of base rent (but not operating expenses or taxes, except to the extent such item of operating expenses or taxes would otherwise not be permitted to be passed through pursuant to </w:t>
      </w:r>
      <w:r>
        <w:rPr>
          <w:rFonts w:ascii="Times New Roman" w:hAnsi="Times New Roman"/>
          <w:sz w:val="20"/>
          <w:u w:val="single"/>
        </w:rPr>
        <w:t>Section 5</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xml:space="preserve"> of this Agreement) under any ground lease or other underlying lease of all or any portion of the Project; </w:t>
      </w:r>
    </w:p>
    <w:p>
      <w:pPr>
        <w:pStyle w:val="TextBody"/>
        <w:bidi w:val="0"/>
        <w:spacing w:before="120" w:after="0"/>
        <w:jc w:val="left"/>
        <w:rPr>
          <w:rFonts w:ascii="Times New Roman" w:hAnsi="Times New Roman"/>
          <w:sz w:val="20"/>
        </w:rPr>
      </w:pPr>
      <w:r>
        <w:rPr>
          <w:rFonts w:ascii="Times New Roman" w:hAnsi="Times New Roman"/>
          <w:sz w:val="20"/>
        </w:rPr>
        <w:t xml:space="preserve">(d) depreciation of the Project (except for Capital Items, the cost of which are includable in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(e) advertising, legal and space planning expenses and leasing commissions and other costs and expenses incurred in procuring and leasing space to tenants for the Project, including any leasing office maintained in the Project, free rent and construction allowances for tenants; </w:t>
      </w:r>
    </w:p>
    <w:p>
      <w:pPr>
        <w:pStyle w:val="TextBody"/>
        <w:bidi w:val="0"/>
        <w:spacing w:before="120" w:after="0"/>
        <w:jc w:val="left"/>
        <w:rPr>
          <w:rFonts w:ascii="Times New Roman" w:hAnsi="Times New Roman"/>
          <w:sz w:val="20"/>
        </w:rPr>
      </w:pPr>
      <w:r>
        <w:rPr>
          <w:rFonts w:ascii="Times New Roman" w:hAnsi="Times New Roman"/>
          <w:sz w:val="20"/>
        </w:rPr>
        <w:t xml:space="preserve">(f) legal and other expenses incurred in the negotiation or enforcement of leases; </w:t>
      </w:r>
    </w:p>
    <w:p>
      <w:pPr>
        <w:pStyle w:val="TextBody"/>
        <w:bidi w:val="0"/>
        <w:spacing w:before="120" w:after="0"/>
        <w:jc w:val="left"/>
        <w:rPr>
          <w:rFonts w:ascii="Times New Roman" w:hAnsi="Times New Roman"/>
          <w:sz w:val="20"/>
        </w:rPr>
      </w:pPr>
      <w:r>
        <w:rPr>
          <w:rFonts w:ascii="Times New Roman" w:hAnsi="Times New Roman"/>
          <w:sz w:val="20"/>
        </w:rPr>
        <w:t xml:space="preserve">(g) completing, fixturing, improving, renovating, painting, redecorating or other work, which Licensor pays for or performs for other tenants within their premises, and costs of correcting defects in such work; </w:t>
      </w:r>
    </w:p>
    <w:p>
      <w:pPr>
        <w:pStyle w:val="TextBody"/>
        <w:bidi w:val="0"/>
        <w:spacing w:before="120" w:after="0"/>
        <w:jc w:val="left"/>
        <w:rPr>
          <w:rFonts w:ascii="Times New Roman" w:hAnsi="Times New Roman"/>
          <w:sz w:val="20"/>
        </w:rPr>
      </w:pPr>
      <w:r>
        <w:rPr>
          <w:rFonts w:ascii="Times New Roman" w:hAnsi="Times New Roman"/>
          <w:sz w:val="20"/>
        </w:rPr>
        <w:t xml:space="preserve">(h) costs to be reimbursed by other tenants of the Project or Taxes to be paid directly by Licensee or other tenants of the Project, whether or not actually paid; </w:t>
      </w:r>
    </w:p>
    <w:p>
      <w:pPr>
        <w:pStyle w:val="TextBody"/>
        <w:bidi w:val="0"/>
        <w:spacing w:before="120" w:after="0"/>
        <w:jc w:val="left"/>
        <w:rPr>
          <w:rFonts w:ascii="Times New Roman" w:hAnsi="Times New Roman"/>
          <w:sz w:val="20"/>
        </w:rPr>
      </w:pPr>
      <w:r>
        <w:rPr>
          <w:rFonts w:ascii="Times New Roman" w:hAnsi="Times New Roman"/>
          <w:sz w:val="20"/>
        </w:rPr>
        <w:t xml:space="preserve">(i) salaries, wages, benefits and other compensation paid to (i) personnel of Licensor or its agents or contractors above the position of the person, regardless of title, who has day-to-day management responsibility for the Project or (ii) officers and employees of Licensor or its affiliates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costs incurred for off-site offices or facilities maintained in connection with the management, operation, engineering, sustainability, Utility and/or security services provided to the Project and other properties owned by Licensor or affiliates of Licensor, except to the extent of the Projects share of such costs as proportionately allocated among the Project and such other properties owned by Licensor or affiliates of Licensor served by such off-site offices or facilities; </w:t>
      </w:r>
    </w:p>
    <w:p>
      <w:pPr>
        <w:pStyle w:val="TextBody"/>
        <w:bidi w:val="0"/>
        <w:spacing w:before="120" w:after="0"/>
        <w:jc w:val="left"/>
        <w:rPr>
          <w:rFonts w:ascii="Times New Roman" w:hAnsi="Times New Roman"/>
          <w:sz w:val="20"/>
        </w:rPr>
      </w:pPr>
      <w:r>
        <w:rPr>
          <w:rFonts w:ascii="Times New Roman" w:hAnsi="Times New Roman"/>
          <w:sz w:val="20"/>
        </w:rPr>
        <w:t xml:space="preserve">(k) general organizational, administrative and overhead costs relating to maintaining Licensors existence, either as a corporation, partnership, or other entity, including general corporate, legal and accounting expenses; </w:t>
      </w:r>
    </w:p>
    <w:p>
      <w:pPr>
        <w:pStyle w:val="TextBody"/>
        <w:bidi w:val="0"/>
        <w:spacing w:before="120" w:after="0"/>
        <w:jc w:val="left"/>
        <w:rPr>
          <w:rFonts w:ascii="Times New Roman" w:hAnsi="Times New Roman"/>
          <w:sz w:val="20"/>
        </w:rPr>
      </w:pPr>
      <w:r>
        <w:rPr>
          <w:rFonts w:ascii="Times New Roman" w:hAnsi="Times New Roman"/>
          <w:sz w:val="20"/>
        </w:rPr>
        <w:t xml:space="preserve">(l) 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 </w:t>
      </w:r>
    </w:p>
    <w:p>
      <w:pPr>
        <w:pStyle w:val="TextBody"/>
        <w:bidi w:val="0"/>
        <w:spacing w:before="120" w:after="0"/>
        <w:jc w:val="left"/>
        <w:rPr>
          <w:rFonts w:ascii="Times New Roman" w:hAnsi="Times New Roman"/>
          <w:sz w:val="20"/>
        </w:rPr>
      </w:pPr>
      <w:r>
        <w:rPr>
          <w:rFonts w:ascii="Times New Roman" w:hAnsi="Times New Roman"/>
          <w:sz w:val="20"/>
        </w:rPr>
        <w:t xml:space="preserve">(m) costs incurred by Licensor due to the violation by Licensor, its employees, agents or contractors or any tenant of the terms and conditions of any lease of space in the Project or any Legal Requirement; </w:t>
      </w:r>
    </w:p>
    <w:p>
      <w:pPr>
        <w:pStyle w:val="TextBody"/>
        <w:bidi w:val="0"/>
        <w:spacing w:before="120" w:after="0"/>
        <w:jc w:val="left"/>
        <w:rPr>
          <w:rFonts w:ascii="Times New Roman" w:hAnsi="Times New Roman"/>
          <w:sz w:val="20"/>
        </w:rPr>
      </w:pPr>
      <w:r>
        <w:rPr>
          <w:rFonts w:ascii="Times New Roman" w:hAnsi="Times New Roman"/>
          <w:sz w:val="20"/>
        </w:rPr>
        <w:t xml:space="preserve">(n) penalties, fines or interest incurred as a result of Licensors inability or failure to make payment of Taxes and/or to file any tax or informational returns when due, or from Licensors failure to make any payment of Taxes required to be made by Licensor hereunder before delinquency; </w:t>
      </w:r>
    </w:p>
    <w:p>
      <w:pPr>
        <w:pStyle w:val="TextBody"/>
        <w:bidi w:val="0"/>
        <w:spacing w:before="120" w:after="0"/>
        <w:jc w:val="left"/>
        <w:rPr>
          <w:rFonts w:ascii="Times New Roman" w:hAnsi="Times New Roman"/>
          <w:sz w:val="20"/>
        </w:rPr>
      </w:pPr>
      <w:r>
        <w:rPr>
          <w:rFonts w:ascii="Times New Roman" w:hAnsi="Times New Roman"/>
          <w:sz w:val="20"/>
        </w:rPr>
        <w:t xml:space="preserve">(o) overhead and profit increment paid to Licensor or to subsidiaries or affiliates of Licensor for goods and/or services in or to the Project to the extent the same exceeds the costs of such goods and/or services rendered by unaffiliated third parties on a competitive basis; </w:t>
      </w:r>
    </w:p>
    <w:p>
      <w:pPr>
        <w:pStyle w:val="TextBody"/>
        <w:bidi w:val="0"/>
        <w:spacing w:before="120" w:after="0"/>
        <w:jc w:val="left"/>
        <w:rPr>
          <w:rFonts w:ascii="Times New Roman" w:hAnsi="Times New Roman"/>
          <w:sz w:val="20"/>
        </w:rPr>
      </w:pPr>
      <w:r>
        <w:rPr>
          <w:rFonts w:ascii="Times New Roman" w:hAnsi="Times New Roman"/>
          <w:sz w:val="20"/>
        </w:rPr>
        <w:t xml:space="preserve">(p) costs of Licensors charitable or political contributions, or of fine art maintained at the Project; </w:t>
      </w:r>
    </w:p>
    <w:p>
      <w:pPr>
        <w:pStyle w:val="TextBody"/>
        <w:bidi w:val="0"/>
        <w:spacing w:before="120" w:after="0"/>
        <w:jc w:val="left"/>
        <w:rPr>
          <w:rFonts w:ascii="Times New Roman" w:hAnsi="Times New Roman"/>
          <w:sz w:val="20"/>
        </w:rPr>
      </w:pPr>
      <w:r>
        <w:rPr>
          <w:rFonts w:ascii="Times New Roman" w:hAnsi="Times New Roman"/>
          <w:sz w:val="20"/>
        </w:rPr>
        <w:t xml:space="preserve">(q) costs in connection with services or items which are not available to all tenants of the Project and which are not available to Licensee without specific charges therefor, but which are provided to another tenant or occupant of the Project, whether or not such other tenant or occupant is specifically charged therefor by Licensor; </w:t>
      </w:r>
    </w:p>
    <w:p>
      <w:pPr>
        <w:pStyle w:val="TextBody"/>
        <w:bidi w:val="0"/>
        <w:spacing w:before="120" w:after="0"/>
        <w:jc w:val="left"/>
        <w:rPr>
          <w:rFonts w:ascii="Times New Roman" w:hAnsi="Times New Roman"/>
          <w:sz w:val="20"/>
        </w:rPr>
      </w:pPr>
      <w:r>
        <w:rPr>
          <w:rFonts w:ascii="Times New Roman" w:hAnsi="Times New Roman"/>
          <w:sz w:val="20"/>
        </w:rPr>
        <w:t xml:space="preserve">(r) costs incurred in the sale or refinancing of the Project; </w:t>
      </w:r>
    </w:p>
    <w:p>
      <w:pPr>
        <w:pStyle w:val="TextBody"/>
        <w:bidi w:val="0"/>
        <w:spacing w:before="120" w:after="0"/>
        <w:jc w:val="left"/>
        <w:rPr>
          <w:rFonts w:ascii="Times New Roman" w:hAnsi="Times New Roman"/>
          <w:sz w:val="20"/>
        </w:rPr>
      </w:pPr>
      <w:r>
        <w:rPr>
          <w:rFonts w:ascii="Times New Roman" w:hAnsi="Times New Roman"/>
          <w:sz w:val="20"/>
        </w:rPr>
        <w:t xml:space="preserve">(s) net income taxes of Licensor or the owner of any interest in the Project or franchise, capital stock, gift, estate or inheritance taxes or any federal, state or local documentary taxes imposed against the Project or any portion thereof or interest therein (except to the extent such taxes are in substitution for any Taxes payable hereunder); and </w:t>
      </w:r>
    </w:p>
    <w:p>
      <w:pPr>
        <w:pStyle w:val="TextBody"/>
        <w:bidi w:val="0"/>
        <w:spacing w:before="120" w:after="0"/>
        <w:jc w:val="left"/>
        <w:rPr>
          <w:rFonts w:ascii="Times New Roman" w:hAnsi="Times New Roman"/>
          <w:sz w:val="20"/>
        </w:rPr>
      </w:pPr>
      <w:r>
        <w:rPr>
          <w:rFonts w:ascii="Times New Roman" w:hAnsi="Times New Roman"/>
          <w:sz w:val="20"/>
        </w:rPr>
        <w:t xml:space="preserve">(t) any expenses otherwise includable within Operating Expenses to the extent actually reimbursed by persons other than tenants of the Project under leases for space in the Project. </w:t>
      </w:r>
    </w:p>
    <w:p>
      <w:pPr>
        <w:pStyle w:val="TextBody"/>
        <w:bidi w:val="0"/>
        <w:spacing w:before="240" w:after="0"/>
        <w:jc w:val="left"/>
        <w:rPr>
          <w:rFonts w:ascii="Times New Roman" w:hAnsi="Times New Roman"/>
          <w:sz w:val="20"/>
        </w:rPr>
      </w:pPr>
      <w:r>
        <w:rPr>
          <w:rFonts w:ascii="Times New Roman" w:hAnsi="Times New Roman"/>
          <w:sz w:val="20"/>
        </w:rPr>
        <w:t xml:space="preserve">As part of Operating Expenses, Licensee shall be required to pay the costs of Licensors third party property manager, the cost of which shall not exceed 3% of the License Fee, or, if there is no third party property manager, administration rent in the amount of 3% of the License Fee. Notwithstanding anything to the contrary contained herein, during the Abatement Period, Licensee shall be required to pay administration rent each month equal to the amount of the administration rent that Licensee would have been required to pay in the absence of there being an Abatement Period. </w:t>
      </w:r>
    </w:p>
    <w:p>
      <w:pPr>
        <w:pStyle w:val="TextBody"/>
        <w:bidi w:val="0"/>
        <w:spacing w:before="240" w:after="0"/>
        <w:jc w:val="left"/>
        <w:rPr>
          <w:rFonts w:ascii="Times New Roman" w:hAnsi="Times New Roman"/>
          <w:sz w:val="20"/>
        </w:rPr>
      </w:pPr>
      <w:r>
        <w:rPr>
          <w:rFonts w:ascii="Times New Roman" w:hAnsi="Times New Roman"/>
          <w:sz w:val="20"/>
        </w:rPr>
        <w:t>Promptly after the expiration or earlier termination of this Agreement, Licensor shall furnish to Licensee a statement (a </w:t>
      </w:r>
      <w:r>
        <w:rPr>
          <w:rFonts w:ascii="Times New Roman" w:hAnsi="Times New Roman"/>
          <w:b/>
          <w:sz w:val="20"/>
        </w:rPr>
        <w:t>Reconciliation Statement</w:t>
      </w:r>
      <w:r>
        <w:rPr>
          <w:rFonts w:ascii="Times New Roman" w:hAnsi="Times New Roman"/>
          <w:sz w:val="20"/>
        </w:rPr>
        <w:t xml:space="preserve">) showing in reasonable detail: (a) the total and Licensees share of actual Operating Expenses for the Term of the license, and (b) the total of Licensees payments in respect of Operating Expenses for the Term of this Agreement. If Licensees share of 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Operating Expenses exceeds Licensees payments of Operating Expenses, the excess shall be due and payable by Licensee within 30 days after delivery of such Reconciliation Statement to Licensee. If Licensees payments of Operating Expenses exceed Licensees share of actual Operating Expenses Licensor shall pay the excess to Licensee within 30 days after delivery of such Reconciliation Statement to Licensee, except that after the expiration, or earlier termination of the Term, Licensor shall pay the excess to Licensee after deducting all other amounts due Licensor. </w:t>
      </w:r>
    </w:p>
    <w:p>
      <w:pPr>
        <w:pStyle w:val="TextBody"/>
        <w:bidi w:val="0"/>
        <w:spacing w:before="240" w:after="0"/>
        <w:jc w:val="left"/>
        <w:rPr>
          <w:rFonts w:ascii="Times New Roman" w:hAnsi="Times New Roman"/>
          <w:sz w:val="20"/>
        </w:rPr>
      </w:pPr>
      <w:r>
        <w:rPr>
          <w:rFonts w:ascii="Times New Roman" w:hAnsi="Times New Roman"/>
          <w:sz w:val="20"/>
        </w:rPr>
        <w:t>As used herein, the term </w:t>
      </w:r>
      <w:r>
        <w:rPr>
          <w:rFonts w:ascii="Times New Roman" w:hAnsi="Times New Roman"/>
          <w:b/>
          <w:sz w:val="20"/>
        </w:rPr>
        <w:t>Taxes</w:t>
      </w:r>
      <w:r>
        <w:rPr>
          <w:rFonts w:ascii="Times New Roman" w:hAnsi="Times New Roman"/>
          <w:sz w:val="20"/>
        </w:rPr>
        <w:t> shall include all taxes, levies, fees, assessments and governmental charges of any kind, existing as of the License Commencement Date or thereafter enacted, imposed by any federal, state, regional, municipal, local or other governmental authority or agency, including, without limitation, quasi-public agencies (collectively, </w:t>
      </w:r>
      <w:r>
        <w:rPr>
          <w:rFonts w:ascii="Times New Roman" w:hAnsi="Times New Roman"/>
          <w:b/>
          <w:sz w:val="20"/>
        </w:rPr>
        <w:t>Governmental Authority</w:t>
      </w:r>
      <w:r>
        <w:rPr>
          <w:rFonts w:ascii="Times New Roman" w:hAnsi="Times New Roman"/>
          <w:sz w:val="20"/>
        </w:rPr>
        <w:t xml:space="preserve">) during the Term, including, without limitation, all Taxes: (i) imposed on or measured by or based, in whole or in part, on rent payable to (or gross receipts received by) Licensor under this Agreement and/or from the rental by Licensor of the Project or any portion thereof, or (ii) based on the square footage, assessed value or other measure or evaluation of any kind of the Licensed Premises or the Project, or (iii) assessed or imposed by or on the operation or maintenance of any portion of the Licensed Premises or the Project, including parking, or (iv) assessed or imposed by, or at the direction of, or resulting from Legal Requirements, or interpretations thereof, promulgated by any Governmental Authority, or (v) imposed as a license or other fee, charge, tax, or assessment on Licensors business or occupation of leasing space in the Project. Taxes shall not include any net income taxes imposed on Licensor (except to the extent such net income taxes are in substitution for any Taxes payable hereunder), nor franchise, conveyance or excise taxes.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10</w:t>
      </w:r>
      <w:r>
        <w:rPr>
          <w:rFonts w:ascii="Times New Roman" w:hAnsi="Times New Roman"/>
          <w:sz w:val="20"/>
        </w:rPr>
        <w:t xml:space="preserve"> shall survive the expiration or earlier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Licensee</w:t>
      </w:r>
      <w:r>
        <w:rPr>
          <w:rFonts w:ascii="Times New Roman" w:hAnsi="Times New Roman"/>
          <w:sz w:val="20"/>
          <w:u w:val="single"/>
        </w:rPr>
        <w:t xml:space="preserve"> </w:t>
      </w:r>
      <w:r>
        <w:rPr>
          <w:rFonts w:ascii="Times New Roman" w:hAnsi="Times New Roman"/>
          <w:b/>
          <w:sz w:val="20"/>
          <w:u w:val="single"/>
        </w:rPr>
        <w:t>Maintenance</w:t>
      </w:r>
      <w:r>
        <w:rPr>
          <w:rFonts w:ascii="Times New Roman" w:hAnsi="Times New Roman"/>
          <w:sz w:val="20"/>
          <w:u w:val="single"/>
        </w:rPr>
        <w:t xml:space="preserve"> </w:t>
      </w:r>
      <w:r>
        <w:rPr>
          <w:rFonts w:ascii="Times New Roman" w:hAnsi="Times New Roman"/>
          <w:b/>
          <w:sz w:val="20"/>
          <w:u w:val="single"/>
        </w:rPr>
        <w:t>Obligations.</w:t>
      </w:r>
      <w:r>
        <w:rPr>
          <w:rFonts w:ascii="Times New Roman" w:hAnsi="Times New Roman"/>
          <w:sz w:val="20"/>
        </w:rPr>
        <w:t xml:space="preserve"> Notwithstanding anything to the contrary contained in this Agreement, as of the License Commencement Date, the maintenance and repair obligations for the Licensed Premises shall be allocated between Licensor and Licensee as set forth on </w:t>
      </w:r>
      <w:r>
        <w:rPr>
          <w:rFonts w:ascii="Times New Roman" w:hAnsi="Times New Roman"/>
          <w:b/>
          <w:sz w:val="20"/>
        </w:rPr>
        <w:t xml:space="preserve">Exhibit G </w:t>
      </w:r>
      <w:r>
        <w:rPr>
          <w:rFonts w:ascii="Times New Roman" w:hAnsi="Times New Roman"/>
          <w:sz w:val="20"/>
        </w:rPr>
        <w:t xml:space="preserve">attached hereto. The maintenance obligations allocated to Licensee pursuant to </w:t>
      </w:r>
      <w:r>
        <w:rPr>
          <w:rFonts w:ascii="Times New Roman" w:hAnsi="Times New Roman"/>
          <w:b/>
          <w:sz w:val="20"/>
        </w:rPr>
        <w:t xml:space="preserve">Exhibit G </w:t>
      </w:r>
      <w:r>
        <w:rPr>
          <w:rFonts w:ascii="Times New Roman" w:hAnsi="Times New Roman"/>
          <w:sz w:val="20"/>
        </w:rPr>
        <w:t>(the </w:t>
      </w:r>
      <w:r>
        <w:rPr>
          <w:rFonts w:ascii="Times New Roman" w:hAnsi="Times New Roman"/>
          <w:b/>
          <w:sz w:val="20"/>
        </w:rPr>
        <w:t>Licensee Maintenance Obligations</w:t>
      </w:r>
      <w:r>
        <w:rPr>
          <w:rFonts w:ascii="Times New Roman" w:hAnsi="Times New Roman"/>
          <w:sz w:val="20"/>
        </w:rPr>
        <w:t xml:space="preserve">) shall be performed by Licensee at Licensees sole cost and expense. The Licensee Maintenance Obligations shall include the procurement and maintenance of contracts, in form and substance reasonably satisfactory to Licensor, with copies to Licensor upon Licensors written request, for and with contractors reasonably acceptable to Licensor specializing and experienced in the respective Licensee Maintenance Obligations. Notwithstanding anything to the contrary contained herein, the scope of work of any such contracts entered into by Licensee pursuant to this paragraph shall, at a minimum, comply with manufacturers recommended maintenance procedures for the optimal performance of the applicable equipment. Licensor shall, notwithstanding anything to the contrary contained in this Agreement, have no obligation to perform any Licensee Maintenance Obligations. The Licensee Maintenance Obligations shall not include the right or obligation on the part of Licensee to make any structural and/or capital repairs or improvements to the Project. For avoidance of doubt, during any period that Licensee is responsible for the Licensee Maintenance Obligations, Licensor shall, as part of Operating Expenses (subject to </w:t>
      </w:r>
      <w:r>
        <w:rPr>
          <w:rFonts w:ascii="Times New Roman" w:hAnsi="Times New Roman"/>
          <w:sz w:val="20"/>
          <w:u w:val="single"/>
        </w:rPr>
        <w:t>Section 10</w:t>
      </w:r>
      <w:r>
        <w:rPr>
          <w:rFonts w:ascii="Times New Roman" w:hAnsi="Times New Roman"/>
          <w:sz w:val="20"/>
        </w:rPr>
        <w:t xml:space="preserve">), be responsible for capital repairs and replacements required to be made to the Project. If Licensee fails to maintain any portion of the Licensed Premises for which Licensee is responsible as part of the Licensee Maintenance Obligations in a manner reasonably acceptable to Licensor within the requirements of this Agreement, Licensor shall have the right, but not the obligation, to provide Licensee with written notice thereof and to assume the Licensee Maintenance Obligations if Licensee does not cure Licensees failure within 10 business days after receipt of such notice in which case Licensee shall be required, within 10 business days after demand from Licensor, to pay or reimburse Licensor, as the case may be, for all costs out-of-pocket incurred or to be incurred by Licensor in connection with performing any Licensee Maintenance Obligations.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Utilities</w:t>
      </w:r>
      <w:r>
        <w:rPr>
          <w:rFonts w:ascii="Times New Roman" w:hAnsi="Times New Roman"/>
          <w:sz w:val="20"/>
        </w:rPr>
        <w:t xml:space="preserve">. Licensor shall provide, subject to the terms of this </w:t>
      </w:r>
      <w:r>
        <w:rPr>
          <w:rFonts w:ascii="Times New Roman" w:hAnsi="Times New Roman"/>
          <w:sz w:val="20"/>
          <w:u w:val="single"/>
        </w:rPr>
        <w:t>Section 12</w:t>
      </w:r>
      <w:r>
        <w:rPr>
          <w:rFonts w:ascii="Times New Roman" w:hAnsi="Times New Roman"/>
          <w:sz w:val="20"/>
        </w:rPr>
        <w:t>, water, electricity (including lights and plugs), HVAC, light, power, sewer, and other utilities (including gas and fire sprinklers to the extent the Building is plumbed for such services), and with respect to the common areas of the Project only, refuse and trash collection and janitorial services (collectively, </w:t>
      </w:r>
      <w:r>
        <w:rPr>
          <w:rFonts w:ascii="Times New Roman" w:hAnsi="Times New Roman"/>
          <w:b/>
          <w:sz w:val="20"/>
        </w:rPr>
        <w:t>Utilities</w:t>
      </w:r>
      <w:r>
        <w:rPr>
          <w:rFonts w:ascii="Times New Roman" w:hAnsi="Times New Roman"/>
          <w:sz w:val="20"/>
        </w:rPr>
        <w:t xml:space="preserve">). No interruption or failure of Utilities from any cause whatsoever shall result in eviction or constructive eviction of Licensee or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this Agreement. Licensee shall be responsible for paying its equitable share of any jointly-metered Utilities serving the Licensed Premises, as reasonably determined by Licensor. Licensee shall also be responsible for obtaining and paying for its own janitorial services for the Licensed Premises and for paying directly to the applicable Utility provider separately metered Utilities provided to Licensee or the Licensed Premises.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set forth herein, if (i) a stoppage of a Utility Service (as defined below) to the Licensed Premises shall occur and such stoppage is due solely to the gross negligence or willful misconduct of Licensor and not due in any part to any act or omission on the part of Licensee or any Licensee Related Party or any matter beyond Licensors reasonable control (any such stoppage of a Utility Service being hereinafter referred to as a </w:t>
      </w:r>
      <w:r>
        <w:rPr>
          <w:rFonts w:ascii="Times New Roman" w:hAnsi="Times New Roman"/>
          <w:b/>
          <w:sz w:val="20"/>
        </w:rPr>
        <w:t>Service Interruption</w:t>
      </w:r>
      <w:r>
        <w:rPr>
          <w:rFonts w:ascii="Times New Roman" w:hAnsi="Times New Roman"/>
          <w:sz w:val="20"/>
        </w:rPr>
        <w:t xml:space="preserve">), and (ii) such Service Interruption continues for more than 5 consecutive business days after Licensor shall have received written notice thereof from Licensee, and (iii) as a result of such Service Interruption, the conduct of Licensees normal operations in the Licensed Premises are materially and adversely affected, then, only if Licensee is currently paying the License Fee (i.e., the License Fee is not being abated pursuant to </w:t>
      </w:r>
      <w:r>
        <w:rPr>
          <w:rFonts w:ascii="Times New Roman" w:hAnsi="Times New Roman"/>
          <w:sz w:val="20"/>
          <w:u w:val="single"/>
        </w:rPr>
        <w:t>Section 9</w:t>
      </w:r>
      <w:r>
        <w:rPr>
          <w:rFonts w:ascii="Times New Roman" w:hAnsi="Times New Roman"/>
          <w:sz w:val="20"/>
        </w:rPr>
        <w:t xml:space="preserve"> above), there shall be an abatement of one days License Fee for each day during which such Service Interruption continues after such 5 business day period; provided, however, that if any part of the Licensed Premises is reasonably useable for Licensees normal business operations or if Licensee conducts all or any part of its operations in any portion of the Licensed Premises notwithstanding such Service Interruption, then the amount of each daily abatement of the License Fee shall only be proportionate to the nature and extent of the interruption of Licensees normal operations or ability to use the Licensed Premises. The rights granted to Licensee under this paragraph shall be Licensees sole and exclusive remedy resulting from a failure of Licensor to provide services, and Licensor shall not otherwise be liable for any loss or damage suffered or sustained by Licensee resulting from any failure or cessation of services. For purposes hereof, the term </w:t>
      </w:r>
      <w:r>
        <w:rPr>
          <w:rFonts w:ascii="Times New Roman" w:hAnsi="Times New Roman"/>
          <w:b/>
          <w:sz w:val="20"/>
        </w:rPr>
        <w:t>Utility Service</w:t>
      </w:r>
      <w:r>
        <w:rPr>
          <w:rFonts w:ascii="Times New Roman" w:hAnsi="Times New Roman"/>
          <w:sz w:val="20"/>
        </w:rPr>
        <w:t xml:space="preserve"> shall mean the following services: HVAC service, water, sewer and electricity, but in each case only to the extent that Licensor has an obligation to provide same to Licensee under this Agreement. The provisions of this paragraph shall only apply as long as the original Licensee is occupying the Licensed Premises under this Agreement and shall not apply to any assignee or sublessee. For avoidance of doubt, the abatement set forth in this </w:t>
      </w:r>
      <w:r>
        <w:rPr>
          <w:rFonts w:ascii="Times New Roman" w:hAnsi="Times New Roman"/>
          <w:sz w:val="20"/>
          <w:u w:val="single"/>
        </w:rPr>
        <w:t>Section 12</w:t>
      </w:r>
      <w:r>
        <w:rPr>
          <w:rFonts w:ascii="Times New Roman" w:hAnsi="Times New Roman"/>
          <w:sz w:val="20"/>
        </w:rPr>
        <w:t xml:space="preserve"> shall not apply to any Service Interruption that occurs during the Abatement Period (i.e., when the License Fee is already being abated).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Parking</w:t>
      </w:r>
      <w:r>
        <w:rPr>
          <w:rFonts w:ascii="Times New Roman" w:hAnsi="Times New Roman"/>
          <w:sz w:val="20"/>
        </w:rPr>
        <w:t xml:space="preserve">. Subject to all matters of record and a taking, Licensee shall have the right, at no additional cost during the Term, in common with other tenants and occupants of the Project, to use Licensees share of pro rata share of parking spaces with respect to the Licensed Premises, which parking spaces shall be located in the surface and below grade parking areas serving the Building and the Project designated for non-reserved parking, subject in each case to Licensors rules and regulations. Licensees pro rata share of parking is equal to 2.5 parking spaces per 1,000 rentable square feet of the Licensed Premises.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Signs; Exterior Appearance</w:t>
      </w:r>
      <w:r>
        <w:rPr>
          <w:rFonts w:ascii="Times New Roman" w:hAnsi="Times New Roman"/>
          <w:sz w:val="20"/>
        </w:rPr>
        <w:t xml:space="preserve">. Licensee shall not, without the prior written consent of Licensor, which may be granted or withheld in Licensors sole discretion: (i) attach any awnings, exterior lights, decorations, balloons, flags, pennants, banners, painting or other projection to any outside wall of the Building, (ii) use any curtains, blinds, shades or screens other than Licensors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Licensed Premises or the Project any signs, notices, window or door lettering, placards, decorations, or advertising media of any type which can be viewed from the exterior of the Licensed Premises. Building standard suite entry signage and signage on the directory tablet shall be inscribed, painted or affixed for Licensee by Licensor at Licensors cost, and shall be of a size, color and type acceptable to Licensor. Licensee shall not be responsible for the removal of such suite entry and Building lobby directory signage at the expiration or earlier termination of this Agreement. Nothing may be placed on the exterior of corridor walls or corridor doors other than Licensors standard lettering. The directory tablet shall be provided exclusively for the display of the name and location of tenants.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Limitation on Licensors Liability</w:t>
      </w:r>
      <w:r>
        <w:rPr>
          <w:rFonts w:ascii="Times New Roman" w:hAnsi="Times New Roman"/>
          <w:sz w:val="20"/>
        </w:rPr>
        <w:t xml:space="preserve">. NOTWITHSTANDING ANYTHING SET FORTH HEREIN OR IN ANY OTHER AGREEMENT BETWEEN LICENSOR AND LICENSEE TO THE CONTRARY: (A) LICENSOR SHALL NOT BE LIABLE TO LICENSEE OR ANY OTHER PERSON FOR (AND LICENSEE AND EACH SUCH OTHER PERSON ASSUME ALL RISK OF) LOSS, DAMAGE OR INJURY, WHETHER ACTUAL OR CONSEQUENTIAL TO: LICENSEES PERSONAL PROPERTY OF EVERY KIND AND DESCRIPTION, INCLUDING, WITHOUT LIMITATION TRADE FIXTURES, EQUIPMENT, INVENTORY, PRODUCT, AND/OR BUSINESS, ACCOUNTING AND OTHER RECORDS OF EVERY KIND AND DESCRIPTION KEPT AT THE LICENSED PREMISES AND ANY AND ALL INCOME DERIVED OR DERIVABLE THEREFROM; (B) THERE SHALL BE NO PERSONAL RECOURSE TO LICENSOR FOR ANY ACT OR OCCURRENCE IN, ON OR ABOUT THE LICENSED PREMISES OR ARISING IN ANY WAY UNDER THIS AGREEMENT OR ANY OTHER AGREEMENT BETWEEN LICENSOR AND LICENSEE WITH RESPECT TO THE SUBJECT MATTER HEREOF AND ANY LIABILITY OF LICENSOR HEREUNDER SHALL BE STRICTLY LIMITED SOLELY TO LICENSORS INTEREST IN THE PROJECT OR ANY PROCEEDS FROM SALE OR CONDEMNATION THEREOF AND ANY INSURANCE PROCEEDS PAYABLE IN RESPECT OF LICENSORS INTEREST IN THE PROJECT OR IN CONNECTION WITH ANY SUCH LOSS; AND (C) IN NO EVENT SHALL ANY RECOURSE BE HAD TO ANY OTHER PROPERTY OR ASSETS OF LICENSOR OR ANY OF LICENSORS OFFICERS, DIRECTORS, EMPLOYEES OR AGENTS. UNDER NO CIRCUMSTANCES SHALL LICENSOR OR ANY OF LICENSORS OFFICERS, DIRECTORS, EMPLOYEES OR AGENTS BE LIABLE FOR INJURY TO LICENSEES BUSINESS OR FOR ANY LOSS OF INCOME OR PROFIT THEREFROM OR ANY CONSEQUENTIAL, INDIRECT OR PUNITIVE DAMAGES SUFFERED BY LICENSEE. </w:t>
      </w:r>
    </w:p>
    <w:p>
      <w:pPr>
        <w:pStyle w:val="TextBody"/>
        <w:bidi w:val="0"/>
        <w:spacing w:before="12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Assignment</w:t>
      </w:r>
      <w:r>
        <w:rPr>
          <w:rFonts w:ascii="Times New Roman" w:hAnsi="Times New Roman"/>
          <w:sz w:val="20"/>
        </w:rPr>
        <w:t xml:space="preserve">. Licensee may not assign or otherwise transfer all or any part of its interest in this Agreement or in the Licensed Premises. </w:t>
      </w:r>
    </w:p>
    <w:p>
      <w:pPr>
        <w:pStyle w:val="TextBody"/>
        <w:bidi w:val="0"/>
        <w:spacing w:before="12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Governing Jurisdiction</w:t>
      </w:r>
      <w:r>
        <w:rPr>
          <w:rFonts w:ascii="Times New Roman" w:hAnsi="Times New Roman"/>
          <w:sz w:val="20"/>
        </w:rPr>
        <w:t xml:space="preserve">. This Agreement shall be construed under and in accordance with the laws of the State of California. </w:t>
      </w:r>
    </w:p>
    <w:p>
      <w:pPr>
        <w:pStyle w:val="TextBody"/>
        <w:bidi w:val="0"/>
        <w:spacing w:before="12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Notice</w:t>
      </w:r>
      <w:r>
        <w:rPr>
          <w:rFonts w:ascii="Times New Roman" w:hAnsi="Times New Roman"/>
          <w:sz w:val="20"/>
        </w:rPr>
        <w:t xml:space="preserve">. Any notice required to be given under this Agreement may be personally delivered to a party, or may be sent by overnight courier service (e.g., Federal Express), or by facsimile transmission with a confirming copy sent by overnight courier service, to either party addressed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18"/>
        <w:gridCol w:w="8369"/>
      </w:tblGrid>
      <w:tr>
        <w:trPr/>
        <w:tc>
          <w:tcPr>
            <w:tcW w:w="918"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To Licensee: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Rapport Therapeutics,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1325 Boylston Street, Suite 401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02215 </w:t>
      </w:r>
    </w:p>
    <w:p>
      <w:pPr>
        <w:pStyle w:val="TextBody"/>
        <w:bidi w:val="0"/>
        <w:spacing w:before="0" w:after="0"/>
        <w:jc w:val="left"/>
        <w:rPr>
          <w:rFonts w:ascii="Times New Roman" w:hAnsi="Times New Roman"/>
          <w:sz w:val="20"/>
        </w:rPr>
      </w:pPr>
      <w:r>
        <w:rPr>
          <w:rFonts w:ascii="Times New Roman" w:hAnsi="Times New Roman"/>
          <w:sz w:val="20"/>
        </w:rPr>
        <w:t xml:space="preserve">Attn: Cheryl Gault, COO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18"/>
        <w:gridCol w:w="8370"/>
      </w:tblGrid>
      <w:tr>
        <w:trPr/>
        <w:tc>
          <w:tcPr>
            <w:tcW w:w="91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To Licensor:</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 Alexandria Real Estate Equities,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26 North Euclid Avenue </w:t>
      </w:r>
    </w:p>
    <w:p>
      <w:pPr>
        <w:pStyle w:val="TextBody"/>
        <w:bidi w:val="0"/>
        <w:spacing w:before="0" w:after="0"/>
        <w:jc w:val="left"/>
        <w:rPr>
          <w:rFonts w:ascii="Times New Roman" w:hAnsi="Times New Roman"/>
          <w:sz w:val="20"/>
        </w:rPr>
      </w:pPr>
      <w:r>
        <w:rPr>
          <w:rFonts w:ascii="Times New Roman" w:hAnsi="Times New Roman"/>
          <w:sz w:val="20"/>
        </w:rPr>
        <w:t xml:space="preserve">Pasadena, CA 91101 </w:t>
      </w:r>
    </w:p>
    <w:p>
      <w:pPr>
        <w:pStyle w:val="TextBody"/>
        <w:bidi w:val="0"/>
        <w:spacing w:before="0" w:after="0"/>
        <w:jc w:val="left"/>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Re: 10210 Campus Point Drive </w:t>
      </w:r>
    </w:p>
    <w:p>
      <w:pPr>
        <w:pStyle w:val="TextBody"/>
        <w:bidi w:val="0"/>
        <w:spacing w:before="12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Estoppel Certificate</w:t>
      </w:r>
      <w:r>
        <w:rPr>
          <w:rFonts w:ascii="Times New Roman" w:hAnsi="Times New Roman"/>
          <w:sz w:val="20"/>
        </w:rPr>
        <w:t xml:space="preserve">. Licensee shall, within 10 business days of written notice from Licensor, execute, acknowledge and deliver a statement in writing in any form reasonably requested by a proposed lender or purchaser, (i) certifying that this Agreement is unmodified and in full force and effect (or, if modified, stating the nature of such modification and certifying that this Agreement as so modified is in full force and effect) and the dates to which the rental and other charges are paid in advance, if any, (ii) acknowledging that there are not any uncured defaults on the part of Licensor hereunder, or specifying such defaults if any are claimed, and (iii) setting forth such further information with respect to the status of this Agreement or the Licensed Premises as may be reasonably requested thereon. Any such statement may be relied upon by any prospective purchaser or encumbrancer of all or any portion of the real property of which the Licensed Premises are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OFAC</w:t>
      </w:r>
      <w:r>
        <w:rPr>
          <w:rFonts w:ascii="Times New Roman" w:hAnsi="Times New Roman"/>
          <w:sz w:val="20"/>
        </w:rPr>
        <w:t>. Licensee is currently (a) in compliance with and shall at all times during the Term of this Agreement remain in compliance with the regulations of the Office of Foreign Assets Control (</w:t>
      </w:r>
      <w:r>
        <w:rPr>
          <w:rFonts w:ascii="Times New Roman" w:hAnsi="Times New Roman"/>
          <w:b/>
          <w:sz w:val="20"/>
        </w:rPr>
        <w:t>OFAC</w:t>
      </w:r>
      <w:r>
        <w:rPr>
          <w:rFonts w:ascii="Times New Roman" w:hAnsi="Times New Roman"/>
          <w:sz w:val="20"/>
        </w:rPr>
        <w:t>) of the U.S. Department of Treasury and any statute, executive order, or regulation relating thereto (collectively, the </w:t>
      </w:r>
      <w:r>
        <w:rPr>
          <w:rFonts w:ascii="Times New Roman" w:hAnsi="Times New Roman"/>
          <w:b/>
          <w:sz w:val="20"/>
        </w:rPr>
        <w:t>OFAC Rules</w:t>
      </w:r>
      <w:r>
        <w:rPr>
          <w:rFonts w:ascii="Times New Roman" w:hAnsi="Times New Roman"/>
          <w:sz w:val="20"/>
        </w:rPr>
        <w:t xml:space="preserve">), (b) not listed on, and shall not during the term of this Agreement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Any modification of this Agreement must be in writing signed by both Licensor and Licensee. If any provision of this Agreement is made unenforceable, such shall not affect the enforceability of any other provision. If any action is brought by either party against the other, the prevailing party shall be entitled to recover reasonable attorneys fees. This Agreement shall be binding on and inure to the benefit of the successors and permitted assigns of the respective parties. If any clause or provision of this Agreement is illegal, invalid or unenforceable under present or future laws, then and in that event, it is the intention of the parties hereto that the remainder of this Agreement shall not be affected thereby.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Brokers</w:t>
      </w:r>
      <w:r>
        <w:rPr>
          <w:rFonts w:ascii="Times New Roman" w:hAnsi="Times New Roman"/>
          <w:sz w:val="20"/>
        </w:rPr>
        <w:t>. Licensor and Licensee each represents and warrants that it has not dealt with any broker, agent or other person (collectively, </w:t>
      </w:r>
      <w:r>
        <w:rPr>
          <w:rFonts w:ascii="Times New Roman" w:hAnsi="Times New Roman"/>
          <w:b/>
          <w:sz w:val="20"/>
        </w:rPr>
        <w:t>Broker</w:t>
      </w:r>
      <w:r>
        <w:rPr>
          <w:rFonts w:ascii="Times New Roman" w:hAnsi="Times New Roman"/>
          <w:sz w:val="20"/>
        </w:rPr>
        <w:t>) in connection with this transaction and that no Broker brought about this transaction, other than Jones Lang LaSalle, Cushman &amp; Wakefield and CBRE, Inc. Licensor and Licensee each hereby agree to indemnify and hold the other harmless from and against any claims by any Broker</w:t>
      </w:r>
      <w:r>
        <w:rPr>
          <w:rFonts w:ascii="Times New Roman" w:hAnsi="Times New Roman"/>
          <w:i/>
          <w:sz w:val="20"/>
        </w:rPr>
        <w:t>,</w:t>
      </w:r>
      <w:r>
        <w:rPr>
          <w:rFonts w:ascii="Times New Roman" w:hAnsi="Times New Roman"/>
          <w:sz w:val="20"/>
        </w:rPr>
        <w:t xml:space="preserve"> other than Jones Lang LaSalle, Cushman &amp; Wakefield and CBRE, Inc., claiming a commission or other form of compensation by virtue of having dealt with Licensee or Licensor, as applicable, with regard to this Agreement. Licensor shall be responsible for all commissions due to each of Jones Lang LaSalle, Cushman &amp; Wakefield and CBRE arising out of the execution of this Agreement in accordance with the terms of separate written agreements between Licensor and each of Jones Lang LaSalle, Cushman &amp; Wakefield and CBRE. </w:t>
      </w:r>
    </w:p>
    <w:p>
      <w:pPr>
        <w:pStyle w:val="TextBody"/>
        <w:bidi w:val="0"/>
        <w:spacing w:before="12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Rules and Regulations</w:t>
      </w:r>
      <w:r>
        <w:rPr>
          <w:rFonts w:ascii="Times New Roman" w:hAnsi="Times New Roman"/>
          <w:sz w:val="20"/>
        </w:rPr>
        <w:t xml:space="preserve">. Licensee shall, at all times during the Term, comply with all reasonable rules and regulations at any time or from time to time established by Licensor covering use of the Licensed Premises and the Project. If there is any conflict between said rules and regulations and other provisions of this Agreement, the terms and provisions of this Agreement shall control. Licensor shall not have any liability or obligation for the breach of any rules or regulations by other tenants or other licensees at the Project and shall not enforce such rules and regulations in a discriminatory manner. </w:t>
      </w:r>
    </w:p>
    <w:p>
      <w:pPr>
        <w:pStyle w:val="TextBody"/>
        <w:bidi w:val="0"/>
        <w:spacing w:before="12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California Accessibility Disclosure</w:t>
      </w:r>
      <w:r>
        <w:rPr>
          <w:rFonts w:ascii="Times New Roman" w:hAnsi="Times New Roman"/>
          <w:sz w:val="20"/>
        </w:rPr>
        <w:t xml:space="preserve">. For purposes of Section 1938(a) of the California Civil Code, Licensor hereby discloses to Licensee, and Licensee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 (i) Licensee, having read such notice and understanding Licensees right to request and obtain a CASp inspection, hereby elects not to obtain such CASp inspection and forever waives its rights to obtain a CASp inspection with respect to the Licensed Premises, Building and/or Project to the extent permitted by Legal Requirements; and (ii) if the waiver set forth in clause (i) hereinabove is not enforceable pursuant to Legal Requirements, then Licensor and Licensee hereby agree as follows (which constitute the mutual agreement of the parties as to the matters described in the last sentence of the foregoing notice): (A) Licensee shall have the one-time right to request for and obtain a CASp inspection, which request must be made, if at all, in a written notice delivered by Licensee to Licensor; (B) any CASp inspection timely requested by Licensee shall be conducted (1) at a time mutually agreed to by Licensor and Licensee, (2) in a professional manner by a CASp designated by Licensor and without any testing that would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Licensed Premises, Building or Project in any way, and (3) at Licensees sole cost and expense, including, without limitation, Licensees payment of the fee for such CASp inspection, the fee for any reports prepared by the CASp in connection with such CASp inspection (collectively, the </w:t>
      </w:r>
      <w:r>
        <w:rPr>
          <w:rFonts w:ascii="Times New Roman" w:hAnsi="Times New Roman"/>
          <w:b/>
          <w:sz w:val="20"/>
        </w:rPr>
        <w:t>CASp Reports</w:t>
      </w:r>
      <w:r>
        <w:rPr>
          <w:rFonts w:ascii="Times New Roman" w:hAnsi="Times New Roman"/>
          <w:sz w:val="20"/>
        </w:rPr>
        <w:t xml:space="preserve">) and all other costs and expenses in connection therewith; (C) the CASp Reports shall be delivered by the CASp simultaneously to Licensor and Licensee; (D) Licensee, at its sole cost and expense, shall be responsible for making any improvements, alterations, modifications and/or repairs to or within the Licensed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Licensed Premises that are Licensors obligation to repair as set forth in the Agreement, then Licensor shall perform such improvements, alterations, modifications and/or repairs as and to the extent required by Legal Requirements to correct such violations, and Licensee shall reimburse Licensor for the cost of such improvements, alterations, modifications and/or repairs within 10 business days after Licensees receipt of an invoice therefor from Licensor. </w:t>
      </w:r>
    </w:p>
    <w:p>
      <w:pPr>
        <w:pStyle w:val="TextBody"/>
        <w:bidi w:val="0"/>
        <w:spacing w:before="12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Agreement and all matters related thereto, with such electronic signatures having the same legal effect as original signatures. </w:t>
      </w:r>
    </w:p>
    <w:p>
      <w:pPr>
        <w:pStyle w:val="TextBody"/>
        <w:bidi w:val="0"/>
        <w:spacing w:before="12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Holding Over</w:t>
      </w:r>
      <w:r>
        <w:rPr>
          <w:rFonts w:ascii="Times New Roman" w:hAnsi="Times New Roman"/>
          <w:sz w:val="20"/>
        </w:rPr>
        <w:t xml:space="preserve">. Notwithstanding anything to the contrary contained herein, if Licensee remains in possession of the Licensed Premises after the expiration or earlier termination of the Term without the express written consent of Licensor, (a) Licensee shall become a tenant at sufferance upon the terms of this Agreement except that the monthly rental shall be an amount equal to 150% of the monthly License Fee (excluding any Abatement) plus Licensees pro rata share of Operating Expenses attributable to the Licensed Premises, and other amounts payable under this Agreement, and (b) Licensee shall be responsible for all damages suffered by Licensor resulting from or occasioned by Licensees holding over, including consequential damages; provided, however, that if Licensee delivers a written inquiry to Licensor within 30 days prior to the expiration or earlier termination of the Term, Licensor will notify Licensee whether the potential exists for consequential damages. </w:t>
      </w:r>
    </w:p>
    <w:p>
      <w:pPr>
        <w:pStyle w:val="TextBody"/>
        <w:bidi w:val="0"/>
        <w:spacing w:before="12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Financial Information</w:t>
      </w:r>
      <w:r>
        <w:rPr>
          <w:rFonts w:ascii="Times New Roman" w:hAnsi="Times New Roman"/>
          <w:sz w:val="20"/>
        </w:rPr>
        <w:t xml:space="preserve"> Licensee shall furnish to Licensor true and complete copies of (i) upon Licensors written request on an annual basis, Licensees most recent unaudited (or, if available, audited) annual financial statements, provided, however, that Licensee shall not be required to deliver to Licensor such annual financial statements for any particular year sooner than the date that is 90 days after the end of each of Licensees fiscal years during the Term, (ii) upon Licensors written request on a quarterly basis, Licensees most recent unaudited quarterly financial statements; provided, however, that Licensee shall not be required to deliver to Licensor such quarterly financial statements for any particular quarter sooner that the date that is 45 days after the end of each of Licensees fiscal quarters during the Term, (iii) upon Licensors written request from time to time, updated business plans, including cash flow projections and/or pro forma balance sheets and income statements, all of which shall be treated by Licensor as confidential information belonging to Licensee, (iv) upon Licensors written request from time to time, corporate brochures and/or profiles prepared by Licensee for prospective investors, and (v) upon Licensors written request from time to time, any other financial information or summaries that Licensee typically provides to its lenders or shareholders. Notwithstanding anything to the contrary contained in this Agreement, Licensors written request for financial information pursuant to this </w:t>
      </w:r>
      <w:r>
        <w:rPr>
          <w:rFonts w:ascii="Times New Roman" w:hAnsi="Times New Roman"/>
          <w:sz w:val="20"/>
          <w:u w:val="single"/>
        </w:rPr>
        <w:t>Section 27</w:t>
      </w:r>
      <w:r>
        <w:rPr>
          <w:rFonts w:ascii="Times New Roman" w:hAnsi="Times New Roman"/>
          <w:sz w:val="20"/>
        </w:rPr>
        <w:t xml:space="preserve"> may delivered to Licensee via email delivered to finance@rapportrx.com. If Licensee is a public company and its financial information is publicly available, then the foregoing delivery requirements of this </w:t>
      </w:r>
      <w:r>
        <w:rPr>
          <w:rFonts w:ascii="Times New Roman" w:hAnsi="Times New Roman"/>
          <w:sz w:val="20"/>
          <w:u w:val="single"/>
        </w:rPr>
        <w:t>Section 27</w:t>
      </w:r>
      <w:r>
        <w:rPr>
          <w:rFonts w:ascii="Times New Roman" w:hAnsi="Times New Roman"/>
          <w:sz w:val="20"/>
        </w:rPr>
        <w:t xml:space="preserve"> shall not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Licensors</w:t>
      </w:r>
      <w:r>
        <w:rPr>
          <w:rFonts w:ascii="Times New Roman" w:hAnsi="Times New Roman"/>
          <w:sz w:val="20"/>
          <w:u w:val="single"/>
        </w:rPr>
        <w:t xml:space="preserve"> </w:t>
      </w:r>
      <w:r>
        <w:rPr>
          <w:rFonts w:ascii="Times New Roman" w:hAnsi="Times New Roman"/>
          <w:b/>
          <w:sz w:val="20"/>
          <w:u w:val="single"/>
        </w:rPr>
        <w:t>Proprietary</w:t>
      </w:r>
      <w:r>
        <w:rPr>
          <w:rFonts w:ascii="Times New Roman" w:hAnsi="Times New Roman"/>
          <w:sz w:val="20"/>
          <w:u w:val="single"/>
        </w:rPr>
        <w:t xml:space="preserve"> </w:t>
      </w:r>
      <w:r>
        <w:rPr>
          <w:rFonts w:ascii="Times New Roman" w:hAnsi="Times New Roman"/>
          <w:b/>
          <w:sz w:val="20"/>
          <w:u w:val="single"/>
        </w:rPr>
        <w:t>Operations</w:t>
      </w:r>
      <w:r>
        <w:rPr>
          <w:rFonts w:ascii="Times New Roman" w:hAnsi="Times New Roman"/>
          <w:sz w:val="20"/>
        </w:rPr>
        <w:t xml:space="preserve">. Absent prior written consent from Licensor, Licensee shall hold confidential and will not disclose to third parties, and shall require Licensee Related Parties to hold confidential and not disclose to third parties, information regarding the systems, controls, equipment, programming, vendors, tenants, and specialized amenities of Licensor. Licensee shall notify Licensor immediately if Licensee becomes aware of any third party contacting Licensee or any Licensee Related Parties requesting information regarding Licensors business operations. </w:t>
      </w:r>
    </w:p>
    <w:p>
      <w:pPr>
        <w:pStyle w:val="TextBody"/>
        <w:bidi w:val="0"/>
        <w:spacing w:before="120" w:after="0"/>
        <w:jc w:val="left"/>
        <w:rPr>
          <w:rFonts w:ascii="Times New Roman" w:hAnsi="Times New Roman"/>
          <w:sz w:val="20"/>
        </w:rPr>
      </w:pP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Right</w:t>
      </w:r>
      <w:r>
        <w:rPr>
          <w:rFonts w:ascii="Times New Roman" w:hAnsi="Times New Roman"/>
          <w:sz w:val="20"/>
          <w:u w:val="single"/>
        </w:rPr>
        <w:t xml:space="preserve"> </w:t>
      </w:r>
      <w:r>
        <w:rPr>
          <w:rFonts w:ascii="Times New Roman" w:hAnsi="Times New Roman"/>
          <w:b/>
          <w:sz w:val="20"/>
          <w:u w:val="single"/>
        </w:rPr>
        <w:t>to</w:t>
      </w:r>
      <w:r>
        <w:rPr>
          <w:rFonts w:ascii="Times New Roman" w:hAnsi="Times New Roman"/>
          <w:sz w:val="20"/>
          <w:u w:val="single"/>
        </w:rPr>
        <w:t xml:space="preserve"> </w:t>
      </w:r>
      <w:r>
        <w:rPr>
          <w:rFonts w:ascii="Times New Roman" w:hAnsi="Times New Roman"/>
          <w:b/>
          <w:sz w:val="20"/>
          <w:u w:val="single"/>
        </w:rPr>
        <w:t>Expand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Refusal</w:t>
      </w:r>
      <w:r>
        <w:rPr>
          <w:rFonts w:ascii="Times New Roman" w:hAnsi="Times New Roman"/>
          <w:sz w:val="20"/>
        </w:rPr>
        <w:t>. The first time after Licensee has entered into the Lease or a New Lease that Licensor intends to accept a bona fide written proposal or deliver a counter proposal which Licensor would be willing to accept (the </w:t>
      </w:r>
      <w:r>
        <w:rPr>
          <w:rFonts w:ascii="Times New Roman" w:hAnsi="Times New Roman"/>
          <w:b/>
          <w:sz w:val="20"/>
        </w:rPr>
        <w:t>Pending Deal</w:t>
      </w:r>
      <w:r>
        <w:rPr>
          <w:rFonts w:ascii="Times New Roman" w:hAnsi="Times New Roman"/>
          <w:sz w:val="20"/>
        </w:rPr>
        <w:t>) to lease or license all or a portion of Suite 150 in the Building, containing approximately 17,085 rentable square feet (the </w:t>
      </w:r>
      <w:r>
        <w:rPr>
          <w:rFonts w:ascii="Times New Roman" w:hAnsi="Times New Roman"/>
          <w:b/>
          <w:sz w:val="20"/>
        </w:rPr>
        <w:t>Suite 150 Premises</w:t>
      </w:r>
      <w:r>
        <w:rPr>
          <w:rFonts w:ascii="Times New Roman" w:hAnsi="Times New Roman"/>
          <w:sz w:val="20"/>
        </w:rPr>
        <w:t>), to a third party, Licensor shall deliver to Licensee written notice (the </w:t>
      </w:r>
      <w:r>
        <w:rPr>
          <w:rFonts w:ascii="Times New Roman" w:hAnsi="Times New Roman"/>
          <w:b/>
          <w:sz w:val="20"/>
        </w:rPr>
        <w:t>Pending Deal Notice</w:t>
      </w:r>
      <w:r>
        <w:rPr>
          <w:rFonts w:ascii="Times New Roman" w:hAnsi="Times New Roman"/>
          <w:sz w:val="20"/>
        </w:rPr>
        <w:t>). The Suite 150 Premises shall be offered to Licensee to license in its as-is condition, and otherwise on the same terms and conditions as the license of the Licensed Premises as set forth in this Agreement, except that Licensor will not be obligated to provide any furniture, fixtures or equipment to the Suite 150 Premises. Within 5 days after Licensees receipt of the Pending Deal Notice, Licensee shall deliver to Licensor written notice (the </w:t>
      </w:r>
      <w:r>
        <w:rPr>
          <w:rFonts w:ascii="Times New Roman" w:hAnsi="Times New Roman"/>
          <w:b/>
          <w:sz w:val="20"/>
        </w:rPr>
        <w:t>Acceptance</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if Licensee elects to license the Suite 150 Premises. Licensees right to receive the Pending Deal Notice and election to license or not license the Suite 150 Premises pursuant to this </w:t>
      </w:r>
      <w:r>
        <w:rPr>
          <w:rFonts w:ascii="Times New Roman" w:hAnsi="Times New Roman"/>
          <w:sz w:val="20"/>
          <w:u w:val="single"/>
        </w:rPr>
        <w:t>Section 29(a)</w:t>
      </w:r>
      <w:r>
        <w:rPr>
          <w:rFonts w:ascii="Times New Roman" w:hAnsi="Times New Roman"/>
          <w:sz w:val="20"/>
        </w:rPr>
        <w:t xml:space="preserve"> is hereinafter referred to as the </w:t>
      </w:r>
      <w:r>
        <w:rPr>
          <w:rFonts w:ascii="Times New Roman" w:hAnsi="Times New Roman"/>
          <w:b/>
          <w:sz w:val="20"/>
        </w:rPr>
        <w:t>Right of First Refusal</w:t>
      </w:r>
      <w:r>
        <w:rPr>
          <w:rFonts w:ascii="Times New Roman" w:hAnsi="Times New Roman"/>
          <w:sz w:val="20"/>
        </w:rPr>
        <w:t xml:space="preserve">. If Licensee elects to license the Suite 150 Premises by delivering the Acceptance Notice within the required 5 day period, Licensee shall be deemed to agree to expand the Premises to include the Suite 150 Premises and to license the Suite 150 Premises on the same general terms and conditions as this Agreement except that the terms of this Agreement shall be modified to reflect the fact that Licensee will be licensing the Suite 150 Premises in its as-is condition and Licensor will not be obligated to provide any furniture, fixtures or equipment to the Suite 150 Premises. Licensee acknowledges that the term of this Agreement with respect to the Suite 150 Premises and the Term of this Agreement with respect to the Licensed Premises will be co-terminous. If Licensee fails to deliver an Acceptance Notice to Licensor within the required 5 day period, Licensee shall be deemed to have forever waived its rights under this </w:t>
      </w:r>
      <w:r>
        <w:rPr>
          <w:rFonts w:ascii="Times New Roman" w:hAnsi="Times New Roman"/>
          <w:sz w:val="20"/>
          <w:u w:val="single"/>
        </w:rPr>
        <w:t>Section 29(a)</w:t>
      </w:r>
      <w:r>
        <w:rPr>
          <w:rFonts w:ascii="Times New Roman" w:hAnsi="Times New Roman"/>
          <w:sz w:val="20"/>
        </w:rPr>
        <w:t xml:space="preserve"> to license the Suite 150 Premises.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Amended</w:t>
      </w:r>
      <w:r>
        <w:rPr>
          <w:rFonts w:ascii="Times New Roman" w:hAnsi="Times New Roman"/>
          <w:sz w:val="20"/>
        </w:rPr>
        <w:t xml:space="preserve"> </w:t>
      </w:r>
      <w:r>
        <w:rPr>
          <w:rFonts w:ascii="Times New Roman" w:hAnsi="Times New Roman"/>
          <w:b/>
          <w:sz w:val="20"/>
        </w:rPr>
        <w:t>License</w:t>
      </w:r>
      <w:r>
        <w:rPr>
          <w:rFonts w:ascii="Times New Roman" w:hAnsi="Times New Roman"/>
          <w:sz w:val="20"/>
        </w:rPr>
        <w:t xml:space="preserve">. If: (i) Licensee fails to timely deliver the Acceptance Notice, or (ii) after the expiration of a period of 10 days after Licensors delivery to Licensee of an amendment to this Agreement incorporating Licensees license of the Suite 150 Premises, no amendment to this Agreement for the license of the Suite 150 Premises acceptable to both parties each in their reasonable discretion after using diligent good faith efforts to negotiate the same, has been executed, Licensee shall, notwithstanding anything to the contrary contained herein, be deemed to have forever waived its right to license the Suite 150 Premises.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Exceptions</w:t>
      </w:r>
      <w:r>
        <w:rPr>
          <w:rFonts w:ascii="Times New Roman" w:hAnsi="Times New Roman"/>
          <w:sz w:val="20"/>
        </w:rPr>
        <w:t xml:space="preserve">. Notwithstanding the above, the Right of First Refusal shall not be in effect and may not be exercised by Licensee: </w:t>
      </w:r>
    </w:p>
    <w:p>
      <w:pPr>
        <w:pStyle w:val="TextBody"/>
        <w:bidi w:val="0"/>
        <w:spacing w:before="120" w:after="0"/>
        <w:jc w:val="left"/>
        <w:rPr>
          <w:rFonts w:ascii="Times New Roman" w:hAnsi="Times New Roman"/>
          <w:sz w:val="20"/>
        </w:rPr>
      </w:pPr>
      <w:r>
        <w:rPr>
          <w:rFonts w:ascii="Times New Roman" w:hAnsi="Times New Roman"/>
          <w:sz w:val="20"/>
        </w:rPr>
        <w:t xml:space="preserve">(i) during any period of time that Licensee is in default under any provision of this Agreement (beyond any applicable notice and cure periods); or </w:t>
      </w:r>
    </w:p>
    <w:p>
      <w:pPr>
        <w:pStyle w:val="TextBody"/>
        <w:bidi w:val="0"/>
        <w:spacing w:before="120" w:after="0"/>
        <w:jc w:val="left"/>
        <w:rPr>
          <w:rFonts w:ascii="Times New Roman" w:hAnsi="Times New Roman"/>
          <w:sz w:val="20"/>
        </w:rPr>
      </w:pPr>
      <w:r>
        <w:rPr>
          <w:rFonts w:ascii="Times New Roman" w:hAnsi="Times New Roman"/>
          <w:sz w:val="20"/>
        </w:rPr>
        <w:t xml:space="preserve">(ii) during any period that Licensee is occupying less than 100% of the Licensed Premises; or </w:t>
      </w:r>
    </w:p>
    <w:p>
      <w:pPr>
        <w:pStyle w:val="TextBody"/>
        <w:bidi w:val="0"/>
        <w:spacing w:before="120" w:after="0"/>
        <w:jc w:val="left"/>
        <w:rPr>
          <w:rFonts w:ascii="Times New Roman" w:hAnsi="Times New Roman"/>
          <w:sz w:val="20"/>
        </w:rPr>
      </w:pPr>
      <w:r>
        <w:rPr>
          <w:rFonts w:ascii="Times New Roman" w:hAnsi="Times New Roman"/>
          <w:sz w:val="20"/>
        </w:rPr>
        <w:t xml:space="preserve">(iii) if Licensee has been in default (beyond any applicable notice and cure periods) under any provision of this Agreement 3 or more times, whether or not such defaults have been cured, during the 12 month period prior to the date on which Licensee seeks to exercise the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w:t>
      </w:r>
      <w:r>
        <w:rPr>
          <w:rFonts w:ascii="Times New Roman" w:hAnsi="Times New Roman"/>
          <w:sz w:val="20"/>
        </w:rPr>
        <w:t xml:space="preserve">. The Right of First Refusal shall, at Licensors option, terminate and be of no further force or effect even after Licensees due and timely delivery of the Acceptance Notice, if, after such delivery, but prior to the commencement date of the license of the Suite 150 Premises, (i) Licensee fails to cure any default by Licensee under this Agreement prior to the expiration or any applicable notice and cure periods; or (ii) Licensee has defaulted (beyond any applicable notice and cure periods) 3 or more times during the period commencing on the date of delivery of the Acceptance Notice through the date of the commencement of the license of the Suite 150 Premises, whether or not such defaults have been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Rights</w:t>
      </w:r>
      <w:r>
        <w:rPr>
          <w:rFonts w:ascii="Times New Roman" w:hAnsi="Times New Roman"/>
          <w:sz w:val="20"/>
        </w:rPr>
        <w:t xml:space="preserve"> </w:t>
      </w:r>
      <w:r>
        <w:rPr>
          <w:rFonts w:ascii="Times New Roman" w:hAnsi="Times New Roman"/>
          <w:b/>
          <w:sz w:val="20"/>
        </w:rPr>
        <w:t>Personal</w:t>
      </w:r>
      <w:r>
        <w:rPr>
          <w:rFonts w:ascii="Times New Roman" w:hAnsi="Times New Roman"/>
          <w:sz w:val="20"/>
        </w:rPr>
        <w:t xml:space="preserve">. The Right of First Refusal is personal to Licensee and is not assignable.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No Extensions</w:t>
      </w:r>
      <w:r>
        <w:rPr>
          <w:rFonts w:ascii="Times New Roman" w:hAnsi="Times New Roman"/>
          <w:sz w:val="20"/>
        </w:rPr>
        <w:t xml:space="preserve">. The period of time within which the Right of First Refusal may be exercised shall not be extended or enlarged by reason of Licensees inability to exercise the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Requirement to Enter into Lease or New Lease</w:t>
      </w:r>
      <w:r>
        <w:rPr>
          <w:rFonts w:ascii="Times New Roman" w:hAnsi="Times New Roman"/>
          <w:sz w:val="20"/>
        </w:rPr>
        <w:t xml:space="preserve">. The Right of First Refusal shall only be in effect so long as Licensee has entered into the Lease or a New Lease and such Lease or New Lease is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their duly authorized representatives to execute this Agreement as of the date first written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5"/>
        <w:gridCol w:w="121"/>
        <w:gridCol w:w="353"/>
        <w:gridCol w:w="121"/>
        <w:gridCol w:w="353"/>
        <w:gridCol w:w="121"/>
        <w:gridCol w:w="353"/>
        <w:gridCol w:w="121"/>
        <w:gridCol w:w="353"/>
        <w:gridCol w:w="121"/>
        <w:gridCol w:w="4053"/>
      </w:tblGrid>
      <w:tr>
        <w:trPr/>
        <w:tc>
          <w:tcPr>
            <w:tcW w:w="41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b/>
              </w:rPr>
            </w:pPr>
            <w:r>
              <w:rPr>
                <w:b/>
              </w:rPr>
              <w:t>LICENSEE:</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6070" w:type="dxa"/>
            <w:gridSpan w:val="10"/>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b/>
              </w:rPr>
            </w:pPr>
            <w:r>
              <w:rPr>
                <w:b/>
              </w:rPr>
              <w:t>RAPPORT THERAPEUTICS, INC.,</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pPr>
            <w:r>
              <w:rPr/>
              <w:t>a Delaware corporation</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5596" w:type="dxa"/>
            <w:gridSpan w:val="8"/>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5475" w:type="dxa"/>
            <w:gridSpan w:val="7"/>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Cheryl Gault</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Its:</w:t>
            </w:r>
          </w:p>
        </w:tc>
        <w:tc>
          <w:tcPr>
            <w:tcW w:w="121" w:type="dxa"/>
            <w:tcBorders/>
            <w:vAlign w:val="bottom"/>
          </w:tcPr>
          <w:p>
            <w:pPr>
              <w:pStyle w:val="TableContents"/>
              <w:bidi w:val="0"/>
              <w:spacing w:before="0" w:after="283"/>
              <w:jc w:val="left"/>
              <w:rPr/>
            </w:pPr>
            <w:r>
              <w:rPr/>
              <w:t>  </w:t>
            </w:r>
          </w:p>
        </w:tc>
        <w:tc>
          <w:tcPr>
            <w:tcW w:w="5475" w:type="dxa"/>
            <w:gridSpan w:val="7"/>
            <w:tcBorders/>
          </w:tcPr>
          <w:p>
            <w:pPr>
              <w:pStyle w:val="TableContents"/>
              <w:bidi w:val="0"/>
              <w:spacing w:before="0" w:after="283"/>
              <w:jc w:val="left"/>
              <w:rPr/>
            </w:pPr>
            <w:r>
              <w:rPr/>
              <w:t>Chief Operating Officer</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6070" w:type="dxa"/>
            <w:gridSpan w:val="10"/>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pPr>
            <w:r>
              <w:rPr/>
              <w:t xml:space="preserve">☒ </w:t>
            </w:r>
            <w:r>
              <w:rPr/>
              <w:t>I hereby certify that the signature, name, and title above are my signature, name and title.</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6070" w:type="dxa"/>
            <w:gridSpan w:val="10"/>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b/>
              </w:rPr>
            </w:pPr>
            <w:r>
              <w:rPr>
                <w:b/>
              </w:rPr>
              <w:t>LICENSOR:</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6070" w:type="dxa"/>
            <w:gridSpan w:val="10"/>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b/>
              </w:rPr>
            </w:pPr>
            <w:r>
              <w:rPr>
                <w:b/>
              </w:rPr>
              <w:t>ARE-SD REGION NO. 61, LLC,</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9" w:type="dxa"/>
            <w:gridSpan w:val="9"/>
            <w:tcBorders/>
          </w:tcPr>
          <w:p>
            <w:pPr>
              <w:pStyle w:val="TableContents"/>
              <w:bidi w:val="0"/>
              <w:spacing w:before="0" w:after="283"/>
              <w:jc w:val="left"/>
              <w:rPr/>
            </w:pPr>
            <w:r>
              <w:rPr/>
              <w:t>a Delaware limited liability company</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5596" w:type="dxa"/>
            <w:gridSpan w:val="8"/>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5475" w:type="dxa"/>
            <w:gridSpan w:val="7"/>
            <w:tcBorders/>
          </w:tcPr>
          <w:p>
            <w:pPr>
              <w:pStyle w:val="TableContents"/>
              <w:bidi w:val="0"/>
              <w:spacing w:before="0" w:after="283"/>
              <w:jc w:val="left"/>
              <w:rPr/>
            </w:pPr>
            <w:r>
              <w:rPr/>
              <w:t>ARE-SD Region No. 58, LLC,</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475" w:type="dxa"/>
            <w:gridSpan w:val="7"/>
            <w:tcBorders/>
          </w:tcPr>
          <w:p>
            <w:pPr>
              <w:pStyle w:val="TableContents"/>
              <w:bidi w:val="0"/>
              <w:spacing w:before="0" w:after="283"/>
              <w:jc w:val="left"/>
              <w:rPr/>
            </w:pPr>
            <w:r>
              <w:rPr/>
              <w:t>a Delaware limited liability company,</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475" w:type="dxa"/>
            <w:gridSpan w:val="7"/>
            <w:tcBorders/>
          </w:tcPr>
          <w:p>
            <w:pPr>
              <w:pStyle w:val="TableContents"/>
              <w:bidi w:val="0"/>
              <w:spacing w:before="0" w:after="283"/>
              <w:jc w:val="left"/>
              <w:rPr/>
            </w:pPr>
            <w:r>
              <w:rPr/>
              <w:t>managing member</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5122" w:type="dxa"/>
            <w:gridSpan w:val="6"/>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5001" w:type="dxa"/>
            <w:gridSpan w:val="5"/>
            <w:tcBorders/>
          </w:tcPr>
          <w:p>
            <w:pPr>
              <w:pStyle w:val="TableContents"/>
              <w:bidi w:val="0"/>
              <w:spacing w:before="0" w:after="283"/>
              <w:jc w:val="left"/>
              <w:rPr/>
            </w:pPr>
            <w:r>
              <w:rPr/>
              <w:t>Alexandria Real Estate Equities, L.P.,</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01" w:type="dxa"/>
            <w:gridSpan w:val="5"/>
            <w:tcBorders/>
          </w:tcPr>
          <w:p>
            <w:pPr>
              <w:pStyle w:val="TableContents"/>
              <w:bidi w:val="0"/>
              <w:spacing w:before="0" w:after="283"/>
              <w:jc w:val="left"/>
              <w:rPr/>
            </w:pPr>
            <w:r>
              <w:rPr/>
              <w:t>a Delaware limited partnership,</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01" w:type="dxa"/>
            <w:gridSpan w:val="5"/>
            <w:tcBorders/>
          </w:tcPr>
          <w:p>
            <w:pPr>
              <w:pStyle w:val="TableContents"/>
              <w:bidi w:val="0"/>
              <w:spacing w:before="0" w:after="283"/>
              <w:jc w:val="left"/>
              <w:rPr/>
            </w:pPr>
            <w:r>
              <w:rPr/>
              <w:t>managing member</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648" w:type="dxa"/>
            <w:gridSpan w:val="4"/>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ARE-QRS Corp.,</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a Maryland corporation,</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527" w:type="dxa"/>
            <w:gridSpan w:val="3"/>
            <w:tcBorders/>
          </w:tcPr>
          <w:p>
            <w:pPr>
              <w:pStyle w:val="TableContents"/>
              <w:bidi w:val="0"/>
              <w:spacing w:before="0" w:after="283"/>
              <w:jc w:val="left"/>
              <w:rPr/>
            </w:pPr>
            <w:r>
              <w:rPr/>
              <w:t>general partner</w:t>
            </w:r>
          </w:p>
        </w:tc>
      </w:tr>
      <w:tr>
        <w:trPr>
          <w:trHeight w:val="240" w:hRule="atLeast"/>
        </w:trPr>
        <w:tc>
          <w:tcPr>
            <w:tcW w:w="4135" w:type="dxa"/>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174" w:type="dxa"/>
            <w:gridSpan w:val="2"/>
            <w:tcBorders/>
            <w:vAlign w:val="center"/>
          </w:tcPr>
          <w:p>
            <w:pPr>
              <w:pStyle w:val="TableContents"/>
              <w:bidi w:val="0"/>
              <w:spacing w:before="0" w:after="283"/>
              <w:jc w:val="left"/>
              <w:rPr>
                <w:sz w:val="4"/>
                <w:szCs w:val="4"/>
              </w:rPr>
            </w:pPr>
            <w:r>
              <w:rPr>
                <w:sz w:val="4"/>
                <w:szCs w:val="4"/>
              </w:rPr>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0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Gary Dean</w:t>
            </w:r>
          </w:p>
        </w:tc>
      </w:tr>
      <w:tr>
        <w:trPr/>
        <w:tc>
          <w:tcPr>
            <w:tcW w:w="413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3" w:type="dxa"/>
            <w:tcBorders/>
          </w:tcPr>
          <w:p>
            <w:pPr>
              <w:pStyle w:val="TableContents"/>
              <w:bidi w:val="0"/>
              <w:spacing w:before="0" w:after="283"/>
              <w:jc w:val="left"/>
              <w:rPr/>
            </w:pPr>
            <w:r>
              <w:rPr/>
              <w:t>Its:</w:t>
            </w:r>
          </w:p>
        </w:tc>
        <w:tc>
          <w:tcPr>
            <w:tcW w:w="121" w:type="dxa"/>
            <w:tcBorders/>
            <w:vAlign w:val="bottom"/>
          </w:tcPr>
          <w:p>
            <w:pPr>
              <w:pStyle w:val="TableContents"/>
              <w:bidi w:val="0"/>
              <w:spacing w:before="0" w:after="283"/>
              <w:jc w:val="left"/>
              <w:rPr/>
            </w:pPr>
            <w:r>
              <w:rPr/>
              <w:t>  </w:t>
            </w:r>
          </w:p>
        </w:tc>
        <w:tc>
          <w:tcPr>
            <w:tcW w:w="4053" w:type="dxa"/>
            <w:tcBorders/>
          </w:tcPr>
          <w:p>
            <w:pPr>
              <w:pStyle w:val="TableContents"/>
              <w:bidi w:val="0"/>
              <w:spacing w:before="0" w:after="283"/>
              <w:jc w:val="left"/>
              <w:rPr/>
            </w:pPr>
            <w:r>
              <w:rPr/>
              <w:t>Executive Vice President, Legal Affairs</w:t>
            </w:r>
          </w:p>
        </w:tc>
      </w:tr>
    </w:tbl>
    <w:p>
      <w:pPr>
        <w:pStyle w:val="TextBody"/>
        <w:bidi w:val="0"/>
        <w:spacing w:before="0" w:after="0"/>
        <w:jc w:val="right"/>
        <w:rPr>
          <w:rFonts w:ascii="Times New Roman" w:hAnsi="Times New Roman"/>
          <w:b/>
          <w:sz w:val="20"/>
        </w:rPr>
      </w:pPr>
      <w:bookmarkStart w:id="58" w:name="d803738dex1015.htm"/>
      <w:bookmarkStart w:id="59" w:name="ksd803738dex1015"/>
      <w:bookmarkEnd w:id="58"/>
      <w:bookmarkEnd w:id="59"/>
      <w:r>
        <w:rPr>
          <w:rFonts w:ascii="Times New Roman" w:hAnsi="Times New Roman"/>
          <w:b/>
          <w:sz w:val="20"/>
        </w:rPr>
        <w:t xml:space="preserve">Exhibit 10.15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LEASE AGREEMENT </w:t>
      </w:r>
    </w:p>
    <w:p>
      <w:pPr>
        <w:pStyle w:val="TextBody"/>
        <w:bidi w:val="0"/>
        <w:spacing w:before="240" w:after="0"/>
        <w:jc w:val="left"/>
        <w:rPr>
          <w:rFonts w:ascii="Times New Roman" w:hAnsi="Times New Roman"/>
          <w:sz w:val="20"/>
        </w:rPr>
      </w:pPr>
      <w:r>
        <w:rPr>
          <w:rFonts w:ascii="Times New Roman" w:hAnsi="Times New Roman"/>
          <w:sz w:val="20"/>
        </w:rPr>
        <w:t>THIS LEASE AGREEMENT (this </w:t>
      </w:r>
      <w:r>
        <w:rPr>
          <w:rFonts w:ascii="Times New Roman" w:hAnsi="Times New Roman"/>
          <w:b/>
          <w:sz w:val="20"/>
        </w:rPr>
        <w:t>Lease</w:t>
      </w:r>
      <w:r>
        <w:rPr>
          <w:rFonts w:ascii="Times New Roman" w:hAnsi="Times New Roman"/>
          <w:sz w:val="20"/>
        </w:rPr>
        <w:t>) is made this 12 day of February, 2024 (the </w:t>
      </w:r>
      <w:r>
        <w:rPr>
          <w:rFonts w:ascii="Times New Roman" w:hAnsi="Times New Roman"/>
          <w:b/>
          <w:sz w:val="20"/>
        </w:rPr>
        <w:t>Effective Date</w:t>
      </w:r>
      <w:r>
        <w:rPr>
          <w:rFonts w:ascii="Times New Roman" w:hAnsi="Times New Roman"/>
          <w:sz w:val="20"/>
        </w:rPr>
        <w:t xml:space="preserve">), between </w:t>
      </w:r>
      <w:r>
        <w:rPr>
          <w:rFonts w:ascii="Times New Roman" w:hAnsi="Times New Roman"/>
          <w:b/>
          <w:sz w:val="20"/>
        </w:rPr>
        <w:t>ARE-9880 CAMPUS POINT, LLC</w:t>
      </w:r>
      <w:r>
        <w:rPr>
          <w:rFonts w:ascii="Times New Roman" w:hAnsi="Times New Roman"/>
          <w:sz w:val="20"/>
        </w:rPr>
        <w:t>, 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RAPPORT</w:t>
      </w:r>
      <w:r>
        <w:rPr>
          <w:rFonts w:ascii="Times New Roman" w:hAnsi="Times New Roman"/>
          <w:sz w:val="20"/>
        </w:rPr>
        <w:t xml:space="preserve"> </w:t>
      </w:r>
      <w:r>
        <w:rPr>
          <w:rFonts w:ascii="Times New Roman" w:hAnsi="Times New Roman"/>
          <w:b/>
          <w:sz w:val="20"/>
        </w:rPr>
        <w:t>THERAPEUTICS, INC.</w:t>
      </w:r>
      <w:r>
        <w:rPr>
          <w:rFonts w:ascii="Times New Roman" w:hAnsi="Times New Roman"/>
          <w:sz w:val="20"/>
        </w:rPr>
        <w:t>,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7"/>
        <w:gridCol w:w="128"/>
        <w:gridCol w:w="8370"/>
      </w:tblGrid>
      <w:tr>
        <w:trPr/>
        <w:tc>
          <w:tcPr>
            <w:tcW w:w="170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370" w:type="dxa"/>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283"/>
              <w:jc w:val="left"/>
              <w:rPr>
                <w:b/>
              </w:rPr>
            </w:pPr>
            <w:r>
              <w:rPr>
                <w:b/>
              </w:rPr>
              <w:t>Building:</w:t>
            </w:r>
          </w:p>
        </w:tc>
        <w:tc>
          <w:tcPr>
            <w:tcW w:w="128" w:type="dxa"/>
            <w:tcBorders/>
            <w:vAlign w:val="bottom"/>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That certain building known as 9880 Campus Point Drive, San Diego, California.</w:t>
            </w:r>
          </w:p>
        </w:tc>
      </w:tr>
      <w:tr>
        <w:trPr>
          <w:trHeight w:val="120" w:hRule="atLeast"/>
        </w:trPr>
        <w:tc>
          <w:tcPr>
            <w:tcW w:w="1707" w:type="dxa"/>
            <w:tcBorders/>
            <w:vAlign w:val="center"/>
          </w:tcPr>
          <w:p>
            <w:pPr>
              <w:pStyle w:val="TableContents"/>
              <w:bidi w:val="0"/>
              <w:spacing w:before="0" w:after="283"/>
              <w:jc w:val="left"/>
              <w:rPr>
                <w:sz w:val="4"/>
                <w:szCs w:val="4"/>
              </w:rPr>
            </w:pPr>
            <w:r>
              <w:rPr>
                <w:sz w:val="4"/>
                <w:szCs w:val="4"/>
              </w:rPr>
            </w:r>
          </w:p>
        </w:tc>
        <w:tc>
          <w:tcPr>
            <w:tcW w:w="8498"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283"/>
              <w:jc w:val="left"/>
              <w:rPr>
                <w:b/>
              </w:rPr>
            </w:pPr>
            <w:r>
              <w:rPr>
                <w:b/>
              </w:rPr>
              <w:t>Premises:</w:t>
            </w:r>
          </w:p>
        </w:tc>
        <w:tc>
          <w:tcPr>
            <w:tcW w:w="128" w:type="dxa"/>
            <w:tcBorders/>
            <w:vAlign w:val="bottom"/>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Those portions of the 5th floor of the Project, (i) commonly known as Suite 510 containing approximately 10,828 rentable square feet (the </w:t>
            </w:r>
            <w:r>
              <w:rPr>
                <w:b/>
              </w:rPr>
              <w:t>Suite 510 Premises</w:t>
            </w:r>
            <w:r>
              <w:rPr/>
              <w:t>), and (ii) commonly known as Suite 520 containing approximately 9,798 rentable square feet (the </w:t>
            </w:r>
            <w:r>
              <w:rPr>
                <w:b/>
              </w:rPr>
              <w:t>Suite 520 Premises</w:t>
            </w:r>
            <w:r>
              <w:rPr/>
              <w:t xml:space="preserve">), as shown on </w:t>
            </w:r>
            <w:r>
              <w:rPr>
                <w:b/>
              </w:rPr>
              <w:t>Exhibit A-1</w:t>
            </w:r>
            <w:r>
              <w:rPr/>
              <w:t>.</w:t>
            </w:r>
          </w:p>
        </w:tc>
      </w:tr>
      <w:tr>
        <w:trPr>
          <w:trHeight w:val="120" w:hRule="atLeast"/>
        </w:trPr>
        <w:tc>
          <w:tcPr>
            <w:tcW w:w="1707" w:type="dxa"/>
            <w:tcBorders/>
            <w:vAlign w:val="center"/>
          </w:tcPr>
          <w:p>
            <w:pPr>
              <w:pStyle w:val="TableContents"/>
              <w:bidi w:val="0"/>
              <w:spacing w:before="0" w:after="283"/>
              <w:jc w:val="left"/>
              <w:rPr>
                <w:sz w:val="4"/>
                <w:szCs w:val="4"/>
              </w:rPr>
            </w:pPr>
            <w:r>
              <w:rPr>
                <w:sz w:val="4"/>
                <w:szCs w:val="4"/>
              </w:rPr>
            </w:r>
          </w:p>
        </w:tc>
        <w:tc>
          <w:tcPr>
            <w:tcW w:w="8498"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283"/>
              <w:jc w:val="left"/>
              <w:rPr>
                <w:b/>
              </w:rPr>
            </w:pPr>
            <w:r>
              <w:rPr>
                <w:b/>
              </w:rPr>
              <w:t>Project:</w:t>
            </w:r>
          </w:p>
        </w:tc>
        <w:tc>
          <w:tcPr>
            <w:tcW w:w="128" w:type="dxa"/>
            <w:tcBorders/>
            <w:vAlign w:val="bottom"/>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The real property on which the Building in which the Premises are located, together with all improvements thereon and appurtenances thereto as described on </w:t>
            </w:r>
            <w:r>
              <w:rPr>
                <w:b/>
              </w:rPr>
              <w:t>Exhibit B</w:t>
            </w:r>
            <w:r>
              <w:rPr/>
              <w:t>.</w:t>
            </w:r>
          </w:p>
        </w:tc>
      </w:tr>
      <w:tr>
        <w:trPr>
          <w:trHeight w:val="120" w:hRule="atLeast"/>
        </w:trPr>
        <w:tc>
          <w:tcPr>
            <w:tcW w:w="1707" w:type="dxa"/>
            <w:tcBorders/>
            <w:vAlign w:val="center"/>
          </w:tcPr>
          <w:p>
            <w:pPr>
              <w:pStyle w:val="TableContents"/>
              <w:bidi w:val="0"/>
              <w:spacing w:before="0" w:after="283"/>
              <w:jc w:val="left"/>
              <w:rPr>
                <w:sz w:val="4"/>
                <w:szCs w:val="4"/>
              </w:rPr>
            </w:pPr>
            <w:r>
              <w:rPr>
                <w:sz w:val="4"/>
                <w:szCs w:val="4"/>
              </w:rPr>
            </w:r>
          </w:p>
        </w:tc>
        <w:tc>
          <w:tcPr>
            <w:tcW w:w="8498"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283"/>
              <w:jc w:val="left"/>
              <w:rPr>
                <w:b/>
              </w:rPr>
            </w:pPr>
            <w:r>
              <w:rPr>
                <w:b/>
              </w:rPr>
              <w:t>Base Rent:</w:t>
            </w:r>
          </w:p>
        </w:tc>
        <w:tc>
          <w:tcPr>
            <w:tcW w:w="128" w:type="dxa"/>
            <w:tcBorders/>
            <w:vAlign w:val="bottom"/>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With respect to the Suite 510 Premises, $79,119.80 per month, and with respect to the Suite 520 Premises, $71,593.78 per month, subject to adjustment pursuant to </w:t>
            </w:r>
            <w:r>
              <w:rPr>
                <w:u w:val="single"/>
              </w:rPr>
              <w:t>Section 4</w:t>
            </w:r>
            <w:r>
              <w:rPr/>
              <w:t>.</w:t>
            </w:r>
          </w:p>
        </w:tc>
      </w:tr>
      <w:tr>
        <w:trPr>
          <w:trHeight w:val="120" w:hRule="atLeast"/>
        </w:trPr>
        <w:tc>
          <w:tcPr>
            <w:tcW w:w="1707" w:type="dxa"/>
            <w:tcBorders/>
            <w:vAlign w:val="center"/>
          </w:tcPr>
          <w:p>
            <w:pPr>
              <w:pStyle w:val="TableContents"/>
              <w:bidi w:val="0"/>
              <w:spacing w:before="0" w:after="283"/>
              <w:jc w:val="left"/>
              <w:rPr>
                <w:sz w:val="4"/>
                <w:szCs w:val="4"/>
              </w:rPr>
            </w:pPr>
            <w:r>
              <w:rPr>
                <w:sz w:val="4"/>
                <w:szCs w:val="4"/>
              </w:rPr>
            </w:r>
          </w:p>
        </w:tc>
        <w:tc>
          <w:tcPr>
            <w:tcW w:w="8498" w:type="dxa"/>
            <w:gridSpan w:val="2"/>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283"/>
              <w:jc w:val="left"/>
              <w:rPr>
                <w:b/>
              </w:rPr>
            </w:pPr>
            <w:r>
              <w:rPr>
                <w:b/>
              </w:rPr>
              <w:t>Security Deposit:</w:t>
            </w:r>
          </w:p>
        </w:tc>
        <w:tc>
          <w:tcPr>
            <w:tcW w:w="128" w:type="dxa"/>
            <w:tcBorders/>
            <w:vAlign w:val="bottom"/>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None</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Target Commencement Date: </w:t>
      </w:r>
      <w:r>
        <w:rPr>
          <w:rFonts w:ascii="Times New Roman" w:hAnsi="Times New Roman"/>
          <w:sz w:val="20"/>
        </w:rPr>
        <w:t xml:space="preserve">December 1, 2024 </w:t>
      </w:r>
    </w:p>
    <w:p>
      <w:pPr>
        <w:pStyle w:val="TextBody"/>
        <w:bidi w:val="0"/>
        <w:spacing w:before="120" w:after="0"/>
        <w:jc w:val="left"/>
        <w:rPr>
          <w:rFonts w:ascii="Times New Roman" w:hAnsi="Times New Roman"/>
          <w:sz w:val="20"/>
        </w:rPr>
      </w:pPr>
      <w:r>
        <w:rPr>
          <w:rFonts w:ascii="Times New Roman" w:hAnsi="Times New Roman"/>
          <w:b/>
          <w:sz w:val="20"/>
        </w:rPr>
        <w:t xml:space="preserve">Rent Adjustment Percentage: </w:t>
      </w:r>
      <w:r>
        <w:rPr>
          <w:rFonts w:ascii="Times New Roman" w:hAnsi="Times New Roman"/>
          <w:sz w:val="20"/>
        </w:rPr>
        <w:t xml:space="preserve">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7"/>
        <w:gridCol w:w="120"/>
        <w:gridCol w:w="8538"/>
      </w:tblGrid>
      <w:tr>
        <w:trPr/>
        <w:tc>
          <w:tcPr>
            <w:tcW w:w="15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38" w:type="dxa"/>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b/>
              </w:rPr>
            </w:pPr>
            <w:r>
              <w:rPr>
                <w:b/>
              </w:rPr>
              <w:t>Base Term:</w:t>
            </w:r>
          </w:p>
        </w:tc>
        <w:tc>
          <w:tcPr>
            <w:tcW w:w="120" w:type="dxa"/>
            <w:tcBorders/>
            <w:vAlign w:val="bottom"/>
          </w:tcPr>
          <w:p>
            <w:pPr>
              <w:pStyle w:val="TableContents"/>
              <w:bidi w:val="0"/>
              <w:spacing w:before="0" w:after="283"/>
              <w:jc w:val="left"/>
              <w:rPr/>
            </w:pPr>
            <w:r>
              <w:rPr/>
              <w:t>  </w:t>
            </w:r>
          </w:p>
        </w:tc>
        <w:tc>
          <w:tcPr>
            <w:tcW w:w="8538" w:type="dxa"/>
            <w:tcBorders/>
          </w:tcPr>
          <w:p>
            <w:pPr>
              <w:pStyle w:val="TableContents"/>
              <w:bidi w:val="0"/>
              <w:spacing w:before="0" w:after="283"/>
              <w:jc w:val="left"/>
              <w:rPr/>
            </w:pPr>
            <w:r>
              <w:rPr/>
              <w:t>Beginning on the Commencement Date and ending 60 months from the Commencement Date. For clarity, if the Commencement Date occurs on the first day of a month, the Base Term shall be measured from that date. If the Commencement Date occurs on a day other than the first day of a month, the Base Term shall be measured from the first day of the following month.</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b/>
              </w:rPr>
            </w:pPr>
            <w:r>
              <w:rPr>
                <w:b/>
              </w:rPr>
              <w:t>Permitted Use:</w:t>
            </w:r>
          </w:p>
        </w:tc>
        <w:tc>
          <w:tcPr>
            <w:tcW w:w="120" w:type="dxa"/>
            <w:tcBorders/>
            <w:vAlign w:val="bottom"/>
          </w:tcPr>
          <w:p>
            <w:pPr>
              <w:pStyle w:val="TableContents"/>
              <w:bidi w:val="0"/>
              <w:spacing w:before="0" w:after="283"/>
              <w:jc w:val="left"/>
              <w:rPr/>
            </w:pPr>
            <w:r>
              <w:rPr/>
              <w:t>  </w:t>
            </w:r>
          </w:p>
        </w:tc>
        <w:tc>
          <w:tcPr>
            <w:tcW w:w="8538" w:type="dxa"/>
            <w:tcBorders/>
          </w:tcPr>
          <w:p>
            <w:pPr>
              <w:pStyle w:val="TableContents"/>
              <w:bidi w:val="0"/>
              <w:spacing w:before="0" w:after="283"/>
              <w:jc w:val="left"/>
              <w:rPr/>
            </w:pPr>
            <w:r>
              <w:rPr/>
              <w:t xml:space="preserve">Research and development laboratory, related office and other related uses consistent with the character of the Project and otherwise in compliance with the provisions of </w:t>
            </w:r>
            <w:r>
              <w:rPr>
                <w:u w:val="single"/>
              </w:rPr>
              <w:t>Section 6</w:t>
            </w:r>
            <w:r>
              <w:rPr/>
              <w:t xml:space="preserve"> hereof.</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6"/>
        <w:gridCol w:w="204"/>
        <w:gridCol w:w="6635"/>
      </w:tblGrid>
      <w:tr>
        <w:trPr/>
        <w:tc>
          <w:tcPr>
            <w:tcW w:w="33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b/>
              </w:rPr>
            </w:pPr>
            <w:r>
              <w:rPr>
                <w:b/>
              </w:rPr>
              <w:t>Address for Rent Payment:</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b/>
              </w:rPr>
            </w:pPr>
            <w:r>
              <w:rPr>
                <w:b/>
              </w:rPr>
              <w:t>Landlords Notice Address:</w:t>
            </w:r>
          </w:p>
        </w:tc>
      </w:tr>
      <w:tr>
        <w:trPr/>
        <w:tc>
          <w:tcPr>
            <w:tcW w:w="3366" w:type="dxa"/>
            <w:tcBorders/>
          </w:tcPr>
          <w:p>
            <w:pPr>
              <w:pStyle w:val="TableContents"/>
              <w:bidi w:val="0"/>
              <w:spacing w:before="0" w:after="283"/>
              <w:jc w:val="left"/>
              <w:rPr/>
            </w:pPr>
            <w:r>
              <w:rPr/>
              <w:t>Alexandria Real Estate Equities, Inc.</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26 North Euclid Avenue</w:t>
            </w:r>
          </w:p>
        </w:tc>
      </w:tr>
      <w:tr>
        <w:trPr/>
        <w:tc>
          <w:tcPr>
            <w:tcW w:w="3366" w:type="dxa"/>
            <w:tcBorders/>
          </w:tcPr>
          <w:p>
            <w:pPr>
              <w:pStyle w:val="TableContents"/>
              <w:bidi w:val="0"/>
              <w:spacing w:before="0" w:after="283"/>
              <w:jc w:val="left"/>
              <w:rPr/>
            </w:pPr>
            <w:r>
              <w:rPr/>
              <w:t>Dept LA 23447</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Pasadena, CA 91101</w:t>
            </w:r>
          </w:p>
        </w:tc>
      </w:tr>
      <w:tr>
        <w:trPr/>
        <w:tc>
          <w:tcPr>
            <w:tcW w:w="3366" w:type="dxa"/>
            <w:tcBorders/>
          </w:tcPr>
          <w:p>
            <w:pPr>
              <w:pStyle w:val="TableContents"/>
              <w:bidi w:val="0"/>
              <w:spacing w:before="0" w:after="283"/>
              <w:jc w:val="left"/>
              <w:rPr/>
            </w:pPr>
            <w:r>
              <w:rPr/>
              <w:t>Pasadena, CA 91185-3447</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Attention: Corporate Secretary</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Tenants Notice Address: </w:t>
      </w:r>
    </w:p>
    <w:p>
      <w:pPr>
        <w:pStyle w:val="TextBody"/>
        <w:bidi w:val="0"/>
        <w:spacing w:before="0" w:after="0"/>
        <w:jc w:val="left"/>
        <w:rPr>
          <w:rFonts w:ascii="Times New Roman" w:hAnsi="Times New Roman"/>
          <w:sz w:val="20"/>
        </w:rPr>
      </w:pPr>
      <w:r>
        <w:rPr>
          <w:rFonts w:ascii="Times New Roman" w:hAnsi="Times New Roman"/>
          <w:sz w:val="20"/>
        </w:rPr>
        <w:t xml:space="preserve">Rapport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1325 Boylston Street, Suite 401 </w:t>
      </w:r>
    </w:p>
    <w:p>
      <w:pPr>
        <w:pStyle w:val="TextBody"/>
        <w:bidi w:val="0"/>
        <w:spacing w:before="0" w:after="0"/>
        <w:jc w:val="left"/>
        <w:rPr>
          <w:rFonts w:ascii="Times New Roman" w:hAnsi="Times New Roman"/>
          <w:sz w:val="20"/>
        </w:rPr>
      </w:pPr>
      <w:r>
        <w:rPr>
          <w:rFonts w:ascii="Times New Roman" w:hAnsi="Times New Roman"/>
          <w:sz w:val="20"/>
        </w:rPr>
        <w:t xml:space="preserve">Boston, MA 02215 </w:t>
      </w:r>
    </w:p>
    <w:p>
      <w:pPr>
        <w:pStyle w:val="TextBody"/>
        <w:bidi w:val="0"/>
        <w:spacing w:before="0" w:after="0"/>
        <w:jc w:val="left"/>
        <w:rPr>
          <w:rFonts w:ascii="Times New Roman" w:hAnsi="Times New Roman"/>
          <w:sz w:val="20"/>
        </w:rPr>
      </w:pPr>
      <w:r>
        <w:rPr>
          <w:rFonts w:ascii="Times New Roman" w:hAnsi="Times New Roman"/>
          <w:sz w:val="20"/>
        </w:rPr>
        <w:t xml:space="preserve">Attention: Cheryl Gault, COO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Lease of Premises;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Generally</w:t>
      </w:r>
      <w:r>
        <w:rPr>
          <w:rFonts w:ascii="Times New Roman" w:hAnsi="Times New Roman"/>
          <w:sz w:val="20"/>
        </w:rPr>
        <w:t>. Landlord hereby leases the Premises to Tenant and Tenant hereby leases the Premises from Landlord. The portions of the Project which are for the non-exclusive use of tenants of the Project (including Tenant) are collectively referred to herein as the </w:t>
      </w:r>
      <w:r>
        <w:rPr>
          <w:rFonts w:ascii="Times New Roman" w:hAnsi="Times New Roman"/>
          <w:b/>
          <w:sz w:val="20"/>
        </w:rPr>
        <w:t>Common Areas</w:t>
      </w:r>
      <w:r>
        <w:rPr>
          <w:rFonts w:ascii="Times New Roman" w:hAnsi="Times New Roman"/>
          <w:sz w:val="20"/>
        </w:rPr>
        <w:t xml:space="preserve">. Landlord reserves the right to modify Common Areas, provided that such modifications do not materially adversely affect Tenants use of or access to the Premises for the Permitted Use. From and after the Commencement Date through the expiration of the Term, Tenant shall have access to the Building and the Premises 24 hours a day, 7 days a week, except for temporary interruptions in the case of emergencies, as the result of Legal Requirements, the performance by Landlord of any installation, maintenance or repairs, or any other temporary interruptions, and otherwise subject to the terms of this 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Services</w:t>
      </w:r>
      <w:r>
        <w:rPr>
          <w:rFonts w:ascii="Times New Roman" w:hAnsi="Times New Roman"/>
          <w:sz w:val="20"/>
        </w:rPr>
        <w:t>. Landlord has engaged the services of a professional operator (together with its successors and/or assigns, the </w:t>
      </w:r>
      <w:r>
        <w:rPr>
          <w:rFonts w:ascii="Times New Roman" w:hAnsi="Times New Roman"/>
          <w:b/>
          <w:sz w:val="20"/>
        </w:rPr>
        <w:t>Operator</w:t>
      </w:r>
      <w:r>
        <w:rPr>
          <w:rFonts w:ascii="Times New Roman" w:hAnsi="Times New Roman"/>
          <w:sz w:val="20"/>
        </w:rPr>
        <w:t>) to provide certain services (</w:t>
      </w:r>
      <w:r>
        <w:rPr>
          <w:rFonts w:ascii="Times New Roman" w:hAnsi="Times New Roman"/>
          <w:b/>
          <w:sz w:val="20"/>
        </w:rPr>
        <w:t>Services</w:t>
      </w:r>
      <w:r>
        <w:rPr>
          <w:rFonts w:ascii="Times New Roman" w:hAnsi="Times New Roman"/>
          <w:sz w:val="20"/>
        </w:rPr>
        <w:t>) in connection with the operation of the Project. Tenant shall enter into a separate agreement with the Operator on the Operators standard form (the </w:t>
      </w:r>
      <w:r>
        <w:rPr>
          <w:rFonts w:ascii="Times New Roman" w:hAnsi="Times New Roman"/>
          <w:b/>
          <w:sz w:val="20"/>
        </w:rPr>
        <w:t>Managed Services Agreement</w:t>
      </w:r>
      <w:r>
        <w:rPr>
          <w:rFonts w:ascii="Times New Roman" w:hAnsi="Times New Roman"/>
          <w:sz w:val="20"/>
        </w:rPr>
        <w:t xml:space="preserve">) for any Services at the Project. Tenant expressly acknowledges that Landlord has no responsibility for the performance by the Operator of any obligations it may have to Tenant under the Managed Services Agreement or any other separate agreement between Tenant and the Operator, and that Tenants obligations under this Lease are not conditioned upon or affected by such separate agreement.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Delivery; Acceptance of Premises; Commencement Date</w:t>
      </w:r>
      <w:r>
        <w:rPr>
          <w:rFonts w:ascii="Times New Roman" w:hAnsi="Times New Roman"/>
          <w:sz w:val="20"/>
        </w:rPr>
        <w:t>. Landlord shall use reasonable efforts to deliver the Premises to Tenant on or before the Target Commencement Date, with Landlords Work substantially completed (</w:t>
      </w:r>
      <w:r>
        <w:rPr>
          <w:rFonts w:ascii="Times New Roman" w:hAnsi="Times New Roman"/>
          <w:b/>
          <w:sz w:val="20"/>
        </w:rPr>
        <w:t>Delivery</w:t>
      </w:r>
      <w:r>
        <w:rPr>
          <w:rFonts w:ascii="Times New Roman" w:hAnsi="Times New Roman"/>
          <w:sz w:val="20"/>
        </w:rPr>
        <w:t> or </w:t>
      </w:r>
      <w:r>
        <w:rPr>
          <w:rFonts w:ascii="Times New Roman" w:hAnsi="Times New Roman"/>
          <w:b/>
          <w:sz w:val="20"/>
        </w:rPr>
        <w:t>Deliver</w:t>
      </w:r>
      <w:r>
        <w:rPr>
          <w:rFonts w:ascii="Times New Roman" w:hAnsi="Times New Roman"/>
          <w:sz w:val="20"/>
        </w:rPr>
        <w:t>). If Landlord fails to timely Deliver the Premises, Landlord shall not be liable to Tenant for any loss or damage resulting therefrom, and this Lease shall not be void or voidable. The </w:t>
      </w:r>
      <w:r>
        <w:rPr>
          <w:rFonts w:ascii="Times New Roman" w:hAnsi="Times New Roman"/>
          <w:b/>
          <w:sz w:val="20"/>
        </w:rPr>
        <w:t>Commencement Date</w:t>
      </w:r>
      <w:r>
        <w:rPr>
          <w:rFonts w:ascii="Times New Roman" w:hAnsi="Times New Roman"/>
          <w:sz w:val="20"/>
        </w:rPr>
        <w:t> shall be the date Landlord Delivers the Premises to Tenant. Notwithstanding the foregoing, in no event shall the Commencement Date be earlier than November 1, 2024</w:t>
      </w:r>
      <w:r>
        <w:rPr>
          <w:rFonts w:ascii="Times New Roman" w:hAnsi="Times New Roman"/>
          <w:i/>
          <w:sz w:val="20"/>
        </w:rPr>
        <w:t xml:space="preserve">. </w:t>
      </w:r>
      <w:r>
        <w:rPr>
          <w:rFonts w:ascii="Times New Roman" w:hAnsi="Times New Roman"/>
          <w:sz w:val="20"/>
        </w:rPr>
        <w:t xml:space="preserve">Provided that Tenant has delivered a certificate of insurance reflecting the insurance coverage required to be maintained by Tenant under </w:t>
      </w:r>
      <w:r>
        <w:rPr>
          <w:rFonts w:ascii="Times New Roman" w:hAnsi="Times New Roman"/>
          <w:sz w:val="20"/>
          <w:u w:val="single"/>
        </w:rPr>
        <w:t>Section 16</w:t>
      </w:r>
      <w:r>
        <w:rPr>
          <w:rFonts w:ascii="Times New Roman" w:hAnsi="Times New Roman"/>
          <w:sz w:val="20"/>
        </w:rPr>
        <w:t>, Landlord shall permit Tenant access to the Premises for a period of up to 5 days prior to the Commencement Date for Tenants installation and setup of furniture, fixtures and equipment (</w:t>
      </w:r>
      <w:r>
        <w:rPr>
          <w:rFonts w:ascii="Times New Roman" w:hAnsi="Times New Roman"/>
          <w:b/>
          <w:sz w:val="20"/>
        </w:rPr>
        <w:t>FF&amp;E Installation</w:t>
      </w:r>
      <w:r>
        <w:rPr>
          <w:rFonts w:ascii="Times New Roman" w:hAnsi="Times New Roman"/>
          <w:sz w:val="20"/>
        </w:rPr>
        <w:t xml:space="preserve">), provided that such FF&amp;E Installation is coordinated with Landlord, and Tenant complies with the terms of this Lease and all other reasonable restrictions and conditions Landlord may impose. The Premises will be delivered to Tenant on the Commencement Date with the fixed and permanent improvements (which, for clarity, excludes the Tenant provided equipment shown) reflected on </w:t>
      </w:r>
      <w:r>
        <w:rPr>
          <w:rFonts w:ascii="Times New Roman" w:hAnsi="Times New Roman"/>
          <w:b/>
          <w:sz w:val="20"/>
        </w:rPr>
        <w:t xml:space="preserve">Exhibit A-1 </w:t>
      </w:r>
      <w:r>
        <w:rPr>
          <w:rFonts w:ascii="Times New Roman" w:hAnsi="Times New Roman"/>
          <w:sz w:val="20"/>
        </w:rPr>
        <w:t xml:space="preserve">and shall be furnished with the furniture, fixtures and equipment described on </w:t>
      </w:r>
      <w:r>
        <w:rPr>
          <w:rFonts w:ascii="Times New Roman" w:hAnsi="Times New Roman"/>
          <w:b/>
          <w:sz w:val="20"/>
        </w:rPr>
        <w:t xml:space="preserve">Exhibit A-2 </w:t>
      </w:r>
      <w:r>
        <w:rPr>
          <w:rFonts w:ascii="Times New Roman" w:hAnsi="Times New Roman"/>
          <w:sz w:val="20"/>
        </w:rPr>
        <w:t>(the </w:t>
      </w:r>
      <w:r>
        <w:rPr>
          <w:rFonts w:ascii="Times New Roman" w:hAnsi="Times New Roman"/>
          <w:b/>
          <w:sz w:val="20"/>
        </w:rPr>
        <w:t>Included FF&amp;E</w:t>
      </w:r>
      <w:r>
        <w:rPr>
          <w:rFonts w:ascii="Times New Roman" w:hAnsi="Times New Roman"/>
          <w:sz w:val="20"/>
        </w:rPr>
        <w:t xml:space="preserve">). For avoidance of doubt, the Included FF&amp;E shall not include the chairs reflected in green on </w:t>
      </w:r>
      <w:r>
        <w:rPr>
          <w:rFonts w:ascii="Times New Roman" w:hAnsi="Times New Roman"/>
          <w:b/>
          <w:sz w:val="20"/>
        </w:rPr>
        <w:t>Exhibit A-2</w:t>
      </w:r>
      <w:r>
        <w:rPr>
          <w:rFonts w:ascii="Times New Roman" w:hAnsi="Times New Roman"/>
          <w:sz w:val="20"/>
        </w:rPr>
        <w:t>, but Tenant shall have the right to purchase and install such chairs at its sole cost and expense. As used herein, the term </w:t>
      </w:r>
      <w:r>
        <w:rPr>
          <w:rFonts w:ascii="Times New Roman" w:hAnsi="Times New Roman"/>
          <w:b/>
          <w:sz w:val="20"/>
        </w:rPr>
        <w:t>Landlords Work</w:t>
      </w:r>
      <w:r>
        <w:rPr>
          <w:rFonts w:ascii="Times New Roman" w:hAnsi="Times New Roman"/>
          <w:sz w:val="20"/>
        </w:rPr>
        <w:t xml:space="preserve"> shall mean the following work which shall be performed by Landlord, at Landlords sole cost and expense: (a) those items noted in the callout boxes on </w:t>
      </w:r>
      <w:r>
        <w:rPr>
          <w:rFonts w:ascii="Times New Roman" w:hAnsi="Times New Roman"/>
          <w:b/>
          <w:sz w:val="20"/>
        </w:rPr>
        <w:t xml:space="preserve">Exhibit A-3 </w:t>
      </w:r>
      <w:r>
        <w:rPr>
          <w:rFonts w:ascii="Times New Roman" w:hAnsi="Times New Roman"/>
          <w:sz w:val="20"/>
        </w:rPr>
        <w:t xml:space="preserve">attached hereto, and (b) all electrical and mechanical modifications required to support the equipment shown on </w:t>
      </w:r>
      <w:r>
        <w:rPr>
          <w:rFonts w:ascii="Times New Roman" w:hAnsi="Times New Roman"/>
          <w:b/>
          <w:sz w:val="20"/>
        </w:rPr>
        <w:t>Exhibit A-3</w:t>
      </w:r>
      <w:r>
        <w:rPr>
          <w:rFonts w:ascii="Times New Roman" w:hAnsi="Times New Roman"/>
          <w:sz w:val="20"/>
        </w:rPr>
        <w:t xml:space="preserve">, and per the equipment list provided by Tenant dated November 11, 2023. In connection with Tenants occupancy of the Premises, Landlord shall provide suite entry signage and include Tenants name on the Building directory. Tenant shall not be responsible for the removal of such suite entry and Building directory signage at the expiration or earlier termination of this Lease. Upon request of either party, Landlord and Tenant shall execute and deliver a written acknowledgment of the Commencement Date and the expiration date of the Term when such are established;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Tenants failure to execute and deliver such acknowledgment shall not affect Landlords rights hereunder. The </w:t>
      </w:r>
      <w:r>
        <w:rPr>
          <w:rFonts w:ascii="Times New Roman" w:hAnsi="Times New Roman"/>
          <w:b/>
          <w:sz w:val="20"/>
        </w:rPr>
        <w:t>Term</w:t>
      </w:r>
      <w:r>
        <w:rPr>
          <w:rFonts w:ascii="Times New Roman" w:hAnsi="Times New Roman"/>
          <w:sz w:val="20"/>
        </w:rPr>
        <w:t xml:space="preserve"> of this Lease shall be the Base Term, as defined above on the first page of this Lease. </w:t>
      </w:r>
    </w:p>
    <w:p>
      <w:pPr>
        <w:pStyle w:val="TextBody"/>
        <w:bidi w:val="0"/>
        <w:spacing w:before="240" w:after="0"/>
        <w:jc w:val="left"/>
        <w:rPr>
          <w:rFonts w:ascii="Times New Roman" w:hAnsi="Times New Roman"/>
          <w:sz w:val="20"/>
        </w:rPr>
      </w:pPr>
      <w:r>
        <w:rPr>
          <w:rFonts w:ascii="Times New Roman" w:hAnsi="Times New Roman"/>
          <w:sz w:val="20"/>
        </w:rPr>
        <w:t xml:space="preserve">Upon Tenants request, within 5 business days following the Commencement Date, Landlord and Tenant shall conduct a walk-through inspection of the Premises, at a time and date reasonably acceptable to Landlord and Tenant, to create a punch list reasonably acceptable to Landlord and Tenant with respect to Landlords Work. Landlord shall be responsible for completing the items reflected on such punch list and will use reasonable efforts to complete such punch list items within a reasonable period after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set forth in this Lease: (i) Tenant shall accept the Premises in their condition as of the Commencement Date; (ii) Landlord shall have no obligation for any defects in the Premises; and (iii) except for punch list items agreed upon by Landlord during the walk-through inspection pursuant to the prior paragraph, Tenants taking possession of the Premises shall be conclusive evidence that Tenant accepts the Premises. Any occupancy of the Premises by Tenant before the Commencement Date shall be subject to all of the terms and conditions of this Lease, excluding the obligation to pay Base Rent or Parking Charges.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Base Rent</w:t>
      </w:r>
      <w:r>
        <w:rPr>
          <w:rFonts w:ascii="Times New Roman" w:hAnsi="Times New Roman"/>
          <w:sz w:val="20"/>
        </w:rPr>
        <w:t xml:space="preserve">.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fractional calendar month shall be prorated. The obligation of Tenant to pay Base Rent and other sums to Landlord and the obligations of Landlord under this Lease are independent obligations. Tenant shall have no right at any time to abate (except for during the Abatement Period (as defined in the immediately following paragraph) or as otherwise expressly provided in this Lease), reduce, or set-off any Rent (as defined below) due hereunder.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contained in this Lease, so long as Tenant is not in default under this Lease beyond any applicable notice and cure periods, Tenant shall not be required to pay Base Rent or Parking Charges with respect to the Premises for the first 10 months after the Commencement Date (the </w:t>
      </w:r>
      <w:r>
        <w:rPr>
          <w:rFonts w:ascii="Times New Roman" w:hAnsi="Times New Roman"/>
          <w:b/>
          <w:sz w:val="20"/>
        </w:rPr>
        <w:t>First Abatement Period</w:t>
      </w:r>
      <w:r>
        <w:rPr>
          <w:rFonts w:ascii="Times New Roman" w:hAnsi="Times New Roman"/>
          <w:sz w:val="20"/>
        </w:rPr>
        <w:t>) and the 58th through 60th months of the Term (the </w:t>
      </w:r>
      <w:r>
        <w:rPr>
          <w:rFonts w:ascii="Times New Roman" w:hAnsi="Times New Roman"/>
          <w:b/>
          <w:sz w:val="20"/>
        </w:rPr>
        <w:t>Second Abatement Period</w:t>
      </w:r>
      <w:r>
        <w:rPr>
          <w:rFonts w:ascii="Times New Roman" w:hAnsi="Times New Roman"/>
          <w:sz w:val="20"/>
        </w:rPr>
        <w:t xml:space="preserve">). For illustration purposes, if the Commencement Date occurs on November 15, 2024, then the end of the First Abatement Period shall be September 14, 2025. Tenant shall commence paying full Base Rent and Parking Charges with respect to the Premises on the day immediately following the expiration of the First Abatement Period. For avoidance of doubt, Base Rent and Parking Charges will also be abated during the Second Abatement Period pursuant to the terms of the first sentence of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Additional Rent</w:t>
      </w:r>
      <w:r>
        <w:rPr>
          <w:rFonts w:ascii="Times New Roman" w:hAnsi="Times New Roman"/>
          <w:sz w:val="20"/>
        </w:rPr>
        <w:t>. In addition to Base Rent, Tenant agrees to pay to Landlord as additional rent </w:t>
      </w:r>
      <w:r>
        <w:rPr>
          <w:rFonts w:ascii="Times New Roman" w:hAnsi="Times New Roman"/>
          <w:b/>
          <w:sz w:val="20"/>
        </w:rPr>
        <w:t>Additional Rent</w:t>
      </w:r>
      <w:r>
        <w:rPr>
          <w:rFonts w:ascii="Times New Roman" w:hAnsi="Times New Roman"/>
          <w:sz w:val="20"/>
        </w:rPr>
        <w:t> any and all other amounts Tenant assumes or agrees to pay under the provisions of this Lease, and any and all other sums that may become due by reason of any default of Tenant or failure to comply with the agreements, terms, covenants and conditions of this Lease to be performed by Tenant, after any applicable notice and cure period. Tenants obligation to pay Base Rent and Additional Rent hereunder are collectively referred to herein as </w:t>
      </w:r>
      <w:r>
        <w:rPr>
          <w:rFonts w:ascii="Times New Roman" w:hAnsi="Times New Roman"/>
          <w:b/>
          <w:sz w:val="20"/>
        </w:rPr>
        <w:t>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Base Rent Adjustments</w:t>
      </w:r>
      <w:r>
        <w:rPr>
          <w:rFonts w:ascii="Times New Roman" w:hAnsi="Times New Roman"/>
          <w:sz w:val="20"/>
        </w:rPr>
        <w:t>. Base Rent shall be increased on each annual anniversary of the first day of the first full month during the Term of this Lease (each an </w:t>
      </w:r>
      <w:r>
        <w:rPr>
          <w:rFonts w:ascii="Times New Roman" w:hAnsi="Times New Roman"/>
          <w:b/>
          <w:sz w:val="20"/>
        </w:rPr>
        <w:t>Adjustment Date</w:t>
      </w:r>
      <w:r>
        <w:rPr>
          <w:rFonts w:ascii="Times New Roman" w:hAnsi="Times New Roman"/>
          <w:sz w:val="20"/>
        </w:rPr>
        <w:t xml:space="preserve">)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Use</w:t>
      </w:r>
      <w:r>
        <w:rPr>
          <w:rFonts w:ascii="Times New Roman" w:hAnsi="Times New Roman"/>
          <w:sz w:val="20"/>
        </w:rPr>
        <w:t>. The Premises shall be used solely for the Permitted Use set forth on page 1 of this Lease, in compliance with all laws, orders, judgments, ordinances, regulations, codes, directives, permits, licenses, covenants and restrictions now or hereafter applicable to the Premises, and the use and occupancy thereof (collectively, </w:t>
      </w:r>
      <w:r>
        <w:rPr>
          <w:rFonts w:ascii="Times New Roman" w:hAnsi="Times New Roman"/>
          <w:b/>
          <w:sz w:val="20"/>
        </w:rPr>
        <w:t>Legal Requirements</w:t>
      </w:r>
      <w:r>
        <w:rPr>
          <w:rFonts w:ascii="Times New Roman" w:hAnsi="Times New Roman"/>
          <w:sz w:val="20"/>
        </w:rPr>
        <w:t xml:space="preserve">). Tenant will use the Premises in a careful, safe and proper manner and will not commit waste, overload the floor or structure of the Premises, subject the Premises to use that would damage the Premises or obstruct or interfere with the rights of Landlord or other tenants or occupants of the Project.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Holding Over</w:t>
      </w:r>
      <w:r>
        <w:rPr>
          <w:rFonts w:ascii="Times New Roman" w:hAnsi="Times New Roman"/>
          <w:sz w:val="20"/>
        </w:rPr>
        <w:t xml:space="preserv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Tenant shall be responsible for all damages suffered by Landlord resulting from or occasioned by Tenants holding over, including consequential damages; provided, however, that if Tenant delivers a written inquiry to Landlord within 30 days prior to the expiration or earlier termination of the Term, Landlord will notify Tenant whether the potential exists for consequential damages. Acceptance by Landlord of Rent after the expiration of the Term or earlier termination of this Lease shall not result in a renewal or reinstatement of this Lease. For avoidance of doubt, during any holding over by Tenant, payments of Rent for any fractional calendar month shall be prorated.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Taxes</w:t>
      </w:r>
      <w:r>
        <w:rPr>
          <w:rFonts w:ascii="Times New Roman" w:hAnsi="Times New Roman"/>
          <w:sz w:val="20"/>
        </w:rPr>
        <w:t>. Landlord shall pay all real property taxes, levies, fees, assessments and governmental charges of any kind, existing as of the Commencement Date or thereafter enacted (collectively referred to as </w:t>
      </w:r>
      <w:r>
        <w:rPr>
          <w:rFonts w:ascii="Times New Roman" w:hAnsi="Times New Roman"/>
          <w:b/>
          <w:sz w:val="20"/>
        </w:rPr>
        <w:t>Taxes</w:t>
      </w:r>
      <w:r>
        <w:rPr>
          <w:rFonts w:ascii="Times New Roman" w:hAnsi="Times New Roman"/>
          <w:sz w:val="20"/>
        </w:rPr>
        <w:t>), imposed on the Project by any federal, state, regional, municipal, local or other governmental authority or agency, including, without limitation, quasi-public agencies (collectively, </w:t>
      </w:r>
      <w:r>
        <w:rPr>
          <w:rFonts w:ascii="Times New Roman" w:hAnsi="Times New Roman"/>
          <w:b/>
          <w:sz w:val="20"/>
        </w:rPr>
        <w:t>Governmental Authority</w:t>
      </w:r>
      <w:r>
        <w:rPr>
          <w:rFonts w:ascii="Times New Roman" w:hAnsi="Times New Roman"/>
          <w:sz w:val="20"/>
        </w:rPr>
        <w:t xml:space="preserve">) during the Term. Notwithstanding anything to the contrary contained herein, Tenant shall pay, prior to delinquency, any and all Taxes levied or assessed against any personal property or trade fixtures placed by Tenant in the Premises, whether levied or assessed against Landlord or Tenant. The amount of any such payment by Landlord of Taxes levied or assessed against any personal property or trade fixtures placed by Tenant in the Premises shall constitute Additional Rent due from Tenant to Landlord within 10 days after written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Parking</w:t>
      </w:r>
      <w:r>
        <w:rPr>
          <w:rFonts w:ascii="Times New Roman" w:hAnsi="Times New Roman"/>
          <w:sz w:val="20"/>
        </w:rPr>
        <w:t xml:space="preserve">. Subject to all applicable Legal Requirements and a Taking (as defined in </w:t>
      </w:r>
      <w:r>
        <w:rPr>
          <w:rFonts w:ascii="Times New Roman" w:hAnsi="Times New Roman"/>
          <w:sz w:val="20"/>
          <w:u w:val="single"/>
        </w:rPr>
        <w:t>Section 17</w:t>
      </w:r>
      <w:r>
        <w:rPr>
          <w:rFonts w:ascii="Times New Roman" w:hAnsi="Times New Roman"/>
          <w:sz w:val="20"/>
        </w:rPr>
        <w:t xml:space="preserve"> below), Tenant shall have the right to use, in common with other tenants of the Project, (i) 22 parking spaces in connection with its occupancy of the Suite 510 Premises (the </w:t>
      </w:r>
      <w:r>
        <w:rPr>
          <w:rFonts w:ascii="Times New Roman" w:hAnsi="Times New Roman"/>
          <w:b/>
          <w:sz w:val="20"/>
        </w:rPr>
        <w:t>Suite 510 Parking Spaces</w:t>
      </w:r>
      <w:r>
        <w:rPr>
          <w:rFonts w:ascii="Times New Roman" w:hAnsi="Times New Roman"/>
          <w:sz w:val="20"/>
        </w:rPr>
        <w:t>), and (ii) 20 parking spaces in connection with its occupancy of the Suite 520 Premises (the </w:t>
      </w:r>
      <w:r>
        <w:rPr>
          <w:rFonts w:ascii="Times New Roman" w:hAnsi="Times New Roman"/>
          <w:b/>
          <w:sz w:val="20"/>
        </w:rPr>
        <w:t>Suite 520 Parking Spaces</w:t>
      </w:r>
      <w:r>
        <w:rPr>
          <w:rFonts w:ascii="Times New Roman" w:hAnsi="Times New Roman"/>
          <w:sz w:val="20"/>
        </w:rPr>
        <w:t xml:space="preserve">), subject in each case to Landlords reasonable rules and regulations and, commencing on the Commencement Date, subject to abatement pursuant to </w:t>
      </w:r>
      <w:r>
        <w:rPr>
          <w:rFonts w:ascii="Times New Roman" w:hAnsi="Times New Roman"/>
          <w:sz w:val="20"/>
          <w:u w:val="single"/>
        </w:rPr>
        <w:t>Section 3(a)</w:t>
      </w:r>
      <w:r>
        <w:rPr>
          <w:rFonts w:ascii="Times New Roman" w:hAnsi="Times New Roman"/>
          <w:sz w:val="20"/>
        </w:rPr>
        <w:t xml:space="preserve"> above, (x) the payment of $1,763.97 per month for the Suite 510 Parking Spaces, and (y) the payment of $1,596.17 per month for the Suite 520 Parking Spaces (collectively, the </w:t>
      </w:r>
      <w:r>
        <w:rPr>
          <w:rFonts w:ascii="Times New Roman" w:hAnsi="Times New Roman"/>
          <w:b/>
          <w:sz w:val="20"/>
        </w:rPr>
        <w:t>Parking Charges</w:t>
      </w:r>
      <w:r>
        <w:rPr>
          <w:rFonts w:ascii="Times New Roman" w:hAnsi="Times New Roman"/>
          <w:sz w:val="20"/>
        </w:rPr>
        <w:t xml:space="preserve">). On each Adjustment Date, the Parking Charges then-payable by Tenant shall be increased by 3%. </w:t>
      </w:r>
    </w:p>
    <w:p>
      <w:pPr>
        <w:pStyle w:val="TextBody"/>
        <w:bidi w:val="0"/>
        <w:spacing w:before="240" w:after="0"/>
        <w:jc w:val="left"/>
        <w:rPr>
          <w:rFonts w:ascii="Times New Roman" w:hAnsi="Times New Roman"/>
          <w:sz w:val="20"/>
        </w:rPr>
      </w:pPr>
      <w:r>
        <w:rPr>
          <w:rFonts w:ascii="Times New Roman" w:hAnsi="Times New Roman"/>
          <w:sz w:val="20"/>
        </w:rPr>
        <w:t xml:space="preserve">Tenant acknowledges and agrees that Landlord may, at Landlords sole option, install a solar carport or other parking structure in the parking areas of the Project following the Commencement Date and that during the period of Landlords construction of such solar carport or other parking structure, Landlord shall have the right to institute parking programs at the Project, provided that such programs are instituted in a non-discriminatory manner, including, without limitation valet parking, and/or make available for use by Tenant an equal number of replacement parking spaces at an off-site location so long as such location is no further and time to travel from such off-site location to the Premises is no longer for Tenant than for any other tenant of the Project who has been allocated parking at an off-site location (which may include, at Landlords sole cost and expense, shuttle service to and from such off-site location), such that Tenant shall continue to have the use of no less than 22 parking spaces in connection with its occupancy of the Suite 510 Premises and 20 parking spaces in connection with its occupancy of the Suite 520 Premises.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Utilities, Services</w:t>
      </w:r>
      <w:r>
        <w:rPr>
          <w:rFonts w:ascii="Times New Roman" w:hAnsi="Times New Roman"/>
          <w:sz w:val="20"/>
        </w:rPr>
        <w:t>. Landlord shall provide to the Premises hot and cold water, electricity, HVAC, light, power, sewer, and other utilities (including fire sprinklers to the extent the Project is plumbed for such services) (collectively, </w:t>
      </w:r>
      <w:r>
        <w:rPr>
          <w:rFonts w:ascii="Times New Roman" w:hAnsi="Times New Roman"/>
          <w:b/>
          <w:sz w:val="20"/>
        </w:rPr>
        <w:t>Utilities</w:t>
      </w:r>
      <w:r>
        <w:rPr>
          <w:rFonts w:ascii="Times New Roman" w:hAnsi="Times New Roman"/>
          <w:sz w:val="20"/>
        </w:rPr>
        <w:t xml:space="preserve">). Landlord shall have no liability for the availability, capacity, quality, continuity or character of service of Utilities, and no termination of this Lease or abatement of fees shall arise due to, nor shall Landlord have any liability due to any loss, cost, claim, damage or expense arising from the availability, capacity, quality, continuity or character of service of Utilities or any interruption, deterioration or removal of any of the foregoing, except as set forth in the immediately following paragraph.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Times New Roman" w:hAnsi="Times New Roman"/>
          <w:b/>
          <w:sz w:val="20"/>
        </w:rPr>
        <w:t>Service Interruption</w:t>
      </w:r>
      <w:r>
        <w:rPr>
          <w:rFonts w:ascii="Times New Roman" w:hAnsi="Times New Roman"/>
          <w:sz w:val="20"/>
        </w:rPr>
        <w:t>),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Times New Roman" w:hAnsi="Times New Roman"/>
          <w:b/>
          <w:sz w:val="20"/>
        </w:rPr>
        <w:t>Essential Services</w:t>
      </w:r>
      <w:r>
        <w:rPr>
          <w:rFonts w:ascii="Times New Roman" w:hAnsi="Times New Roman"/>
          <w:sz w:val="20"/>
        </w:rPr>
        <w:t xml:space="preserve"> shall mean the following services: HVAC service, water, sewer and electricity, but in each case only to the extent that Landlord has an obligation to provide same to Tenant under this Lease. The provisions of this paragraph shall only apply as long as the original Tenant is the tenant occupying the Premises under this Lease and shall not apply to any assignee or sublessee.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Alterations and Tenants Property</w:t>
      </w:r>
      <w:r>
        <w:rPr>
          <w:rFonts w:ascii="Times New Roman" w:hAnsi="Times New Roman"/>
          <w:sz w:val="20"/>
        </w:rPr>
        <w:t>. Tenant shall not make any alterations, additions, or improvements to the Premises of any kind whatsoever (collectively, </w:t>
      </w:r>
      <w:r>
        <w:rPr>
          <w:rFonts w:ascii="Times New Roman" w:hAnsi="Times New Roman"/>
          <w:b/>
          <w:sz w:val="20"/>
        </w:rPr>
        <w:t>Alterations</w:t>
      </w:r>
      <w:r>
        <w:rPr>
          <w:rFonts w:ascii="Times New Roman" w:hAnsi="Times New Roman"/>
          <w:sz w:val="20"/>
        </w:rPr>
        <w:t xml:space="preserve">). Notwithstanding the foregoing, Tenant may make minor alterations with Landlords consent, which may be given or withheld in Landlords sole discretion if any such minor alteration affects the Building structure or any Building Systems (as defined in </w:t>
      </w:r>
      <w:r>
        <w:rPr>
          <w:rFonts w:ascii="Times New Roman" w:hAnsi="Times New Roman"/>
          <w:sz w:val="20"/>
          <w:u w:val="single"/>
        </w:rPr>
        <w:t>Section 12</w:t>
      </w:r>
      <w:r>
        <w:rPr>
          <w:rFonts w:ascii="Times New Roman" w:hAnsi="Times New Roman"/>
          <w:sz w:val="20"/>
        </w:rPr>
        <w:t xml:space="preserve">) and shall not be otherwise unreasonably withheld, conditioned or delayed. Landlord may impose such conditions on Tenant in connection with the commencement, performance and completion of Alterations, as Landlord may deem appropriate in Landlords reasonable discretion. If Landlord approves an Alteration, Landlord shall have the option to handle the construction of such Alteration and the costs of such Alteration shall be reimbursed by Tenant. If Landlord constructs such Alteration, Landlord and its contractors and agents shall have the right to enter the Premises to perform such Alteration, and Tenant shall cooperate with Landlord in connection with the same. If Landlord so elects, Tenant shall remove any Alteration upon the expiration or earlier termination of this Agreement and restore any damage caused by or occasioned as a result of such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Landlords Repairs</w:t>
      </w:r>
      <w:r>
        <w:rPr>
          <w:rFonts w:ascii="Times New Roman" w:hAnsi="Times New Roman"/>
          <w:sz w:val="20"/>
        </w:rPr>
        <w:t>. Landlord shall maintain all of the structural, exterior, parking and other Common Areas of the Project, including HVAC, plumbing, fire sprinklers, elevators and all other building systems serving the Premises and other portions of the Project (</w:t>
      </w:r>
      <w:r>
        <w:rPr>
          <w:rFonts w:ascii="Times New Roman" w:hAnsi="Times New Roman"/>
          <w:b/>
          <w:sz w:val="20"/>
        </w:rPr>
        <w:t>Building Systems</w:t>
      </w:r>
      <w:r>
        <w:rPr>
          <w:rFonts w:ascii="Times New Roman" w:hAnsi="Times New Roman"/>
          <w:sz w:val="20"/>
        </w:rPr>
        <w:t>) in good repair, reasonable wear and tear and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Times New Roman" w:hAnsi="Times New Roman"/>
          <w:b/>
          <w:sz w:val="20"/>
        </w:rPr>
        <w:t>Tenant Parties</w:t>
      </w:r>
      <w:r>
        <w:rPr>
          <w:rFonts w:ascii="Times New Roman" w:hAnsi="Times New Roman"/>
          <w:sz w:val="20"/>
        </w:rPr>
        <w:t xml:space="preserve">) excluded. Losses and damages caused by Tenant or any Tenant Party shall be repaired by Landlord, to the extent not covered by insurance, at Tenants sole cost and expense. Landlord reserves the right to stop building system services when necessary (i) by reason of accident or emergency, or (ii) for planned repairs, alterations or improvements, which are, in the judgment of Landlord, desirable or necessary to be made, until such repairs, alterations or improvements shall have been completed. Landlord shall have no responsibility or liability for failure to supply building system services during any such period of interruption;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Landlord shall give Tenant at least 48 hours advance notice of any planned stoppage of building system services for routine maintenance, repairs, alterations or improvements. Landlord shall use commercially reasonable efforts to minimize interference with Tenants operations in the Premises in connection with the stoppage of Building systems pursuant to this </w:t>
      </w:r>
      <w:r>
        <w:rPr>
          <w:rFonts w:ascii="Times New Roman" w:hAnsi="Times New Roman"/>
          <w:sz w:val="20"/>
          <w:u w:val="single"/>
        </w:rPr>
        <w:t>Section 12</w:t>
      </w:r>
      <w:r>
        <w:rPr>
          <w:rFonts w:ascii="Times New Roman" w:hAnsi="Times New Roman"/>
          <w:sz w:val="20"/>
        </w:rPr>
        <w:t xml:space="preserve"> including, without limitation, stoppages implemented in connection with Landlords maintenance and repair obligations. Repairs required as the result of fire, earthquake, flood, vandalism, war, or similar cause of damage or destruction shall be controlled by </w:t>
      </w:r>
      <w:r>
        <w:rPr>
          <w:rFonts w:ascii="Times New Roman" w:hAnsi="Times New Roman"/>
          <w:sz w:val="20"/>
          <w:u w:val="single"/>
        </w:rPr>
        <w:t>Section 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Tenants Repairs</w:t>
      </w:r>
      <w:r>
        <w:rPr>
          <w:rFonts w:ascii="Times New Roman" w:hAnsi="Times New Roman"/>
          <w:sz w:val="20"/>
        </w:rPr>
        <w:t xml:space="preserve">. Subject to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Tenant, at its expense, shall repair, replace and maintain in good condition, ordinary wear and tear excepted, all portions of the Premises, including, without limitation, entries, doors, ceilings, interior windows, interior walls, and the interior side of demising walls.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Mechanics Liens</w:t>
      </w:r>
      <w:r>
        <w:rPr>
          <w:rFonts w:ascii="Times New Roman" w:hAnsi="Times New Roman"/>
          <w:sz w:val="20"/>
        </w:rPr>
        <w:t xml:space="preserve">. Tenant shall discharge, by bond or otherwise, any mechanics lien filed against the Premises or against the Project for work claimed to have been done for, or materials claimed to have been furnished to, Tenant within 10 days after Tenant receives notice of the filing thereof, at Tenants sole cost and shall otherwise keep the Premises and the Project free from any liens arising out of work performed, materials furnished or obligations incurred by Tenant.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Indemnification</w:t>
      </w:r>
      <w:r>
        <w:rPr>
          <w:rFonts w:ascii="Times New Roman" w:hAnsi="Times New Roman"/>
          <w:sz w:val="20"/>
        </w:rPr>
        <w:t>. Tenant hereby indemnifies and agrees to defend, save and hold Landlord, its officers, directors, employees, managers, agents, sub-agents, constituent entities and lease signators (collectively, </w:t>
      </w:r>
      <w:r>
        <w:rPr>
          <w:rFonts w:ascii="Times New Roman" w:hAnsi="Times New Roman"/>
          <w:b/>
          <w:sz w:val="20"/>
        </w:rPr>
        <w:t>Landlord Indemnified Parties</w:t>
      </w:r>
      <w:r>
        <w:rPr>
          <w:rFonts w:ascii="Times New Roman" w:hAnsi="Times New Roman"/>
          <w:sz w:val="20"/>
        </w:rPr>
        <w:t xml:space="preserve">) harmless from and against any and all claims for injury or death to persons or damage to property (i) occurring within or about the Premises or the Project and arising directly or indirectly out of use or occupancy of the Premises or the Project by Tenant or any Tenant Parties (including, without limitation, any act or neglect by Tenant or any Tenants Parties in or about the Premises or at the Project), except to the extent caused by the willful misconduct or negligence of Landlord, or (ii) arising directly or indirectly out of a breach or default by Tenant in the performance of any of its obligations under this Lease or the Managed Services Agreement, unless caused solely by the willful misconduct or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Insurance</w:t>
      </w:r>
      <w:r>
        <w:rPr>
          <w:rFonts w:ascii="Times New Roman" w:hAnsi="Times New Roman"/>
          <w:sz w:val="20"/>
        </w:rPr>
        <w:t>. Landlord shall maintain such insurance covering the Project as Landlord shall determine. 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Premises. The commercial general liability insurance maintained by Tenant shall name Alexandria Real Estate Equities, Inc., and Landlord, its officers, directors, employees, managers, agents, sub-agents, constituent entities and lease signators (collectively, </w:t>
      </w:r>
      <w:r>
        <w:rPr>
          <w:rFonts w:ascii="Times New Roman" w:hAnsi="Times New Roman"/>
          <w:b/>
          <w:sz w:val="20"/>
        </w:rPr>
        <w:t>Landlord Insured Parties</w:t>
      </w:r>
      <w:r>
        <w:rPr>
          <w:rFonts w:ascii="Times New Roman" w:hAnsi="Times New Roman"/>
          <w:sz w:val="20"/>
        </w:rPr>
        <w:t xml:space="preserve">),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Certificates of insurance showing the limits of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hereunder and showing Landlord as an additional insured, along with reasonable evidence of the payment of premiums for the applicable period, shall be delivered to Landlord by Tenant (i) concurrent with an executed copy of this Lease to Landlord, and (ii) upon each renewal of said insurance. Tenants policy may be a blanket policy with an aggregate per location endorsement which specifically provides that the amount of insurance shall not be prejudiced by other losses covered by the policy. Tenant shall, at least 10 days prior to the expiration of such policies, furnish Landlord with renewal certificates. </w:t>
      </w:r>
    </w:p>
    <w:p>
      <w:pPr>
        <w:pStyle w:val="TextBody"/>
        <w:bidi w:val="0"/>
        <w:spacing w:before="240" w:after="0"/>
        <w:jc w:val="left"/>
        <w:rPr>
          <w:rFonts w:ascii="Times New Roman" w:hAnsi="Times New Roman"/>
          <w:sz w:val="20"/>
        </w:rPr>
      </w:pPr>
      <w:r>
        <w:rPr>
          <w:rFonts w:ascii="Times New Roman" w:hAnsi="Times New Roman"/>
          <w:sz w:val="20"/>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Times New Roman" w:hAnsi="Times New Roman"/>
          <w:b/>
          <w:sz w:val="20"/>
        </w:rPr>
        <w:t>Related Parties</w:t>
      </w:r>
      <w:r>
        <w:rPr>
          <w:rFonts w:ascii="Times New Roman" w:hAnsi="Times New Roman"/>
          <w:sz w:val="20"/>
        </w:rPr>
        <w:t xml:space="preserve">),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Condemnation and Casualty</w:t>
      </w:r>
      <w:r>
        <w:rPr>
          <w:rFonts w:ascii="Times New Roman" w:hAnsi="Times New Roman"/>
          <w:sz w:val="20"/>
        </w:rPr>
        <w:t>. If at any time during the Term the Premises are in whole or in part (i) materially damaged or destroyed by a fire or other casualty or (ii) taken for any public or quasi-public use under governmental law, ordinance, or regulation, or by right of eminent domain, or by private purchase in lieu thereof (a </w:t>
      </w:r>
      <w:r>
        <w:rPr>
          <w:rFonts w:ascii="Times New Roman" w:hAnsi="Times New Roman"/>
          <w:b/>
          <w:sz w:val="20"/>
        </w:rPr>
        <w:t>Taking</w:t>
      </w:r>
      <w:r>
        <w:rPr>
          <w:rFonts w:ascii="Times New Roman" w:hAnsi="Times New Roman"/>
          <w:sz w:val="20"/>
        </w:rPr>
        <w:t xml:space="preserve">), this Lease shall, at the written election of Landlord or Tenant, terminate as of the date of such damage, destruction or Taking. Any statute or regulation which is now or may hereafter be in effect shall have no application to this Lease or any such damage, destruction or Taking, the parties hereto expressly agreeing that this </w:t>
      </w:r>
      <w:r>
        <w:rPr>
          <w:rFonts w:ascii="Times New Roman" w:hAnsi="Times New Roman"/>
          <w:sz w:val="20"/>
          <w:u w:val="single"/>
        </w:rPr>
        <w:t>Section 17</w:t>
      </w:r>
      <w:r>
        <w:rPr>
          <w:rFonts w:ascii="Times New Roman" w:hAnsi="Times New Roman"/>
          <w:sz w:val="20"/>
        </w:rPr>
        <w:t xml:space="preserve"> sets forth their entire understanding and agreement with respect to such matters. Upon any fire or other casualty or Taking, Landlord shall be entitled to receive the entire proceeds of the insurance maintained by Landlord and the entire price or award from any such Taking without, in either case, any payment to Tenant, and Tenant hereby assigns to Landlord Tenants interest, if any, in such proceeds or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personal property and trade fixtures, if a separate award for such items is made to Tenant.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Events of Default</w:t>
      </w:r>
      <w:r>
        <w:rPr>
          <w:rFonts w:ascii="Times New Roman" w:hAnsi="Times New Roman"/>
          <w:sz w:val="20"/>
        </w:rPr>
        <w:t>. Each of the following events shall be a default (</w:t>
      </w:r>
      <w:r>
        <w:rPr>
          <w:rFonts w:ascii="Times New Roman" w:hAnsi="Times New Roman"/>
          <w:b/>
          <w:sz w:val="20"/>
        </w:rPr>
        <w:t>Default</w:t>
      </w:r>
      <w:r>
        <w:rPr>
          <w:rFonts w:ascii="Times New Roman" w:hAnsi="Times New Roman"/>
          <w:sz w:val="20"/>
        </w:rPr>
        <w:t xml:space="preserve">) by Tenant under this Lease: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 Defaults</w:t>
      </w:r>
      <w:r>
        <w:rPr>
          <w:rFonts w:ascii="Times New Roman" w:hAnsi="Times New Roman"/>
          <w:sz w:val="20"/>
        </w:rPr>
        <w:t xml:space="preserve">. Tenant shall fail to pay any installment of Rent or any other payment hereunder when due; provided, however, that Landlord will give Tenant notice and an opportunity to cure any failure to pay Rent within 5 business days of any such notice not more than once in any 12 month period and Tenant agrees that such notice shall be in lieu of and not in addition to, or shall be deemed to be, any notice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Insurance</w:t>
      </w:r>
      <w:r>
        <w:rPr>
          <w:rFonts w:ascii="Times New Roman" w:hAnsi="Times New Roman"/>
          <w:sz w:val="20"/>
        </w:rPr>
        <w:t xml:space="preserve">. Any insurance required to be maintained by Tenant pursuant to this Lease shall be canceled or terminated or shall expire or shall be reduced or materially changed, or Landlord shall receive a notice of nonrenewal of any such insurance and Tenant shall fail to obtain replacement insurance at least 5 days before the expiration of the current coverage.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Cross-Default</w:t>
      </w:r>
      <w:r>
        <w:rPr>
          <w:rFonts w:ascii="Times New Roman" w:hAnsi="Times New Roman"/>
          <w:sz w:val="20"/>
        </w:rPr>
        <w:t xml:space="preserve">. Tenant or any Tenant Party is in default under the Managed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Other Defaults</w:t>
      </w:r>
      <w:r>
        <w:rPr>
          <w:rFonts w:ascii="Times New Roman" w:hAnsi="Times New Roman"/>
          <w:sz w:val="20"/>
        </w:rPr>
        <w:t xml:space="preserve">. Tenant shall fail to comply with any provision of this Lease other than those specifically referred to in this </w:t>
      </w:r>
      <w:r>
        <w:rPr>
          <w:rFonts w:ascii="Times New Roman" w:hAnsi="Times New Roman"/>
          <w:sz w:val="20"/>
          <w:u w:val="single"/>
        </w:rPr>
        <w:t>Section 18</w:t>
      </w:r>
      <w:r>
        <w:rPr>
          <w:rFonts w:ascii="Times New Roman" w:hAnsi="Times New Roman"/>
          <w:sz w:val="20"/>
        </w:rPr>
        <w:t xml:space="preserve">, and, except as otherwise expressly provided herein, such failure shall continue for a period of 30 days after written notice thereof from Landlord to Tenant. Any notice given under this </w:t>
      </w:r>
      <w:r>
        <w:rPr>
          <w:rFonts w:ascii="Times New Roman" w:hAnsi="Times New Roman"/>
          <w:sz w:val="20"/>
          <w:u w:val="single"/>
        </w:rPr>
        <w:t>Section 18(d)</w:t>
      </w:r>
      <w:r>
        <w:rPr>
          <w:rFonts w:ascii="Times New Roman" w:hAnsi="Times New Roman"/>
          <w:sz w:val="20"/>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Times New Roman" w:hAnsi="Times New Roman"/>
          <w:sz w:val="20"/>
          <w:u w:val="single"/>
        </w:rPr>
        <w:t>provided</w:t>
      </w:r>
      <w:r>
        <w:rPr>
          <w:rFonts w:ascii="Times New Roman" w:hAnsi="Times New Roman"/>
          <w:sz w:val="20"/>
        </w:rPr>
        <w:t xml:space="preserve"> that if the nature of Tenants default pursuant to </w:t>
      </w:r>
      <w:r>
        <w:rPr>
          <w:rFonts w:ascii="Times New Roman" w:hAnsi="Times New Roman"/>
          <w:sz w:val="20"/>
          <w:u w:val="single"/>
        </w:rPr>
        <w:t>Section 18(d)</w:t>
      </w:r>
      <w:r>
        <w:rPr>
          <w:rFonts w:ascii="Times New Roman" w:hAnsi="Times New Roman"/>
          <w:sz w:val="20"/>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cure shall be completed no later than 90 days from the date of Landlords notice, provided that, upon request by Landlord from time to time, Tenant shall provide Landlord with detailed written status reports regarding the status of such cure and the actions being taken by Tenant. Notwithstanding the foregoing, if such cure affects any other tenant(s) of the Building or the Project, then such cure must be completed as soon as reasonably possible after the date of Landlords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58"/>
        <w:gridCol w:w="123"/>
        <w:gridCol w:w="4924"/>
      </w:tblGrid>
      <w:tr>
        <w:trPr/>
        <w:tc>
          <w:tcPr>
            <w:tcW w:w="515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24"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b/>
              </w:rPr>
              <w:t>Laboratory</w:t>
            </w:r>
            <w:r>
              <w:rPr/>
              <w:t xml:space="preserve"> </w:t>
            </w:r>
            <w:r>
              <w:rPr>
                <w:b/>
              </w:rPr>
              <w:t>Lease</w:t>
            </w:r>
          </w:p>
        </w:tc>
        <w:tc>
          <w:tcPr>
            <w:tcW w:w="123" w:type="dxa"/>
            <w:tcBorders/>
            <w:vAlign w:val="bottom"/>
          </w:tcPr>
          <w:p>
            <w:pPr>
              <w:pStyle w:val="TableContents"/>
              <w:bidi w:val="0"/>
              <w:spacing w:before="0" w:after="283"/>
              <w:jc w:val="left"/>
              <w:rPr/>
            </w:pPr>
            <w:r>
              <w:rPr/>
              <w:t>  </w:t>
            </w:r>
          </w:p>
        </w:tc>
        <w:tc>
          <w:tcPr>
            <w:tcW w:w="4924" w:type="dxa"/>
            <w:tcBorders/>
          </w:tcPr>
          <w:p>
            <w:pPr>
              <w:pStyle w:val="TableContents"/>
              <w:bidi w:val="0"/>
              <w:spacing w:before="0" w:after="283"/>
              <w:jc w:val="right"/>
              <w:rPr/>
            </w:pPr>
            <w:r>
              <w:rPr>
                <w:b/>
              </w:rPr>
              <w:t>GradLabs/Rapport</w:t>
            </w:r>
            <w:r>
              <w:rPr/>
              <w:t xml:space="preserve"> </w:t>
            </w:r>
            <w:r>
              <w:rPr>
                <w:b/>
              </w:rPr>
              <w:t>Therapeutics,</w:t>
            </w:r>
            <w:r>
              <w:rPr/>
              <w:t xml:space="preserve"> </w:t>
            </w:r>
            <w:r>
              <w:rPr>
                <w:b/>
              </w:rPr>
              <w:t>Inc.</w:t>
            </w:r>
            <w:r>
              <w:rPr/>
              <w:t xml:space="preserve"> </w:t>
            </w:r>
            <w:r>
              <w:rPr>
                <w:b/>
              </w:rPr>
              <w:t>-</w:t>
            </w:r>
            <w:r>
              <w:rPr/>
              <w:t xml:space="preserve"> </w:t>
            </w:r>
            <w:r>
              <w:rPr>
                <w:b/>
              </w:rPr>
              <w:t>Page</w:t>
            </w:r>
            <w:r>
              <w:rPr/>
              <w:t xml:space="preserve"> 7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rPr>
        <w:t>Landlords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 By Landlord; Interest</w:t>
      </w:r>
      <w:r>
        <w:rPr>
          <w:rFonts w:ascii="Times New Roman" w:hAnsi="Times New Roman"/>
          <w:sz w:val="20"/>
        </w:rPr>
        <w:t>. Upon a Default by Tenant hereunder, Landlord may, without waiving or releasing any obligation of Tenant hereunder, make such payment or perform such act. All sums so paid or incurred by Landlord, together with interest thereon, from the date such sums were paid or incurred, at the annual rate equal to 12% per annum or the highest rate permitted by law (the </w:t>
      </w:r>
      <w:r>
        <w:rPr>
          <w:rFonts w:ascii="Times New Roman" w:hAnsi="Times New Roman"/>
          <w:b/>
          <w:sz w:val="20"/>
        </w:rPr>
        <w:t>Default Rate</w:t>
      </w:r>
      <w:r>
        <w:rPr>
          <w:rFonts w:ascii="Times New Roman" w:hAnsi="Times New Roman"/>
          <w:sz w:val="20"/>
        </w:rPr>
        <w:t xml:space="preserve">), whichever is less, shall be payable to Landlord on demand as Additional Rent. Nothing herein shall be construed to create or impose a duty on Landlord to mitigate any damages resulting from Tenants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Late Payment Rent</w:t>
      </w:r>
      <w:r>
        <w:rPr>
          <w:rFonts w:ascii="Times New Roman" w:hAnsi="Times New Roman"/>
          <w:sz w:val="20"/>
        </w:rPr>
        <w:t xml:space="preserve">. Late payment by Tenant to Landlord of Rent and other sums due will cause Landlord to incur costs not contemplated by this Lease, the exact amount of which will be extremely difficult and impracticable to ascertain. Therefore, if any installment of Rent due from Tenant is not received by Landlord within 5 days after the date such payment is due, Tenant shall pay to Landlord an additional sum equal to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Other Remedies</w:t>
      </w:r>
      <w:r>
        <w:rPr>
          <w:rFonts w:ascii="Times New Roman" w:hAnsi="Times New Roman"/>
          <w:sz w:val="20"/>
        </w:rPr>
        <w:t xml:space="preserve">. Upon the occurrence of a Default, Landlord, at its option, without further notice or demand to Tenant, shall have all rights and remedies provided at law or in equity including, without limitation, the right to immediately terminate this Lease and thereafter recover all damages permitted pursuant to California Civil Code Section 1951.2.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b/>
          <w:sz w:val="20"/>
        </w:rPr>
        <w:t>Assignment and Subletting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Prohibition</w:t>
      </w:r>
      <w:r>
        <w:rPr>
          <w:rFonts w:ascii="Times New Roman" w:hAnsi="Times New Roman"/>
          <w:sz w:val="20"/>
        </w:rPr>
        <w:t xml:space="preserve">. Without Landlords prior written consent, but subject to the remaining terms of and on the conditions described in this </w:t>
      </w:r>
      <w:r>
        <w:rPr>
          <w:rFonts w:ascii="Times New Roman" w:hAnsi="Times New Roman"/>
          <w:sz w:val="20"/>
          <w:u w:val="single"/>
        </w:rPr>
        <w:t>Section 20</w:t>
      </w:r>
      <w:r>
        <w:rPr>
          <w:rFonts w:ascii="Times New Roman" w:hAnsi="Times New Roman"/>
          <w:sz w:val="20"/>
        </w:rPr>
        <w:t xml:space="preserve">,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that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that were owners thereof as of the Effective Date to persons or entities who were not owners of shares or other ownership interests of the corporation, partnership or limited liability company as of the Effective Date, shall be deemed an assignment of this Lease requiring the consent of Landlord as provided in this </w:t>
      </w:r>
      <w:r>
        <w:rPr>
          <w:rFonts w:ascii="Times New Roman" w:hAnsi="Times New Roman"/>
          <w:sz w:val="20"/>
          <w:u w:val="single"/>
        </w:rPr>
        <w:t>Section 20</w:t>
      </w:r>
      <w:r>
        <w:rPr>
          <w:rFonts w:ascii="Times New Roman" w:hAnsi="Times New Roman"/>
          <w:sz w:val="20"/>
        </w:rPr>
        <w:t xml:space="preserve">. Notwithstanding the foregoing, (i) any public offering of shares or other ownership interest in Tenant shall not be deemed an assignment, and (ii) Tenant shall have the right to obtain financing from institutional investors (including venture capital funding and corporate partners) which regularly invest in private biotechnology companies or undergo a public offering which results in a change in control of Tenant without such change of control constituting an assignment, and the transactions described in clauses (i) and (ii) of this sentence shall not require Landlord consent under this </w:t>
      </w:r>
      <w:r>
        <w:rPr>
          <w:rFonts w:ascii="Times New Roman" w:hAnsi="Times New Roman"/>
          <w:sz w:val="20"/>
          <w:u w:val="single"/>
        </w:rPr>
        <w:t>Section 20</w:t>
      </w:r>
      <w:r>
        <w:rPr>
          <w:rFonts w:ascii="Times New Roman" w:hAnsi="Times New Roman"/>
          <w:sz w:val="20"/>
        </w:rPr>
        <w:t xml:space="preserve">, provided that (x) with respect to any such financing from institutional investors, Tenant notifies Landlord in writing of the financing at least 5 business days after the closing of the financing, and (y) in no event shall such financing result in a change in use of the Premises from the use contemplated by Tenant at the commencement of the Term. Such prior written notice shall be treated by Landlord as confidential information subject to </w:t>
      </w:r>
      <w:r>
        <w:rPr>
          <w:rFonts w:ascii="Times New Roman" w:hAnsi="Times New Roman"/>
          <w:sz w:val="20"/>
          <w:u w:val="single"/>
        </w:rPr>
        <w:t>Section 36(c)</w:t>
      </w:r>
      <w:r>
        <w:rPr>
          <w:rFonts w:ascii="Times New Roman" w:hAnsi="Times New Roman"/>
          <w:sz w:val="20"/>
        </w:rPr>
        <w:t xml:space="preserve"> below. For avoidance of doubt, Tenant shall not be required to give Landlord prior written notice under this Lease if Tenant is undergoing a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Permitted Transfers</w:t>
      </w:r>
      <w:r>
        <w:rPr>
          <w:rFonts w:ascii="Times New Roman" w:hAnsi="Times New Roman"/>
          <w:sz w:val="20"/>
        </w:rPr>
        <w:t>. If Tenant desires to assign, sublease, hypothecate or otherwise transfer this Lease or sublet the Premises, other than pursuant to a Permitted Assignment (as defined below), then at least 15 business days before the date Tenant desires the assignment or sublease to be effective (the </w:t>
      </w:r>
      <w:r>
        <w:rPr>
          <w:rFonts w:ascii="Times New Roman" w:hAnsi="Times New Roman"/>
          <w:b/>
          <w:sz w:val="20"/>
        </w:rPr>
        <w:t>Assignment Date</w:t>
      </w:r>
      <w:r>
        <w:rPr>
          <w:rFonts w:ascii="Times New Roman" w:hAnsi="Times New Roman"/>
          <w:sz w:val="20"/>
        </w:rPr>
        <w:t>), Tenant shall give Landlord a notice (the </w:t>
      </w:r>
      <w:r>
        <w:rPr>
          <w:rFonts w:ascii="Times New Roman" w:hAnsi="Times New Roman"/>
          <w:b/>
          <w:sz w:val="20"/>
        </w:rPr>
        <w:t>Assignment Notice</w:t>
      </w:r>
      <w:r>
        <w:rPr>
          <w:rFonts w:ascii="Times New Roman" w:hAnsi="Times New Roman"/>
          <w:sz w:val="20"/>
        </w:rPr>
        <w:t xml:space="preserve">) containing such information about the proposed assignee or sublessee, including the proposed use of the Premises and any Hazardous Materials (as defined in </w:t>
      </w:r>
      <w:r>
        <w:rPr>
          <w:rFonts w:ascii="Times New Roman" w:hAnsi="Times New Roman"/>
          <w:sz w:val="20"/>
          <w:u w:val="single"/>
        </w:rPr>
        <w:t>Section 27(e)</w:t>
      </w:r>
      <w:r>
        <w:rPr>
          <w:rFonts w:ascii="Times New Roman" w:hAnsi="Times New Roman"/>
          <w:sz w:val="20"/>
        </w:rPr>
        <w:t xml:space="preserve">)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Landlord may deem reasonably necessary or appropriate to its consideration whether to grant its consent. Landlord may, by giving written notice to Tenant within 15 business days after receipt of the Assignment Notice: (i) grant such consent (provided that Landlord shall further have the right to review and approve or disapprove the proposed form of sublease prior to the effective date of any such subletting); (ii) refuse such consent, in its reasonable discretion; or (iii) with respect to (A) any proposed assignment or transfer of this Lease, or (B) with respect to any proposed subletting (x) for substantially the remainder of the Term of substantially all of the Premises, or (y) for the entire Suite 510 Premises and/or the entire Suite 520 Premises, terminate this Lease with respect to the space described in the Assignment Notice as of the Assignment Date (an </w:t>
      </w:r>
      <w:r>
        <w:rPr>
          <w:rFonts w:ascii="Times New Roman" w:hAnsi="Times New Roman"/>
          <w:b/>
          <w:sz w:val="20"/>
        </w:rPr>
        <w:t>Assignment Termination</w:t>
      </w:r>
      <w:r>
        <w:rPr>
          <w:rFonts w:ascii="Times New Roman" w:hAnsi="Times New Roman"/>
          <w:sz w:val="20"/>
        </w:rPr>
        <w:t>).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or an affiliate of Landlord has received from any prior landlord to the proposed assignee or subtenant a negative report concerning such prior landlords experience with the proposed assignee or subtenant; (7) Landlord or an affiliate of Landlord has experienced previous defaults by or is in litigation with the proposed assignee or subtenant; (8) the use of the Premises by the proposed assignee or subtenant will violate any applicable Legal Requirement; (9) intentionally omitted; (10) the proposed assignee or subtenant is an entity with whom Landlord is negotiating to lease space in the Project; or (11) the assignment or sublease is prohibited by the Holder of a Mortgage encumbering all or a portion of the Project.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Two Thousand Five Hundred Dollars ($2,500)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Times New Roman" w:hAnsi="Times New Roman"/>
          <w:b/>
          <w:sz w:val="20"/>
        </w:rPr>
        <w:t>Permitted Assignment</w:t>
      </w:r>
      <w:r>
        <w:rPr>
          <w:rFonts w:ascii="Times New Roman" w:hAnsi="Times New Roman"/>
          <w:sz w:val="20"/>
        </w:rPr>
        <w:t xml:space="preserve">) shall not be required, provided that Tenant and any assignee or sublessee shall execute a reasonable form of acknowledgment of assignment or sublease, as applicable, acceptable to Landlord on or before the effective date of the Permitted Assignment.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Additional Conditions</w:t>
      </w:r>
      <w:r>
        <w:rPr>
          <w:rFonts w:ascii="Times New Roman" w:hAnsi="Times New Roman"/>
          <w:sz w:val="20"/>
        </w:rPr>
        <w:t xml:space="preserve">. As a condition to any such assignment or subletting, whether or not Landlords consent is required, Landlord may require: </w:t>
      </w:r>
    </w:p>
    <w:p>
      <w:pPr>
        <w:pStyle w:val="TextBody"/>
        <w:bidi w:val="0"/>
        <w:spacing w:before="120" w:after="0"/>
        <w:jc w:val="left"/>
        <w:rPr>
          <w:rFonts w:ascii="Times New Roman" w:hAnsi="Times New Roman"/>
          <w:sz w:val="20"/>
        </w:rPr>
      </w:pPr>
      <w:r>
        <w:rPr>
          <w:rFonts w:ascii="Times New Roman" w:hAnsi="Times New Roman"/>
          <w:sz w:val="20"/>
        </w:rPr>
        <w:t xml:space="preserve">(i) 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no event shall Landlord or its successors or assigns be obligated to accept such attornment; and </w:t>
      </w:r>
    </w:p>
    <w:p>
      <w:pPr>
        <w:pStyle w:val="TextBody"/>
        <w:bidi w:val="0"/>
        <w:spacing w:before="120" w:after="0"/>
        <w:jc w:val="left"/>
        <w:rPr>
          <w:rFonts w:ascii="Times New Roman" w:hAnsi="Times New Roman"/>
          <w:sz w:val="20"/>
        </w:rPr>
      </w:pPr>
      <w:r>
        <w:rPr>
          <w:rFonts w:ascii="Times New Roman" w:hAnsi="Times New Roman"/>
          <w:sz w:val="20"/>
        </w:rPr>
        <w:t xml:space="preserve">(ii) 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 Release of Tenant, Sharing of Excess Rents</w:t>
      </w:r>
      <w:r>
        <w:rPr>
          <w:rFonts w:ascii="Times New Roman" w:hAnsi="Times New Roman"/>
          <w:sz w:val="20"/>
        </w:rPr>
        <w:t>. Notwithstanding any assignment or subletting, Tenant and any guarantor or surety of 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Base Rent and Parking Charges payable under this Lease with respect to the applicable portion of the Premises (excluding however, any Rent payable under this Section) and actual and reasonable and customary brokerage fees, legal costs, market inducements, and any design or construction fees (collectively, the </w:t>
      </w:r>
      <w:r>
        <w:rPr>
          <w:rFonts w:ascii="Times New Roman" w:hAnsi="Times New Roman"/>
          <w:b/>
          <w:sz w:val="20"/>
        </w:rPr>
        <w:t>Sublease/Assignment Costs</w:t>
      </w:r>
      <w:r>
        <w:rPr>
          <w:rFonts w:ascii="Times New Roman" w:hAnsi="Times New Roman"/>
          <w:sz w:val="20"/>
        </w:rPr>
        <w:t>) directly related to and required pursuant to the terms of any such sublease or assignment (</w:t>
      </w:r>
      <w:r>
        <w:rPr>
          <w:rFonts w:ascii="Times New Roman" w:hAnsi="Times New Roman"/>
          <w:b/>
          <w:sz w:val="20"/>
        </w:rPr>
        <w:t>Excess Rents</w:t>
      </w:r>
      <w:r>
        <w:rPr>
          <w:rFonts w:ascii="Times New Roman" w:hAnsi="Times New Roman"/>
          <w:sz w:val="20"/>
        </w:rPr>
        <w:t xml:space="preserve">), then Tenant shall be bound and obligated to pay Landlord as Additional Rent hereunder 50% of such Excess Rent within 10 business days following receipt thereof by Tenant. For the purpose of calculating Excess Rents, the Sublease/Assignment Costs shall be amortized on a straight-lined basis over the term of the applicable sublease or assignment. If Tenant shall sublet the Premises or any part thereof, Tenant hereby immediately and irrevocably assigns to Landlord, as security for Tenants obligations under this Lease, all rent from any such subletting, and Landlord or a receiver for Tenant appointed on Landlords application, may collect such rent and apply it toward Tenants obligations under this Lease; except that, until the occurrence of a Default, Tenant shall have the right to collect such rent.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No Waiver</w:t>
      </w:r>
      <w:r>
        <w:rPr>
          <w:rFonts w:ascii="Times New Roman" w:hAnsi="Times New Roman"/>
          <w:sz w:val="20"/>
        </w:rPr>
        <w:t xml:space="preserve">. The consent by Landlord to an assignment or subletting shall not relieve Tenant or any assignees of this Lease or 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Prior Conduct of Proposed Transferee</w:t>
      </w:r>
      <w:r>
        <w:rPr>
          <w:rFonts w:ascii="Times New Roman" w:hAnsi="Times New Roman"/>
          <w:sz w:val="20"/>
        </w:rPr>
        <w:t xml:space="preserve">. Notwithstanding any other provision of this </w:t>
      </w:r>
      <w:r>
        <w:rPr>
          <w:rFonts w:ascii="Times New Roman" w:hAnsi="Times New Roman"/>
          <w:sz w:val="20"/>
          <w:u w:val="single"/>
        </w:rPr>
        <w:t>Section 20</w:t>
      </w:r>
      <w:r>
        <w:rPr>
          <w:rFonts w:ascii="Times New Roman" w:hAnsi="Times New Roman"/>
          <w:sz w:val="20"/>
        </w:rPr>
        <w:t xml:space="preserve">, if (i) the proposed assignee or sublessee of Tenant has been required by any prior landlord, lender or Governmental Authority to take material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Estoppel Certificate</w:t>
      </w:r>
      <w:r>
        <w:rPr>
          <w:rFonts w:ascii="Times New Roman" w:hAnsi="Times New Roman"/>
          <w:sz w:val="20"/>
        </w:rPr>
        <w:t xml:space="preserve">. Tenant shall, within 10 business days of written notice from Landlord, execute, acknowledge and deliver a statement in writing in any reasonable form reasonably requested by a proposed lender or purchaser.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Prorations</w:t>
      </w:r>
      <w:r>
        <w:rPr>
          <w:rFonts w:ascii="Times New Roman" w:hAnsi="Times New Roman"/>
          <w:sz w:val="20"/>
        </w:rPr>
        <w:t xml:space="preserve">. All prorations required or permitted to be made hereunder shall be made on the basis of a 360 day year and 30 day months.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Rules and Regulations</w:t>
      </w:r>
      <w:r>
        <w:rPr>
          <w:rFonts w:ascii="Times New Roman" w:hAnsi="Times New Roman"/>
          <w:sz w:val="20"/>
        </w:rPr>
        <w:t xml:space="preserve">. Tenant shall, at all times during the Term and any extension thereof, comply with all reasonable rules and regulations at any time or from time to time established by Landlord covering use of the Premises and the Project. The current rules and regulations are attached hereto as </w:t>
      </w:r>
      <w:r>
        <w:rPr>
          <w:rFonts w:ascii="Times New Roman" w:hAnsi="Times New Roman"/>
          <w:b/>
          <w:sz w:val="20"/>
        </w:rPr>
        <w:t>Exhibit D</w:t>
      </w:r>
      <w:r>
        <w:rPr>
          <w:rFonts w:ascii="Times New Roman" w:hAnsi="Times New Roman"/>
          <w:sz w:val="20"/>
        </w:rPr>
        <w:t xml:space="preserve">. Landlord shall not have any liability or obligation for the breach of any rules or regulations by other tenants in the Project and shall not enforce such rules and regulations in a discriminatory manner. If there is a conflict between such rules and regulations and other provisions of this Lease, the terms and provisions of this Lease shall control.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Subordination</w:t>
      </w:r>
      <w:r>
        <w:rPr>
          <w:rFonts w:ascii="Times New Roman" w:hAnsi="Times New Roman"/>
          <w:sz w:val="20"/>
        </w:rPr>
        <w:t xml:space="preserve">. This Lease and Tenants interest and rights hereunder are and shall be subject and 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and/or attornment as shall be requested by any such holder, provided any such instruments contain appropriate tenant non-disturbance provisions. As of the Effective Date, there is no existing mortgage encumbering the Project.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Surrender</w:t>
      </w:r>
      <w:r>
        <w:rPr>
          <w:rFonts w:ascii="Times New Roman" w:hAnsi="Times New Roman"/>
          <w:sz w:val="20"/>
        </w:rPr>
        <w:t xml:space="preserve">. Upon the expiration of the Term or earlier termination of this Lease, Tenant shall (a) surrender the Premises and the Included FF&amp;E to Landlord in the substantially same condition as received (except for any Alterations permitted or required by Landlord to remain in the Premises pursuant to </w:t>
      </w:r>
      <w:r>
        <w:rPr>
          <w:rFonts w:ascii="Times New Roman" w:hAnsi="Times New Roman"/>
          <w:sz w:val="20"/>
          <w:u w:val="single"/>
        </w:rPr>
        <w:t>Section 11)</w:t>
      </w:r>
      <w:r>
        <w:rPr>
          <w:rFonts w:ascii="Times New Roman" w:hAnsi="Times New Roman"/>
          <w:sz w:val="20"/>
        </w:rPr>
        <w:t>, subject to reasonable wear and tear, casualty loss and a Taking, free of Hazardous Materials brought upon, kept, used, stored, handled, treated, generated in, or released or disposed of from, the Premises by any person other than a Landlord and Landlords employees, agents and contractors (collectively, </w:t>
      </w:r>
      <w:r>
        <w:rPr>
          <w:rFonts w:ascii="Times New Roman" w:hAnsi="Times New Roman"/>
          <w:b/>
          <w:sz w:val="20"/>
        </w:rPr>
        <w:t>Tenants HazMat Operations</w:t>
      </w:r>
      <w:r>
        <w:rPr>
          <w:rFonts w:ascii="Times New Roman" w:hAnsi="Times New Roman"/>
          <w:sz w:val="20"/>
        </w:rPr>
        <w:t xml:space="preserve">), free from any residual impact from the Tenant HazMat Operations, and otherwise released for unrestricted use and occupancy, and (b) remove all Tenants property, documents, materials, equipment and products from the Premises. Additionally, Tenant shall provide to Landlord all necessary documentation confirming that all such property, documents, materials, equipment and products have been so removed. Tenant further agrees that, prior to the termination of this Lease, Tenant shall comply, at Tenants sole cost and expense, with any and all rules or procedures reasonably required by Landlord in connection with the surrender and proper decommissioning of the Premises, including, without limitation, following the surrender and decommissioning protocols adopted by Landlord from time to time including, without limitation, the preparation of the decommissioning plan. All obligations of Tenant hereunder not fully performed as of the termination of the Term, including the obligations of Tenant under </w:t>
      </w:r>
      <w:r>
        <w:rPr>
          <w:rFonts w:ascii="Times New Roman" w:hAnsi="Times New Roman"/>
          <w:sz w:val="20"/>
          <w:u w:val="single"/>
        </w:rPr>
        <w:t>Section 27</w:t>
      </w:r>
      <w:r>
        <w:rPr>
          <w:rFonts w:ascii="Times New Roman" w:hAnsi="Times New Roman"/>
          <w:sz w:val="20"/>
        </w:rPr>
        <w:t xml:space="preserve"> hereof, shall survive the expiration or earlier termination of the Term, including, without limitation, indemnity obligations, payment obligations with respect to Rent and obligations concerning the condition and repair of the Premises.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Waiver of Jury Trial</w:t>
      </w:r>
      <w:r>
        <w:rPr>
          <w:rFonts w:ascii="Times New Roman" w:hAnsi="Times New Roman"/>
          <w:sz w:val="20"/>
        </w:rPr>
        <w:t xml:space="preserve">. TO THE EXTENT PERMITTED BY LAW, TENANT AND LANDLORD WAIVE ANY RIGHT 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Environmental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Prohibition/Compliance/Indemnity</w:t>
      </w:r>
      <w:r>
        <w:rPr>
          <w:rFonts w:ascii="Times New Roman" w:hAnsi="Times New Roman"/>
          <w:sz w:val="20"/>
        </w:rPr>
        <w:t xml:space="preserve">. Tenant shall not cause or permit any Hazardous Materials (as hereinafter defined) to be 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for which Tenant is responsible pursuant to this </w:t>
      </w:r>
      <w:r>
        <w:rPr>
          <w:rFonts w:ascii="Times New Roman" w:hAnsi="Times New Roman"/>
          <w:sz w:val="20"/>
          <w:u w:val="single"/>
        </w:rPr>
        <w:t>Section 27</w:t>
      </w:r>
      <w:r>
        <w:rPr>
          <w:rFonts w:ascii="Times New Roman" w:hAnsi="Times New Roman"/>
          <w:sz w:val="20"/>
        </w:rPr>
        <w:t xml:space="preserve">.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not unreasonably be withheld so long as such actions would not potentially have any material adverse long-term or short-term effect on the Premises or the Project. Notwithstanding anything to the contrary contained in </w:t>
      </w:r>
      <w:r>
        <w:rPr>
          <w:rFonts w:ascii="Times New Roman" w:hAnsi="Times New Roman"/>
          <w:sz w:val="20"/>
          <w:u w:val="single"/>
        </w:rPr>
        <w:t>Section 25</w:t>
      </w:r>
      <w:r>
        <w:rPr>
          <w:rFonts w:ascii="Times New Roman" w:hAnsi="Times New Roman"/>
          <w:sz w:val="20"/>
        </w:rPr>
        <w:t xml:space="preserve"> or this </w:t>
      </w:r>
      <w:r>
        <w:rPr>
          <w:rFonts w:ascii="Times New Roman" w:hAnsi="Times New Roman"/>
          <w:sz w:val="20"/>
          <w:u w:val="single"/>
        </w:rPr>
        <w:t>Section 27</w:t>
      </w:r>
      <w:r>
        <w:rPr>
          <w:rFonts w:ascii="Times New Roman" w:hAnsi="Times New Roman"/>
          <w:sz w:val="20"/>
        </w:rPr>
        <w:t xml:space="preserve">, Tenant shall not be responsible for the clean-up or remediation of, and the indemnification and hold harmless obligation set forth in this paragraph shall not apply to (i) contamination in the Premises which Tenant can demonstrate existed in the Premises immediately prior to the Commencement Date, or (ii) the presence of any Hazardous Materials in the Premises which Tenant can prove to Landlords reasonable satisfaction migrated from outside of the Premises into the Premises, unless in either case, the presence of such Hazardous Materials (x) is the result of a breach by Tenant of any of its obligations under this Lease, or (y) was caused, contributed to or exacerbated by Tenant or any Tenant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Business</w:t>
      </w:r>
      <w:r>
        <w:rPr>
          <w:rFonts w:ascii="Times New Roman" w:hAnsi="Times New Roman"/>
          <w:sz w:val="20"/>
        </w:rPr>
        <w:t xml:space="preserve">. Landlord acknowledges that it is not the intent of this </w:t>
      </w:r>
      <w:r>
        <w:rPr>
          <w:rFonts w:ascii="Times New Roman" w:hAnsi="Times New Roman"/>
          <w:sz w:val="20"/>
          <w:u w:val="single"/>
        </w:rPr>
        <w:t>Section 27</w:t>
      </w:r>
      <w:r>
        <w:rPr>
          <w:rFonts w:ascii="Times New Roman" w:hAnsi="Times New Roman"/>
          <w:sz w:val="20"/>
        </w:rPr>
        <w:t xml:space="preserve"> to prohibit Tenant from using the Premises for the Permitted Use. Tenant may operate its business according to prudent industry practices so long as the use or presence of Hazardous Materials is strictly and properly monitored according to all then applicable Environmental Requirements.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Times New Roman" w:hAnsi="Times New Roman"/>
          <w:b/>
          <w:sz w:val="20"/>
        </w:rPr>
        <w:t>Hazardous Materials List</w:t>
      </w:r>
      <w:r>
        <w:rPr>
          <w:rFonts w:ascii="Times New Roman" w:hAnsi="Times New Roman"/>
          <w:sz w:val="20"/>
        </w:rPr>
        <w:t>). Tenant has notified Landlord that Tenants Hazardous Materials inventory will include radioactive materials. For avoidance of doubt, such radioactive materials shall only be used and stored in strict compliance with applicable Environmental Requirements. Upon Landlords request, or any time that Tenant is required to deliver a Hazardous Materials List to any Governmental Authority (e.g., the fire department) in connection with Tenants use or occupancy of the Premises, Tenant shall deliver to Landlord a copy of such Hazardous Materials List. Tenant shall deliver to Landlord true and correct copies of the following documents (the </w:t>
      </w:r>
      <w:r>
        <w:rPr>
          <w:rFonts w:ascii="Times New Roman" w:hAnsi="Times New Roman"/>
          <w:b/>
          <w:sz w:val="20"/>
        </w:rPr>
        <w:t>Haz Mat Documents</w:t>
      </w:r>
      <w:r>
        <w:rPr>
          <w:rFonts w:ascii="Times New Roman" w:hAnsi="Times New Roman"/>
          <w:sz w:val="20"/>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and notice of violations of any Legal Requirements.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 xml:space="preserve">Control Areas. </w:t>
      </w:r>
      <w:r>
        <w:rPr>
          <w:rFonts w:ascii="Times New Roman" w:hAnsi="Times New Roman"/>
          <w:sz w:val="20"/>
        </w:rPr>
        <w:t xml:space="preserve">Tenant shall have the use of 100% of control area 5A in connection with its occupancy of the Suite 510 Premises and 100% of control 5B in connection with its occupancy of the Suite 520 Premises, each as shown on </w:t>
      </w:r>
      <w:r>
        <w:rPr>
          <w:rFonts w:ascii="Times New Roman" w:hAnsi="Times New Roman"/>
          <w:b/>
          <w:sz w:val="20"/>
        </w:rPr>
        <w:t xml:space="preserve">Exhibit A-4 </w:t>
      </w:r>
      <w:r>
        <w:rPr>
          <w:rFonts w:ascii="Times New Roman" w:hAnsi="Times New Roman"/>
          <w:sz w:val="20"/>
        </w:rPr>
        <w:t xml:space="preserve">attached hereto. For the avoidance of doubt, except as otherwise provided in the immediately following paragraph, Tenant shall not have rights with respect to any other control areas at the Project.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Tenants Obligations</w:t>
      </w:r>
      <w:r>
        <w:rPr>
          <w:rFonts w:ascii="Times New Roman" w:hAnsi="Times New Roman"/>
          <w:sz w:val="20"/>
        </w:rPr>
        <w:t xml:space="preserve">. Tenants obligations under this </w:t>
      </w:r>
      <w:r>
        <w:rPr>
          <w:rFonts w:ascii="Times New Roman" w:hAnsi="Times New Roman"/>
          <w:sz w:val="20"/>
          <w:u w:val="single"/>
        </w:rPr>
        <w:t>Section 27</w:t>
      </w:r>
      <w:r>
        <w:rPr>
          <w:rFonts w:ascii="Times New Roman" w:hAnsi="Times New Roman"/>
          <w:sz w:val="20"/>
        </w:rPr>
        <w:t xml:space="preserve"> shall survive the expiration or earlier termination of the Lease. During any period of time after the expiration or earlier termination of this Lease required by Tenant or Landlord to complete the removal from the Premises of any Hazardous Materials for which Tenant is responsible under this Lease (including, without limitation, the release and termination of any licenses or permits restricting the use of the Premises and the completion of the approved decommissioning plan), Tenant shall continue to pay the full Rent in accordance with this Lease for any portion of the Premises not relet by Landlord in Landlords sole discretion, which Rent shall be prorated daily.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Definitions</w:t>
      </w:r>
      <w:r>
        <w:rPr>
          <w:rFonts w:ascii="Times New Roman" w:hAnsi="Times New Roman"/>
          <w:sz w:val="20"/>
        </w:rPr>
        <w:t>. As used herein, the term </w:t>
      </w:r>
      <w:r>
        <w:rPr>
          <w:rFonts w:ascii="Times New Roman" w:hAnsi="Times New Roman"/>
          <w:b/>
          <w:sz w:val="20"/>
        </w:rPr>
        <w:t>Environmental Requirements</w:t>
      </w:r>
      <w:r>
        <w:rPr>
          <w:rFonts w:ascii="Times New Roman" w:hAnsi="Times New Roman"/>
          <w:sz w:val="20"/>
        </w:rPr>
        <w:t> means all applicable present and future statutes, 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Times New Roman" w:hAnsi="Times New Roman"/>
          <w:b/>
          <w:sz w:val="20"/>
        </w:rPr>
        <w:t>Hazardous Materials</w:t>
      </w:r>
      <w:r>
        <w:rPr>
          <w:rFonts w:ascii="Times New Roman" w:hAnsi="Times New Roman"/>
          <w:sz w:val="20"/>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Times New Roman" w:hAnsi="Times New Roman"/>
          <w:b/>
          <w:sz w:val="20"/>
        </w:rPr>
        <w:t>operator</w:t>
      </w:r>
      <w:r>
        <w:rPr>
          <w:rFonts w:ascii="Times New Roman" w:hAnsi="Times New Roman"/>
          <w:sz w:val="20"/>
        </w:rPr>
        <w:t> of Tenants </w:t>
      </w:r>
      <w:r>
        <w:rPr>
          <w:rFonts w:ascii="Times New Roman" w:hAnsi="Times New Roman"/>
          <w:b/>
          <w:sz w:val="20"/>
        </w:rPr>
        <w:t>facility</w:t>
      </w:r>
      <w:r>
        <w:rPr>
          <w:rFonts w:ascii="Times New Roman" w:hAnsi="Times New Roman"/>
          <w:sz w:val="20"/>
        </w:rPr>
        <w:t> and the </w:t>
      </w:r>
      <w:r>
        <w:rPr>
          <w:rFonts w:ascii="Times New Roman" w:hAnsi="Times New Roman"/>
          <w:b/>
          <w:sz w:val="20"/>
        </w:rPr>
        <w:t>owner</w:t>
      </w:r>
      <w:r>
        <w:rPr>
          <w:rFonts w:ascii="Times New Roman" w:hAnsi="Times New Roman"/>
          <w:sz w:val="20"/>
        </w:rPr>
        <w:t xml:space="preserve"> of all Hazardous Materials brought on the Premises by Tenant or any Tenant Party, and the wastes, by-products, or residues generated, resulting, or produced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Tenants Remedies/Limitation of Liability</w:t>
      </w:r>
      <w:r>
        <w:rPr>
          <w:rFonts w:ascii="Times New Roman" w:hAnsi="Times New Roman"/>
          <w:sz w:val="20"/>
        </w:rPr>
        <w:t xml:space="preserve">. Landlord shall not be in default hereunder unless Landlord fails to perform any of its obligations hereunder within 30 days after written notice from Tenant specifying such failure (unless such performance will, due to the nature of the obligation, require a period of time in excess of 30 days, then after such period of time as is reasonably necessary). All obligations of Landlord hereunder shall be construed as covenants, not conditions; and, except as may be otherwise expressly provided in this Lease, Tenant may not terminate this Lease for breach of Landlords obligations hereunder. All obligations of Landlord under this Lease will be binding upon Landlord only during the period of its ownership of the Premises and not thereafter.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rPr>
        <w:t>Inspection and Access</w:t>
      </w:r>
      <w:r>
        <w:rPr>
          <w:rFonts w:ascii="Times New Roman" w:hAnsi="Times New Roman"/>
          <w:sz w:val="20"/>
        </w:rPr>
        <w:t xml:space="preserv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12 months of the Term, to prospective tenants or for any other business purpose. Such advance notice shall include the identity of any third parties that will be entering the Premises. Tenant shall at all times, except in the case of emergencies, have the right to escort Landlord or its agents, representatives, contractors or guests while the same are in the Premises, provided such escort does not materially and adversely affect Landlords access rights hereunder. Landlord shall use reasonable efforts to comply with Tenants written protocol with respect to entering restricted portions of the Premises; provided, however, that a copy of the same has previously been provided to Landlord. </w:t>
      </w:r>
    </w:p>
    <w:p>
      <w:pPr>
        <w:pStyle w:val="TextBody"/>
        <w:bidi w:val="0"/>
        <w:spacing w:before="120" w:after="0"/>
        <w:jc w:val="left"/>
        <w:rPr>
          <w:rFonts w:ascii="Times New Roman" w:hAnsi="Times New Roman"/>
          <w:sz w:val="20"/>
        </w:rPr>
      </w:pPr>
      <w:r>
        <w:rPr>
          <w:rFonts w:ascii="Times New Roman" w:hAnsi="Times New Roman"/>
          <w:sz w:val="20"/>
        </w:rPr>
        <w:t xml:space="preserve">30. </w:t>
      </w:r>
      <w:r>
        <w:rPr>
          <w:rFonts w:ascii="Times New Roman" w:hAnsi="Times New Roman"/>
          <w:b/>
          <w:sz w:val="20"/>
        </w:rPr>
        <w:t>Security</w:t>
      </w:r>
      <w:r>
        <w:rPr>
          <w:rFonts w:ascii="Times New Roman" w:hAnsi="Times New Roman"/>
          <w:sz w:val="20"/>
        </w:rPr>
        <w:t xml:space="preserve">. Tenant acknowledges and agrees that security devices and services, if any, while intended to deter crime may not in given instances prevent theft or other criminal acts and that Landlord is not providing any security services with respect to the Premises.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Brokers</w:t>
      </w:r>
      <w:r>
        <w:rPr>
          <w:rFonts w:ascii="Times New Roman" w:hAnsi="Times New Roman"/>
          <w:sz w:val="20"/>
        </w:rPr>
        <w:t>. Landlord and Tenant each represents and warrants that it has not dealt with any broker, agent or other person (collectively, </w:t>
      </w:r>
      <w:r>
        <w:rPr>
          <w:rFonts w:ascii="Times New Roman" w:hAnsi="Times New Roman"/>
          <w:b/>
          <w:sz w:val="20"/>
        </w:rPr>
        <w:t>Broker</w:t>
      </w:r>
      <w:r>
        <w:rPr>
          <w:rFonts w:ascii="Times New Roman" w:hAnsi="Times New Roman"/>
          <w:sz w:val="20"/>
        </w:rPr>
        <w:t xml:space="preserve">) in connection with this transaction and that no Broker brought about this transaction, other than Jones Lang LaSalle, Cushman &amp; Wakefield and CBRE. Landlord and Tenant each hereby agree to indemnify and hold the other harmless from and against any claims by any Broker, other than the broker, if any named in this </w:t>
      </w:r>
      <w:r>
        <w:rPr>
          <w:rFonts w:ascii="Times New Roman" w:hAnsi="Times New Roman"/>
          <w:sz w:val="20"/>
          <w:u w:val="single"/>
        </w:rPr>
        <w:t>Section 31</w:t>
      </w:r>
      <w:r>
        <w:rPr>
          <w:rFonts w:ascii="Times New Roman" w:hAnsi="Times New Roman"/>
          <w:sz w:val="20"/>
        </w:rPr>
        <w:t xml:space="preserve">, claiming a commission or other form of compensation by virtue of having dealt with Tenant or Landlord, as applicable, with regard to this leasing transaction. Landlord shall be responsible for all commissions due to each of Jones Lang LaSalle, Cushman &amp; Wakefield and CBRE arising out of the execution of this Lease in accordance with the terms of separate written agreements between Landlord and each of Jones Lang LaSalle, Cushman &amp; Wakefield and CBRE.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Limitation on Landlords Liability</w:t>
      </w:r>
      <w:r>
        <w:rPr>
          <w:rFonts w:ascii="Times New Roman" w:hAnsi="Times New Roman"/>
          <w:sz w:val="20"/>
        </w:rPr>
        <w:t xml:space="preserve">. NOTWITHSTANDING ANYTHING SET FORTH HEREIN OR IN ANY OTHER 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Alternative Premises</w:t>
      </w:r>
      <w:r>
        <w:rPr>
          <w:rFonts w:ascii="Times New Roman" w:hAnsi="Times New Roman"/>
          <w:sz w:val="20"/>
        </w:rPr>
        <w:t>. If at any time during the Term of this Lease, Tenant is considering leasing additional or alternative space in the San Diego area, Tenant shall deliver written notice (</w:t>
      </w:r>
      <w:r>
        <w:rPr>
          <w:rFonts w:ascii="Times New Roman" w:hAnsi="Times New Roman"/>
          <w:b/>
          <w:sz w:val="20"/>
        </w:rPr>
        <w:t>Premises Notice</w:t>
      </w:r>
      <w:r>
        <w:rPr>
          <w:rFonts w:ascii="Times New Roman" w:hAnsi="Times New Roman"/>
          <w:sz w:val="20"/>
        </w:rPr>
        <w:t>) to Landlord, which Premises Notice shall include a description of the additional or alternative space desired by Tenant. Tenant agrees that Landlord shall have the right, if it so elects and without any obligation to do so, during the 30 days following such notice, prior to Tenant going out to the market to seek any such additional or alternative space, to offer Tenant additional or alternative premises which satisfy in part or in its entirety the premises being sought by Tenant (</w:t>
      </w:r>
      <w:r>
        <w:rPr>
          <w:rFonts w:ascii="Times New Roman" w:hAnsi="Times New Roman"/>
          <w:b/>
          <w:sz w:val="20"/>
        </w:rPr>
        <w:t>Alternative Premises</w:t>
      </w:r>
      <w:r>
        <w:rPr>
          <w:rFonts w:ascii="Times New Roman" w:hAnsi="Times New Roman"/>
          <w:sz w:val="20"/>
        </w:rPr>
        <w:t>) on market terms at the Project or, if Landlord so elects, at another property in the San Diego area owned or controlled by an entity controlled by, under common control with, or controlling Landlord including, without limitation, any of the constituent members of Landlord or Alexandria Real Estate Equities, Inc. (any such entity, an </w:t>
      </w:r>
      <w:r>
        <w:rPr>
          <w:rFonts w:ascii="Times New Roman" w:hAnsi="Times New Roman"/>
          <w:b/>
          <w:sz w:val="20"/>
        </w:rPr>
        <w:t>Affiliate</w:t>
      </w:r>
      <w:r>
        <w:rPr>
          <w:rFonts w:ascii="Times New Roman" w:hAnsi="Times New Roman"/>
          <w:sz w:val="20"/>
        </w:rPr>
        <w:t xml:space="preserve">). Landlord and/or any Affiliate, as the case may be, shall have the right, if it so elects and without any obligation to do so, to acquire a new project or redevelop any existing project it then owns to provide the Alternative Premises. Tenant shall consider in good faith any Alternative Premises offered to Tenant by Landlord (or its Affiliate), but Tenant shall have no obligation to enter into a new lease for such Alternative Premises with Landlord (or its Affiliate). </w:t>
      </w:r>
    </w:p>
    <w:p>
      <w:pPr>
        <w:pStyle w:val="TextBody"/>
        <w:bidi w:val="0"/>
        <w:spacing w:before="240" w:after="0"/>
        <w:jc w:val="left"/>
        <w:rPr>
          <w:rFonts w:ascii="Times New Roman" w:hAnsi="Times New Roman"/>
          <w:sz w:val="20"/>
        </w:rPr>
      </w:pPr>
      <w:r>
        <w:rPr>
          <w:rFonts w:ascii="Times New Roman" w:hAnsi="Times New Roman"/>
          <w:sz w:val="20"/>
        </w:rPr>
        <w:t xml:space="preserve">If Landlord (or its Affiliate) and Tenant identify an Alternative Premises acceptable to Tenant, Landlord (or its Affiliate) and Tenant shall use good faith efforts to negotiate and enter into a new lease for such Alternative Premises. Such new lease shall otherwise be upon terms and conditions acceptable to Landlord or Affiliate, as the case may be, and Tenant, each in their sole and absolute discretion. If the parties are unable within the 30 days following Tenants notice to (x) identify an Alternative Premises reasonably acceptable to Tenant or (y) come to agreement on a new lease, then Tenant shall be free to pursue any other lease options that it elects. The provisions of this </w:t>
      </w:r>
      <w:r>
        <w:rPr>
          <w:rFonts w:ascii="Times New Roman" w:hAnsi="Times New Roman"/>
          <w:sz w:val="20"/>
          <w:u w:val="single"/>
        </w:rPr>
        <w:t>Section 33</w:t>
      </w:r>
      <w:r>
        <w:rPr>
          <w:rFonts w:ascii="Times New Roman" w:hAnsi="Times New Roman"/>
          <w:sz w:val="20"/>
        </w:rPr>
        <w:t xml:space="preserve"> shall only apply so long as ARE-9880 Campus Point, LLC, or an Affiliate is the owner of the Project.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Tenants Early Termination Right</w:t>
      </w:r>
      <w:r>
        <w:rPr>
          <w:rFonts w:ascii="Times New Roman" w:hAnsi="Times New Roman"/>
          <w:sz w:val="20"/>
        </w:rPr>
        <w:t xml:space="preserve">. Tenant shall have the right, subject to the provisions of this </w:t>
      </w:r>
      <w:r>
        <w:rPr>
          <w:rFonts w:ascii="Times New Roman" w:hAnsi="Times New Roman"/>
          <w:sz w:val="20"/>
          <w:u w:val="single"/>
        </w:rPr>
        <w:t>Section 34</w:t>
      </w:r>
      <w:r>
        <w:rPr>
          <w:rFonts w:ascii="Times New Roman" w:hAnsi="Times New Roman"/>
          <w:sz w:val="20"/>
        </w:rPr>
        <w:t>, to terminate this Lease (the </w:t>
      </w:r>
      <w:r>
        <w:rPr>
          <w:rFonts w:ascii="Times New Roman" w:hAnsi="Times New Roman"/>
          <w:b/>
          <w:sz w:val="20"/>
        </w:rPr>
        <w:t>Tenant Early Termination Right</w:t>
      </w:r>
      <w:r>
        <w:rPr>
          <w:rFonts w:ascii="Times New Roman" w:hAnsi="Times New Roman"/>
          <w:sz w:val="20"/>
        </w:rPr>
        <w:t>) effective on the last day of the 36th full calendar month after the Commencement Date (the </w:t>
      </w:r>
      <w:r>
        <w:rPr>
          <w:rFonts w:ascii="Times New Roman" w:hAnsi="Times New Roman"/>
          <w:b/>
          <w:sz w:val="20"/>
        </w:rPr>
        <w:t>Tenant Early Termination Date</w:t>
      </w:r>
      <w:r>
        <w:rPr>
          <w:rFonts w:ascii="Times New Roman" w:hAnsi="Times New Roman"/>
          <w:sz w:val="20"/>
        </w:rPr>
        <w:t xml:space="preserve">) so long as Tenant delivers written notice to Landlord of its election to exercise the Tenant Early Termination Right no less than 12 months in advance of the Tenant Early Termination Date. If Tenant timely and properly exercises the Tenant Early Termination Right, Tenant shall vacate the Premises and deliver possession thereof to Landlord in the condition required by the terms of this Lease on or before the Tenant Early Termination Date and neither Landlord nor Tenant shall have any further obligations under this Lease after the Tenant Early Termination Date except for those accruing prior to the Tenant Early Termination Date and those which, pursuant to the terms of this Lease, survive the expiration or early termination of this Lease.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rPr>
        <w:t>The Alexandria Regional Amenities</w:t>
      </w:r>
      <w:r>
        <w:rPr>
          <w:rFonts w:ascii="Times New Roman" w:hAnsi="Times New Roman"/>
          <w:sz w:val="20"/>
        </w:rPr>
        <w:t xml:space="preserve">. Tenant shall have the right to use certain amenities in accordance with the terms and conditions set forth in </w:t>
      </w:r>
      <w:r>
        <w:rPr>
          <w:rFonts w:ascii="Times New Roman" w:hAnsi="Times New Roman"/>
          <w:b/>
          <w:sz w:val="20"/>
        </w:rPr>
        <w:t xml:space="preserve">Exhibit C </w:t>
      </w:r>
      <w:r>
        <w:rPr>
          <w:rFonts w:ascii="Times New Roman" w:hAnsi="Times New Roman"/>
          <w:sz w:val="20"/>
        </w:rPr>
        <w:t xml:space="preserve">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If any provision of this Lease is made unenforceable, such shall not affect the enforceability of any other provision. If any action is brought by either party against the other, the prevailing party shall be entitled to recover reasonable attorneys fees. This Lease shall be binding on and inure to the benefit of the successors and permitted assigns of the respective parties. If any clause or provision of this Lease is illegal, invalid or unenforceable under present or future laws, then and in that event, it is the intention of the parties hereto that the remainder of this Agreement shall not be affected thereby. Construction and interpretation of this Lease shall be governed by the internal laws of the State of California, excluding any principles of conflicts of laws. Time is of the essence as to the performance of Tenants and Landlords obligations under this Lease.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Notices</w:t>
      </w:r>
      <w:r>
        <w:rPr>
          <w:rFonts w:ascii="Times New Roman" w:hAnsi="Times New Roman"/>
          <w:sz w:val="20"/>
        </w:rPr>
        <w:t xml:space="preserve">. All notices or other communications between the parties shall be in writing and shall be deemed duly given upon 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Financial Information</w:t>
      </w:r>
      <w:r>
        <w:rPr>
          <w:rFonts w:ascii="Times New Roman" w:hAnsi="Times New Roman"/>
          <w:sz w:val="20"/>
        </w:rPr>
        <w:t xml:space="preserve">. Tenant shall furnish Landlord with true and complete copies of (i) upon Landlords written request on an annual basis, Tenants most recent unaudited (or, to the extent available, audited) annual financial statements, provided, however, that Tenant shall not be required to deliver to Landlord such annual financial statements for any particular year sooner than the date that is 90 days after the end of each of Tenants fiscal years during the Term, (ii) upon Landlords written request on a quarterly basis, Tenants most recent unaudited quarterly financial statements; provided, however, that Tenant shall not be required to deliver to Landlord such quarterly financial statements for any particular quarter sooner that the date that is 45 days after the end of each of Tenants fiscal quarters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and (iii) upon Landlords written request from time to time, updated business plans, including cash flow projections and/or pro forma balance sheets and income statements, all of which shall be treated by Landlord as confidential information belonging to Tenant, (iv) upon Landlords written request from time to time, corporate brochures and/or profiles prepared by Tenant for prospective investors, and (v) upon Landlords written request from time to time, any other financial information or summaries that Tenant typically provides to its lenders or shareholders. Notwithstanding anything to the contrary contained in this Lease, Landlords written request for financial information pursuant to this </w:t>
      </w:r>
      <w:r>
        <w:rPr>
          <w:rFonts w:ascii="Times New Roman" w:hAnsi="Times New Roman"/>
          <w:sz w:val="20"/>
          <w:u w:val="single"/>
        </w:rPr>
        <w:t>Section 36(c)</w:t>
      </w:r>
      <w:r>
        <w:rPr>
          <w:rFonts w:ascii="Times New Roman" w:hAnsi="Times New Roman"/>
          <w:sz w:val="20"/>
        </w:rPr>
        <w:t xml:space="preserve"> may delivered to Tenant via email delivered to </w:t>
      </w:r>
      <w:r>
        <w:rPr>
          <w:rFonts w:ascii="Times New Roman" w:hAnsi="Times New Roman"/>
          <w:sz w:val="20"/>
          <w:u w:val="single"/>
        </w:rPr>
        <w:t>finance@rapportrx.com</w:t>
      </w:r>
      <w:r>
        <w:rPr>
          <w:rFonts w:ascii="Times New Roman" w:hAnsi="Times New Roman"/>
          <w:sz w:val="20"/>
        </w:rPr>
        <w:t xml:space="preserve"> or to such other email address as Tenant provides by written notice. So long as Tenant is a public company and its financial information is publicly available, then the foregoing delivery requirements of this </w:t>
      </w:r>
      <w:r>
        <w:rPr>
          <w:rFonts w:ascii="Times New Roman" w:hAnsi="Times New Roman"/>
          <w:sz w:val="20"/>
          <w:u w:val="single"/>
        </w:rPr>
        <w:t>Section 36(c)</w:t>
      </w:r>
      <w:r>
        <w:rPr>
          <w:rFonts w:ascii="Times New Roman" w:hAnsi="Times New Roman"/>
          <w:sz w:val="20"/>
        </w:rPr>
        <w:t xml:space="preserve">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Landlord agrees to hold the financial statements and other financial information provided under this section in confidence using at least the same degree of care that Landlord uses to protect its own confidential information of a similar nature; </w:t>
      </w:r>
      <w:r>
        <w:rPr>
          <w:rFonts w:ascii="Times New Roman" w:hAnsi="Times New Roman"/>
          <w:sz w:val="20"/>
          <w:u w:val="single"/>
        </w:rPr>
        <w:t>provided</w:t>
      </w:r>
      <w:r>
        <w:rPr>
          <w:rFonts w:ascii="Times New Roman" w:hAnsi="Times New Roman"/>
          <w:sz w:val="20"/>
        </w:rPr>
        <w:t xml:space="preserve">, however, that Landlord may disclose such information to Landlords auditors, attorneys, consultants, lenders, affiliates, prospective purchasers and investors and other third parties as reasonably required in the ordinary course of Landlords operations, provided that Landlord shall request that such parties treat the information as confidential. The obligations of confidentiality hereunder shall not apply to information that was in the public domain at the time it was disclosed to Landlord, entered into the public domain subsequent to the time it was disclosed to Landlord through no fault of Landlord, or was disclosed by Tenant to a third party without any confidentiality restrictions. In addition, Landlord may disclose such information without violating this section to the extent that disclosure is reasonably necessary (x) for Landlord to enforce its rights or defend itself under this Lease; (y) for required submissions to any state or federal regulatory body; or (z) for compliance with a valid order of a court or other governmental body having jurisdiction, or any law, statute, or regulation, provided that, other than in an emergency, before disclosing such information, Landlord shall give Tenant 5 business days prior notice of the same to allow Tenant to obtain a protective order or such other judicial relief.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Recordation</w:t>
      </w:r>
      <w:r>
        <w:rPr>
          <w:rFonts w:ascii="Times New Roman" w:hAnsi="Times New Roman"/>
          <w:sz w:val="20"/>
        </w:rPr>
        <w:t xml:space="preserve">. Neither this Lease nor a memorandum of lease shall be filed by or on behalf of Tenant in any public record.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OFAC</w:t>
      </w:r>
      <w:r>
        <w:rPr>
          <w:rFonts w:ascii="Times New Roman" w:hAnsi="Times New Roman"/>
          <w:sz w:val="20"/>
        </w:rPr>
        <w:t>. Tenant is currently (a) in compliance with and shall at all times during the Term of this Lease remain in compliance with the regulations of the Office of Foreign Assets Control (</w:t>
      </w:r>
      <w:r>
        <w:rPr>
          <w:rFonts w:ascii="Times New Roman" w:hAnsi="Times New Roman"/>
          <w:b/>
          <w:sz w:val="20"/>
        </w:rPr>
        <w:t>OFAC</w:t>
      </w:r>
      <w:r>
        <w:rPr>
          <w:rFonts w:ascii="Times New Roman" w:hAnsi="Times New Roman"/>
          <w:sz w:val="20"/>
        </w:rPr>
        <w:t>) of the U.S. Department of Treasury and any statute, executive order, or regulation relating thereto (collectively, the </w:t>
      </w:r>
      <w:r>
        <w:rPr>
          <w:rFonts w:ascii="Times New Roman" w:hAnsi="Times New Roman"/>
          <w:b/>
          <w:sz w:val="20"/>
        </w:rPr>
        <w:t>OFAC Rules</w:t>
      </w:r>
      <w:r>
        <w:rPr>
          <w:rFonts w:ascii="Times New Roman" w:hAnsi="Times New Roman"/>
          <w:sz w:val="20"/>
        </w:rPr>
        <w:t xml:space="preserve">),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Incorporation by Reference</w:t>
      </w:r>
      <w:r>
        <w:rPr>
          <w:rFonts w:ascii="Times New Roman" w:hAnsi="Times New Roman"/>
          <w:sz w:val="20"/>
        </w:rPr>
        <w:t xml:space="preserve">. All exhibits and addenda attached hereto are hereby incorporated into this Lease and made a part hereof. If there is any conflict between such exhibits or addenda and the terms of this Lease, such exhibits or addenda shall control.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Landlords Proprietary Operations</w:t>
      </w:r>
      <w:r>
        <w:rPr>
          <w:rFonts w:ascii="Times New Roman" w:hAnsi="Times New Roman"/>
          <w:sz w:val="20"/>
        </w:rPr>
        <w:t xml:space="preserve">. Tenant acknowledges that Landlords business operations are proprietary to Landlord. Absent prior written consent from Landlord, Tenant shall hold confidential and will not disclose to third parties, and shall require Tenant Parties to hold confidential and not disclose to third parties, information regarding the systems, controls, equipment, programming, vendors, tenants, and specialized amenities of Landlord. Tenant shall notify Landlord immediately if Tenant becomes aware of any third party contacting Tenant or any Tenant Parties requesting information regarding Landlords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Counterparts</w:t>
      </w:r>
      <w:r>
        <w:rPr>
          <w:rFonts w:ascii="Times New Roman" w:hAnsi="Times New Roman"/>
          <w:sz w:val="20"/>
        </w:rPr>
        <w:t xml:space="preserve">. This Lease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Landlord and Tenant have executed this Lease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8"/>
        <w:gridCol w:w="60"/>
        <w:gridCol w:w="356"/>
        <w:gridCol w:w="60"/>
        <w:gridCol w:w="649"/>
        <w:gridCol w:w="60"/>
        <w:gridCol w:w="2249"/>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b/>
              </w:rPr>
            </w:pPr>
            <w:r>
              <w:rPr>
                <w:b/>
              </w:rPr>
              <w:t>TENANT:</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pPr>
            <w:r>
              <w:rPr>
                <w:b/>
              </w:rPr>
              <w:t>RAPPORT THERAPEUTICS, INC.</w:t>
            </w:r>
            <w:r>
              <w:rPr/>
              <w:t>,</w:t>
            </w:r>
          </w:p>
        </w:tc>
      </w:tr>
      <w:tr>
        <w:trPr/>
        <w:tc>
          <w:tcPr>
            <w:tcW w:w="4082" w:type="dxa"/>
            <w:gridSpan w:val="7"/>
            <w:tcBorders/>
          </w:tcPr>
          <w:p>
            <w:pPr>
              <w:pStyle w:val="TableContents"/>
              <w:bidi w:val="0"/>
              <w:spacing w:before="0" w:after="283"/>
              <w:jc w:val="left"/>
              <w:rPr/>
            </w:pPr>
            <w:r>
              <w:rPr/>
              <w:t>a Delaware corporation</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6"/>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gridSpan w:val="5"/>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Abraham Ceesay</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gridSpan w:val="5"/>
            <w:tcBorders/>
          </w:tcPr>
          <w:p>
            <w:pPr>
              <w:pStyle w:val="TableContents"/>
              <w:bidi w:val="0"/>
              <w:spacing w:before="0" w:after="283"/>
              <w:jc w:val="left"/>
              <w:rPr/>
            </w:pPr>
            <w:r>
              <w:rPr/>
              <w:t>Abraham Ceesay</w:t>
            </w:r>
          </w:p>
        </w:tc>
      </w:tr>
      <w:tr>
        <w:trPr/>
        <w:tc>
          <w:tcPr>
            <w:tcW w:w="648"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74" w:type="dxa"/>
            <w:gridSpan w:val="5"/>
            <w:tcBorders/>
          </w:tcPr>
          <w:p>
            <w:pPr>
              <w:pStyle w:val="TableContents"/>
              <w:bidi w:val="0"/>
              <w:spacing w:before="0" w:after="283"/>
              <w:jc w:val="left"/>
              <w:rPr/>
            </w:pPr>
            <w:r>
              <w:rPr/>
              <w:t>CEO</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pPr>
            <w:r>
              <w:rPr/>
              <w:t xml:space="preserve">☒ </w:t>
            </w:r>
            <w:r>
              <w:rPr/>
              <w:t>I hereby certify that the signature, name, and title above are my signature, name and title</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b/>
              </w:rPr>
            </w:pPr>
            <w:r>
              <w:rPr>
                <w:b/>
              </w:rPr>
              <w:t>LANDLORD:</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pPr>
            <w:r>
              <w:rPr>
                <w:b/>
              </w:rPr>
              <w:t>ARE-9880 CAMPUS POINT, LLC</w:t>
            </w:r>
            <w:r>
              <w:rPr/>
              <w:t>,</w:t>
            </w:r>
          </w:p>
        </w:tc>
      </w:tr>
      <w:tr>
        <w:trPr/>
        <w:tc>
          <w:tcPr>
            <w:tcW w:w="4082" w:type="dxa"/>
            <w:gridSpan w:val="7"/>
            <w:tcBorders/>
          </w:tcPr>
          <w:p>
            <w:pPr>
              <w:pStyle w:val="TableContents"/>
              <w:bidi w:val="0"/>
              <w:spacing w:before="0" w:after="283"/>
              <w:jc w:val="left"/>
              <w:rPr/>
            </w:pPr>
            <w:r>
              <w:rPr/>
              <w:t>a Delaware limited liability company</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6"/>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ALEXANDRIA REAL ESTATE EQUITIES, L.P.,</w:t>
            </w:r>
          </w:p>
          <w:p>
            <w:pPr>
              <w:pStyle w:val="TableContents"/>
              <w:bidi w:val="0"/>
              <w:spacing w:before="0" w:after="0"/>
              <w:jc w:val="left"/>
              <w:rPr>
                <w:rFonts w:ascii="Times New Roman" w:hAnsi="Times New Roman"/>
                <w:sz w:val="20"/>
              </w:rPr>
            </w:pPr>
            <w:r>
              <w:rPr>
                <w:rFonts w:ascii="Times New Roman" w:hAnsi="Times New Roman"/>
                <w:sz w:val="20"/>
              </w:rPr>
              <w:t>a Delaware limited partnership,</w:t>
            </w:r>
          </w:p>
          <w:p>
            <w:pPr>
              <w:pStyle w:val="TableContents"/>
              <w:bidi w:val="0"/>
              <w:spacing w:before="0" w:after="20"/>
              <w:jc w:val="left"/>
              <w:rPr>
                <w:rFonts w:ascii="Times New Roman" w:hAnsi="Times New Roman"/>
                <w:sz w:val="20"/>
              </w:rPr>
            </w:pPr>
            <w:r>
              <w:rPr>
                <w:rFonts w:ascii="Times New Roman" w:hAnsi="Times New Roman"/>
                <w:sz w:val="20"/>
              </w:rPr>
              <w:t>managing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3018" w:type="dxa"/>
            <w:gridSpan w:val="4"/>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958" w:type="dxa"/>
            <w:gridSpan w:val="3"/>
            <w:tcBorders/>
          </w:tcPr>
          <w:p>
            <w:pPr>
              <w:pStyle w:val="TableContents"/>
              <w:bidi w:val="0"/>
              <w:spacing w:before="0" w:after="283"/>
              <w:jc w:val="left"/>
              <w:rPr/>
            </w:pPr>
            <w:r>
              <w:rPr/>
              <w:t>ARE-QRS CORP.,</w:t>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8" w:type="dxa"/>
            <w:gridSpan w:val="3"/>
            <w:tcBorders/>
          </w:tcPr>
          <w:p>
            <w:pPr>
              <w:pStyle w:val="TableContents"/>
              <w:bidi w:val="0"/>
              <w:spacing w:before="0" w:after="283"/>
              <w:jc w:val="left"/>
              <w:rPr/>
            </w:pPr>
            <w:r>
              <w:rPr/>
              <w:t>a Maryland corporation,</w:t>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8" w:type="dxa"/>
            <w:gridSpan w:val="3"/>
            <w:tcBorders/>
          </w:tcPr>
          <w:p>
            <w:pPr>
              <w:pStyle w:val="TableContents"/>
              <w:bidi w:val="0"/>
              <w:spacing w:before="0" w:after="283"/>
              <w:jc w:val="left"/>
              <w:rPr/>
            </w:pPr>
            <w:r>
              <w:rPr/>
              <w:t>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709" w:type="dxa"/>
            <w:gridSpan w:val="2"/>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2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Gary Dean</w:t>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249" w:type="dxa"/>
            <w:tcBorders/>
          </w:tcPr>
          <w:p>
            <w:pPr>
              <w:pStyle w:val="TableContents"/>
              <w:bidi w:val="0"/>
              <w:spacing w:before="0" w:after="283"/>
              <w:jc w:val="left"/>
              <w:rPr/>
            </w:pPr>
            <w:r>
              <w:rPr/>
              <w:t>Gary Dean</w:t>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9"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2249" w:type="dxa"/>
            <w:tcBorders/>
          </w:tcPr>
          <w:p>
            <w:pPr>
              <w:pStyle w:val="TableContents"/>
              <w:bidi w:val="0"/>
              <w:spacing w:before="0" w:after="283"/>
              <w:jc w:val="left"/>
              <w:rPr/>
            </w:pPr>
            <w:r>
              <w:rPr/>
              <w:t>Executive Vice President  Real Estate Legal Affairs</w:t>
            </w:r>
          </w:p>
        </w:tc>
      </w:tr>
    </w:tbl>
    <w:p>
      <w:pPr>
        <w:pStyle w:val="TextBody"/>
        <w:bidi w:val="0"/>
        <w:spacing w:before="0" w:after="0"/>
        <w:jc w:val="right"/>
        <w:rPr>
          <w:rFonts w:ascii="Times New Roman" w:hAnsi="Times New Roman"/>
          <w:b/>
          <w:sz w:val="20"/>
        </w:rPr>
      </w:pPr>
      <w:bookmarkStart w:id="60" w:name="d803738dex211.htm"/>
      <w:bookmarkStart w:id="61" w:name="ksd803738dex211"/>
      <w:bookmarkEnd w:id="60"/>
      <w:bookmarkEnd w:id="61"/>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9"/>
        <w:gridCol w:w="122"/>
        <w:gridCol w:w="4914"/>
      </w:tblGrid>
      <w:tr>
        <w:trPr/>
        <w:tc>
          <w:tcPr>
            <w:tcW w:w="51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14" w:type="dxa"/>
            <w:tcBorders/>
            <w:vAlign w:val="center"/>
          </w:tcPr>
          <w:p>
            <w:pPr>
              <w:pStyle w:val="TableContents"/>
              <w:bidi w:val="0"/>
              <w:spacing w:before="0" w:after="283"/>
              <w:jc w:val="left"/>
              <w:rPr>
                <w:sz w:val="4"/>
                <w:szCs w:val="4"/>
              </w:rPr>
            </w:pPr>
            <w:r>
              <w:rPr>
                <w:sz w:val="4"/>
                <w:szCs w:val="4"/>
              </w:rPr>
            </w:r>
          </w:p>
        </w:tc>
      </w:tr>
      <w:tr>
        <w:trPr/>
        <w:tc>
          <w:tcPr>
            <w:tcW w:w="51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Subsidiary</w:t>
            </w:r>
          </w:p>
        </w:tc>
        <w:tc>
          <w:tcPr>
            <w:tcW w:w="122" w:type="dxa"/>
            <w:tcBorders/>
            <w:vAlign w:val="bottom"/>
          </w:tcPr>
          <w:p>
            <w:pPr>
              <w:pStyle w:val="TableContents"/>
              <w:bidi w:val="0"/>
              <w:spacing w:before="0" w:after="283"/>
              <w:jc w:val="left"/>
              <w:rPr/>
            </w:pPr>
            <w:r>
              <w:rPr/>
              <w:t>  </w:t>
            </w:r>
          </w:p>
        </w:tc>
        <w:tc>
          <w:tcPr>
            <w:tcW w:w="49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Incorporation</w:t>
            </w:r>
          </w:p>
        </w:tc>
      </w:tr>
      <w:tr>
        <w:trPr/>
        <w:tc>
          <w:tcPr>
            <w:tcW w:w="5169" w:type="dxa"/>
            <w:tcBorders/>
          </w:tcPr>
          <w:p>
            <w:pPr>
              <w:pStyle w:val="TableContents"/>
              <w:bidi w:val="0"/>
              <w:spacing w:before="0" w:after="283"/>
              <w:jc w:val="center"/>
              <w:rPr/>
            </w:pPr>
            <w:r>
              <w:rPr/>
              <w:t>Rapport Therapeutics Securities Corporation</w:t>
            </w:r>
          </w:p>
        </w:tc>
        <w:tc>
          <w:tcPr>
            <w:tcW w:w="122" w:type="dxa"/>
            <w:tcBorders/>
            <w:vAlign w:val="bottom"/>
          </w:tcPr>
          <w:p>
            <w:pPr>
              <w:pStyle w:val="TableContents"/>
              <w:bidi w:val="0"/>
              <w:spacing w:before="0" w:after="283"/>
              <w:jc w:val="left"/>
              <w:rPr/>
            </w:pPr>
            <w:r>
              <w:rPr/>
              <w:t>  </w:t>
            </w:r>
          </w:p>
        </w:tc>
        <w:tc>
          <w:tcPr>
            <w:tcW w:w="4914" w:type="dxa"/>
            <w:tcBorders/>
          </w:tcPr>
          <w:p>
            <w:pPr>
              <w:pStyle w:val="TableContents"/>
              <w:bidi w:val="0"/>
              <w:spacing w:before="0" w:after="283"/>
              <w:jc w:val="center"/>
              <w:rPr/>
            </w:pPr>
            <w:r>
              <w:rPr/>
              <w:t>Massachusetts</w:t>
            </w:r>
          </w:p>
        </w:tc>
      </w:tr>
    </w:tbl>
    <w:p>
      <w:pPr>
        <w:pStyle w:val="TextBody"/>
        <w:bidi w:val="0"/>
        <w:spacing w:before="0" w:after="0"/>
        <w:jc w:val="right"/>
        <w:rPr>
          <w:rFonts w:ascii="Times New Roman" w:hAnsi="Times New Roman"/>
          <w:b/>
          <w:sz w:val="20"/>
        </w:rPr>
      </w:pPr>
      <w:bookmarkStart w:id="62" w:name="d803738dex231.htm"/>
      <w:bookmarkStart w:id="63" w:name="ksd803738dex231"/>
      <w:bookmarkEnd w:id="62"/>
      <w:bookmarkEnd w:id="6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this Registration Statement on Form S-1 of Rapport Therapeutics, Inc. of our report dated March 27, 2024 relating to the financial statements of Rapport Therapeutics, Inc., which appears in this Registration Statement.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May 17,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64" w:name="d803738dexfilingfees.htm"/>
      <w:bookmarkStart w:id="65" w:name="ksd803738dexfilingfees"/>
      <w:bookmarkEnd w:id="64"/>
      <w:bookmarkEnd w:id="65"/>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Form S-1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Rapport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Securities </w:t>
      </w:r>
    </w:p>
    <w:p>
      <w:pPr>
        <w:pStyle w:val="TextBody"/>
        <w:bidi w:val="0"/>
        <w:spacing w:before="0" w:after="0"/>
        <w:jc w:val="left"/>
        <w:rPr/>
      </w:pPr>
      <w:r>
        <w:rPr/>
        <w:t> </w:t>
      </w:r>
    </w:p>
    <w:tbl>
      <w:tblPr>
        <w:tblW w:w="10805" w:type="dxa"/>
        <w:jc w:val="center"/>
        <w:tblInd w:w="0" w:type="dxa"/>
        <w:tblLayout w:type="fixed"/>
        <w:tblCellMar>
          <w:top w:w="0" w:type="dxa"/>
          <w:left w:w="0" w:type="dxa"/>
          <w:bottom w:w="0" w:type="dxa"/>
          <w:right w:w="0" w:type="dxa"/>
        </w:tblCellMar>
      </w:tblPr>
      <w:tblGrid>
        <w:gridCol w:w="380"/>
        <w:gridCol w:w="60"/>
        <w:gridCol w:w="1130"/>
        <w:gridCol w:w="60"/>
        <w:gridCol w:w="4250"/>
        <w:gridCol w:w="60"/>
        <w:gridCol w:w="725"/>
        <w:gridCol w:w="60"/>
        <w:gridCol w:w="1460"/>
        <w:gridCol w:w="60"/>
        <w:gridCol w:w="1280"/>
        <w:gridCol w:w="60"/>
        <w:gridCol w:w="122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4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w:t>
            </w:r>
          </w:p>
          <w:p>
            <w:pPr>
              <w:pStyle w:val="TableContents"/>
              <w:bidi w:val="0"/>
              <w:spacing w:before="0" w:after="20"/>
              <w:jc w:val="center"/>
              <w:rPr>
                <w:rFonts w:ascii="Times New Roman" w:hAnsi="Times New Roman"/>
                <w:b/>
                <w:sz w:val="14"/>
              </w:rPr>
            </w:pPr>
            <w:r>
              <w:rPr>
                <w:rFonts w:ascii="Times New Roman" w:hAnsi="Times New Roman"/>
                <w:b/>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5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w:t>
            </w:r>
          </w:p>
          <w:p>
            <w:pPr>
              <w:pStyle w:val="TableContents"/>
              <w:bidi w:val="0"/>
              <w:spacing w:before="0" w:after="0"/>
              <w:jc w:val="center"/>
              <w:rPr>
                <w:rFonts w:ascii="Times New Roman" w:hAnsi="Times New Roman"/>
                <w:b/>
                <w:sz w:val="14"/>
              </w:rPr>
            </w:pPr>
            <w:r>
              <w:rPr>
                <w:rFonts w:ascii="Times New Roman" w:hAnsi="Times New Roman"/>
                <w:b/>
                <w:sz w:val="14"/>
              </w:rPr>
              <w:t>Class</w:t>
            </w:r>
          </w:p>
          <w:p>
            <w:pPr>
              <w:pStyle w:val="TableContents"/>
              <w:bidi w:val="0"/>
              <w:spacing w:before="0" w:after="20"/>
              <w:jc w:val="center"/>
              <w:rPr>
                <w:rFonts w:ascii="Times New Roman" w:hAnsi="Times New Roman"/>
                <w:b/>
                <w:sz w:val="14"/>
              </w:rPr>
            </w:pPr>
            <w:r>
              <w:rPr>
                <w:rFonts w:ascii="Times New Roman" w:hAnsi="Times New Roman"/>
                <w:b/>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Fee</w:t>
            </w:r>
          </w:p>
          <w:p>
            <w:pPr>
              <w:pStyle w:val="TableContents"/>
              <w:bidi w:val="0"/>
              <w:spacing w:before="0" w:after="0"/>
              <w:jc w:val="center"/>
              <w:rPr>
                <w:rFonts w:ascii="Times New Roman" w:hAnsi="Times New Roman"/>
                <w:b/>
                <w:sz w:val="14"/>
              </w:rPr>
            </w:pPr>
            <w:r>
              <w:rPr>
                <w:rFonts w:ascii="Times New Roman" w:hAnsi="Times New Roman"/>
                <w:b/>
                <w:sz w:val="14"/>
              </w:rPr>
              <w:t>Calculation</w:t>
            </w:r>
          </w:p>
          <w:p>
            <w:pPr>
              <w:pStyle w:val="TableContents"/>
              <w:bidi w:val="0"/>
              <w:spacing w:before="0" w:after="20"/>
              <w:jc w:val="center"/>
              <w:rPr>
                <w:rFonts w:ascii="Times New Roman" w:hAnsi="Times New Roman"/>
                <w:b/>
                <w:sz w:val="14"/>
              </w:rPr>
            </w:pPr>
            <w:r>
              <w:rPr>
                <w:rFonts w:ascii="Times New Roman" w:hAnsi="Times New Roman"/>
                <w:b/>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0"/>
              <w:jc w:val="center"/>
              <w:rPr>
                <w:rFonts w:ascii="Times New Roman" w:hAnsi="Times New Roman"/>
                <w:b/>
                <w:sz w:val="14"/>
              </w:rPr>
            </w:pPr>
            <w:r>
              <w:rPr>
                <w:rFonts w:ascii="Times New Roman" w:hAnsi="Times New Roman"/>
                <w:b/>
                <w:sz w:val="14"/>
              </w:rPr>
              <w:t>Aggregate</w:t>
            </w:r>
          </w:p>
          <w:p>
            <w:pPr>
              <w:pStyle w:val="TableContents"/>
              <w:bidi w:val="0"/>
              <w:spacing w:before="0" w:after="0"/>
              <w:jc w:val="center"/>
              <w:rPr>
                <w:rFonts w:ascii="Times New Roman" w:hAnsi="Times New Roman"/>
                <w:b/>
                <w:sz w:val="14"/>
              </w:rPr>
            </w:pPr>
            <w:r>
              <w:rPr>
                <w:rFonts w:ascii="Times New Roman" w:hAnsi="Times New Roman"/>
                <w:b/>
                <w:sz w:val="14"/>
              </w:rPr>
              <w:t>Offering</w:t>
            </w:r>
          </w:p>
          <w:p>
            <w:pPr>
              <w:pStyle w:val="TableContents"/>
              <w:bidi w:val="0"/>
              <w:spacing w:before="0" w:after="20"/>
              <w:jc w:val="center"/>
              <w:rPr>
                <w:rFonts w:ascii="Times New Roman" w:hAnsi="Times New Roman"/>
                <w:b/>
                <w:sz w:val="14"/>
              </w:rPr>
            </w:pPr>
            <w:r>
              <w:rPr>
                <w:rFonts w:ascii="Times New Roman" w:hAnsi="Times New Roman"/>
                <w:b/>
                <w:sz w:val="14"/>
              </w:rPr>
              <w:t>Price(1)(2)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Fee</w:t>
            </w:r>
          </w:p>
          <w:p>
            <w:pPr>
              <w:pStyle w:val="TableContents"/>
              <w:bidi w:val="0"/>
              <w:spacing w:before="0" w:after="20"/>
              <w:jc w:val="center"/>
              <w:rPr>
                <w:rFonts w:ascii="Times New Roman" w:hAnsi="Times New Roman"/>
                <w:b/>
                <w:sz w:val="14"/>
              </w:rPr>
            </w:pPr>
            <w:r>
              <w:rPr>
                <w:rFonts w:ascii="Times New Roman" w:hAnsi="Times New Roman"/>
                <w:b/>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b/>
                <w:sz w:val="14"/>
              </w:rPr>
            </w:pPr>
            <w:r>
              <w:rPr>
                <w:rFonts w:ascii="Times New Roman" w:hAnsi="Times New Roman"/>
                <w:b/>
                <w:sz w:val="14"/>
              </w:rPr>
              <w:t>Amount of</w:t>
            </w:r>
          </w:p>
          <w:p>
            <w:pPr>
              <w:pStyle w:val="TableContents"/>
              <w:bidi w:val="0"/>
              <w:spacing w:before="0" w:after="0"/>
              <w:jc w:val="center"/>
              <w:rPr>
                <w:rFonts w:ascii="Times New Roman" w:hAnsi="Times New Roman"/>
                <w:b/>
                <w:sz w:val="14"/>
              </w:rPr>
            </w:pPr>
            <w:r>
              <w:rPr>
                <w:rFonts w:ascii="Times New Roman" w:hAnsi="Times New Roman"/>
                <w:b/>
                <w:sz w:val="14"/>
              </w:rPr>
              <w:t>Registration</w:t>
            </w:r>
          </w:p>
          <w:p>
            <w:pPr>
              <w:pStyle w:val="TableContents"/>
              <w:bidi w:val="0"/>
              <w:spacing w:before="0" w:after="20"/>
              <w:jc w:val="center"/>
              <w:rPr>
                <w:rFonts w:ascii="Times New Roman" w:hAnsi="Times New Roman"/>
                <w:b/>
                <w:sz w:val="14"/>
              </w:rPr>
            </w:pPr>
            <w:r>
              <w:rPr>
                <w:rFonts w:ascii="Times New Roman" w:hAnsi="Times New Roman"/>
                <w:b/>
                <w:sz w:val="14"/>
              </w:rPr>
              <w:t>Fee</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4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Fees to Be</w:t>
            </w:r>
          </w:p>
          <w:p>
            <w:pPr>
              <w:pStyle w:val="TableContents"/>
              <w:bidi w:val="0"/>
              <w:spacing w:before="0" w:after="20"/>
              <w:jc w:val="center"/>
              <w:rPr>
                <w:rFonts w:ascii="Times New Roman" w:hAnsi="Times New Roman"/>
                <w:sz w:val="20"/>
              </w:rPr>
            </w:pPr>
            <w:r>
              <w:rPr>
                <w:rFonts w:ascii="Times New Roman" w:hAnsi="Times New Roman"/>
                <w:sz w:val="20"/>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center"/>
              <w:rPr/>
            </w:pPr>
            <w:r>
              <w:rPr/>
              <w:t> </w:t>
            </w:r>
            <w:r>
              <w:rPr/>
              <w:t>Equity 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250" w:type="dxa"/>
            <w:tcBorders/>
            <w:vAlign w:val="bottom"/>
          </w:tcPr>
          <w:p>
            <w:pPr>
              <w:pStyle w:val="TableContents"/>
              <w:bidi w:val="0"/>
              <w:spacing w:before="0" w:after="283"/>
              <w:jc w:val="center"/>
              <w:rPr/>
            </w:pPr>
            <w:r>
              <w:rPr/>
              <w:t>Common Stock, par value $0.001 per share 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 </w:t>
            </w:r>
            <w:r>
              <w:rPr/>
              <w:t>$100,000,000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 </w:t>
            </w: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right w:val="single" w:sz="2" w:space="0" w:color="000000"/>
            </w:tcBorders>
            <w:tcMar>
              <w:right w:w="40" w:type="dxa"/>
            </w:tcMar>
            <w:vAlign w:val="bottom"/>
          </w:tcPr>
          <w:p>
            <w:pPr>
              <w:pStyle w:val="TableContents"/>
              <w:bidi w:val="0"/>
              <w:spacing w:before="0" w:after="283"/>
              <w:jc w:val="center"/>
              <w:rPr/>
            </w:pPr>
            <w:r>
              <w:rPr/>
              <w:t> </w:t>
            </w:r>
            <w:r>
              <w:rPr/>
              <w:t>$14,760.00</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85"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225" w:type="dxa"/>
            <w:gridSpan w:val="5"/>
            <w:tcBorders/>
            <w:vAlign w:val="bottom"/>
          </w:tcPr>
          <w:p>
            <w:pPr>
              <w:pStyle w:val="TableContents"/>
              <w:bidi w:val="0"/>
              <w:spacing w:before="0" w:after="283"/>
              <w:jc w:val="right"/>
              <w:rPr>
                <w:b/>
              </w:rPr>
            </w:pPr>
            <w:r>
              <w:rPr>
                <w:b/>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 </w:t>
            </w:r>
            <w:r>
              <w:rPr/>
              <w:t>$100,000,000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right w:val="single" w:sz="2" w:space="0" w:color="000000"/>
            </w:tcBorders>
            <w:tcMar>
              <w:right w:w="40" w:type="dxa"/>
            </w:tcMar>
            <w:vAlign w:val="bottom"/>
          </w:tcPr>
          <w:p>
            <w:pPr>
              <w:pStyle w:val="TableContents"/>
              <w:bidi w:val="0"/>
              <w:spacing w:before="0" w:after="283"/>
              <w:jc w:val="center"/>
              <w:rPr/>
            </w:pPr>
            <w:r>
              <w:rPr/>
              <w:t> </w:t>
            </w:r>
            <w:r>
              <w:rPr/>
              <w:t>$14,760.00</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85"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225" w:type="dxa"/>
            <w:gridSpan w:val="5"/>
            <w:tcBorders/>
            <w:vAlign w:val="bottom"/>
          </w:tcPr>
          <w:p>
            <w:pPr>
              <w:pStyle w:val="TableContents"/>
              <w:bidi w:val="0"/>
              <w:spacing w:before="0" w:after="283"/>
              <w:jc w:val="right"/>
              <w:rPr>
                <w:b/>
              </w:rPr>
            </w:pPr>
            <w:r>
              <w:rPr>
                <w:b/>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85"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225" w:type="dxa"/>
            <w:gridSpan w:val="5"/>
            <w:tcBorders/>
            <w:vAlign w:val="bottom"/>
          </w:tcPr>
          <w:p>
            <w:pPr>
              <w:pStyle w:val="TableContents"/>
              <w:bidi w:val="0"/>
              <w:spacing w:before="0" w:after="283"/>
              <w:jc w:val="right"/>
              <w:rPr>
                <w:b/>
              </w:rPr>
            </w:pPr>
            <w:r>
              <w:rPr>
                <w:b/>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3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6285"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0"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25" w:type="dxa"/>
            <w:gridSpan w:val="5"/>
            <w:tcBorders>
              <w:bottom w:val="single" w:sz="2" w:space="0" w:color="000000"/>
            </w:tcBorders>
            <w:tcMar>
              <w:bottom w:w="28" w:type="dxa"/>
            </w:tcMar>
            <w:vAlign w:val="bottom"/>
          </w:tcPr>
          <w:p>
            <w:pPr>
              <w:pStyle w:val="TableContents"/>
              <w:bidi w:val="0"/>
              <w:spacing w:before="0" w:after="283"/>
              <w:jc w:val="right"/>
              <w:rPr>
                <w:b/>
              </w:rPr>
            </w:pPr>
            <w:r>
              <w:rPr>
                <w:b/>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 </w:t>
            </w:r>
            <w:r>
              <w:rPr/>
              <w:t>$14,760.00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computing the registration fee in accordance with Rule 457(o) under the Securities Act of 1933, as amended.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aggregate offering price of additional shares that the underwriters have the option to purchase.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543</Pages>
  <Words>296480</Words>
  <Characters>1578959</Characters>
  <CharactersWithSpaces>1879697</CharactersWithSpaces>
  <Paragraphs>21384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