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4"/>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220" w:type="dxa"/>
            <w:vAlign w:val="bottom"/>
            <w:gridSpan w:val="2"/>
            <w:vMerge w:val="restart"/>
          </w:tcPr>
          <w:p>
            <w:pPr>
              <w:ind w:left="20"/>
              <w:spacing w:after="0"/>
              <w:rPr>
                <w:rFonts w:ascii="Times New Roman" w:cs="Times New Roman" w:eastAsia="Times New Roman" w:hAnsi="Times New Roman"/>
                <w:sz w:val="21"/>
                <w:szCs w:val="21"/>
                <w:color w:val="0000EE"/>
                <w:w w:val="97"/>
              </w:rPr>
            </w:pPr>
            <w:hyperlink r:id="rId13">
              <w:r>
                <w:rPr>
                  <w:rFonts w:ascii="Times New Roman" w:cs="Times New Roman" w:eastAsia="Times New Roman" w:hAnsi="Times New Roman"/>
                  <w:sz w:val="21"/>
                  <w:szCs w:val="21"/>
                  <w:color w:val="0000EE"/>
                  <w:w w:val="97"/>
                </w:rPr>
                <w:t>Huber Reid M</w:t>
              </w:r>
            </w:hyperlink>
          </w:p>
        </w:tc>
        <w:tc>
          <w:tcPr>
            <w:tcW w:w="12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Rapport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RAPP</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2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0" w:type="dxa"/>
            <w:vAlign w:val="bottom"/>
            <w:tcBorders>
              <w:bottom w:val="single" w:sz="8" w:color="0000EE"/>
            </w:tcBorders>
          </w:tcPr>
          <w:p>
            <w:pPr>
              <w:spacing w:after="0"/>
              <w:rPr>
                <w:sz w:val="6"/>
                <w:szCs w:val="6"/>
                <w:color w:val="auto"/>
              </w:rPr>
            </w:pPr>
          </w:p>
        </w:tc>
        <w:tc>
          <w:tcPr>
            <w:tcW w:w="15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2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0" w:type="dxa"/>
            <w:vAlign w:val="bottom"/>
            <w:tcBorders>
              <w:top w:val="single" w:sz="8" w:color="0000EE"/>
            </w:tcBorders>
          </w:tcPr>
          <w:p>
            <w:pPr>
              <w:spacing w:after="0"/>
              <w:rPr>
                <w:sz w:val="6"/>
                <w:szCs w:val="6"/>
                <w:color w:val="auto"/>
              </w:rPr>
            </w:pPr>
          </w:p>
        </w:tc>
        <w:tc>
          <w:tcPr>
            <w:tcW w:w="12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240" w:type="dxa"/>
            <w:vAlign w:val="bottom"/>
            <w:vMerge w:val="restart"/>
          </w:tcPr>
          <w:p>
            <w:pPr>
              <w:ind w:left="2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3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06/10/2026</w:t>
            </w:r>
          </w:p>
        </w:tc>
        <w:tc>
          <w:tcPr>
            <w:tcW w:w="15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w w:val="97"/>
              </w:rPr>
              <w:t>RAPPORT THERAPEUTICS, INC.</w:t>
            </w:r>
          </w:p>
        </w:tc>
        <w:tc>
          <w:tcPr>
            <w:tcW w:w="1200" w:type="dxa"/>
            <w:vAlign w:val="bottom"/>
          </w:tcPr>
          <w:p>
            <w:pPr>
              <w:spacing w:after="0"/>
              <w:rPr>
                <w:sz w:val="10"/>
                <w:szCs w:val="10"/>
                <w:color w:val="auto"/>
              </w:rPr>
            </w:pPr>
          </w:p>
        </w:tc>
        <w:tc>
          <w:tcPr>
            <w:tcW w:w="2360" w:type="dxa"/>
            <w:vAlign w:val="bottom"/>
            <w:gridSpan w:val="3"/>
            <w:vMerge w:val="continue"/>
          </w:tcPr>
          <w:p>
            <w:pPr>
              <w:spacing w:after="0"/>
              <w:rPr>
                <w:sz w:val="10"/>
                <w:szCs w:val="10"/>
                <w:color w:val="auto"/>
              </w:rPr>
            </w:pPr>
          </w:p>
        </w:tc>
        <w:tc>
          <w:tcPr>
            <w:tcW w:w="15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3"/>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99 HIGH STREET, SUITE 2100</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3"/>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02110</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35.21</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06/10/2026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15,200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06/10/2036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15,200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15,200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8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this option shall vest upon the earlier of (i) June 10, 2027 and (ii) the date of the next Annual Meeting of Stockholders of the Issuer, subject to the Reporting Person's continued service on such vesting date.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Troy Ignelzi,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06/10/2026</w:t>
            </w:r>
          </w:p>
        </w:tc>
        <w:tc>
          <w:tcPr>
            <w:tcW w:w="0" w:type="dxa"/>
            <w:vAlign w:val="bottom"/>
          </w:tcPr>
          <w:p>
            <w:pPr>
              <w:spacing w:after="0"/>
              <w:rPr>
                <w:sz w:val="1"/>
                <w:szCs w:val="1"/>
                <w:color w:val="auto"/>
              </w:rPr>
            </w:pPr>
          </w:p>
        </w:tc>
      </w:tr>
      <w:tr>
        <w:trPr>
          <w:trHeight w:val="88"/>
        </w:trPr>
        <w:tc>
          <w:tcPr>
            <w:tcW w:w="194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26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40" w:type="dxa"/>
            <w:vAlign w:val="bottom"/>
            <w:gridSpan w:val="2"/>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07052" TargetMode="External"/><Relationship Id="rId14" Type="http://schemas.openxmlformats.org/officeDocument/2006/relationships/hyperlink" Target="http://www.sec.gov/cgi-bin/browse-edgar?action=getcompany&amp;CIK=00020125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2026-06-10T16:30:58Z</dcterms:created>
  <dcterms:modified xsi:type="dcterms:W3CDTF">2026-06-10T16:30:58Z</dcterms:modified>
</cp:coreProperties>
</file>